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7.xml" ContentType="application/vnd.openxmlformats-officedocument.wordprocessingml.header+xml"/>
  <Override PartName="/word/footer7.xml" ContentType="application/vnd.openxmlformats-officedocument.wordprocessingml.foot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0.xml" ContentType="application/vnd.openxmlformats-officedocument.wordprocessingml.header+xml"/>
  <Override PartName="/word/footer10.xml" ContentType="application/vnd.openxmlformats-officedocument.wordprocessingml.footer+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1.xml" ContentType="application/vnd.openxmlformats-officedocument.wordprocessingml.header+xml"/>
  <Override PartName="/word/footer11.xml" ContentType="application/vnd.openxmlformats-officedocument.wordprocessingml.footer+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9F1B7" w14:textId="24287158" w:rsidR="00C24781" w:rsidRPr="00BD5286" w:rsidRDefault="00BE1AC0" w:rsidP="00013059">
      <w:pPr>
        <w:shd w:val="clear" w:color="auto" w:fill="44546A" w:themeFill="text2"/>
        <w:spacing w:after="0"/>
        <w:ind w:right="-376" w:hanging="426"/>
        <w:jc w:val="center"/>
        <w:rPr>
          <w:rFonts w:ascii="Times New Roman" w:hAnsi="Times New Roman" w:cs="Times New Roman"/>
          <w:b/>
          <w:color w:val="FFFFFF" w:themeColor="background1"/>
          <w:sz w:val="24"/>
        </w:rPr>
      </w:pPr>
      <w:bookmarkStart w:id="0" w:name="_Hlk108188268"/>
      <w:r w:rsidRPr="00BD5286">
        <w:rPr>
          <w:rFonts w:ascii="Times New Roman" w:hAnsi="Times New Roman" w:cs="Times New Roman"/>
          <w:b/>
          <w:color w:val="FFFFFF" w:themeColor="background1"/>
          <w:sz w:val="24"/>
        </w:rPr>
        <w:t>El d</w:t>
      </w:r>
      <w:r w:rsidR="00FD6C71" w:rsidRPr="00BD5286">
        <w:rPr>
          <w:rFonts w:ascii="Times New Roman" w:hAnsi="Times New Roman" w:cs="Times New Roman"/>
          <w:b/>
          <w:color w:val="FFFFFF" w:themeColor="background1"/>
          <w:sz w:val="24"/>
        </w:rPr>
        <w:t>éfic</w:t>
      </w:r>
      <w:r w:rsidR="005419C5" w:rsidRPr="00BD5286">
        <w:rPr>
          <w:rFonts w:ascii="Times New Roman" w:hAnsi="Times New Roman" w:cs="Times New Roman"/>
          <w:b/>
          <w:color w:val="FFFFFF" w:themeColor="background1"/>
          <w:sz w:val="24"/>
        </w:rPr>
        <w:t>it</w:t>
      </w:r>
      <w:r w:rsidR="00C24781" w:rsidRPr="00BD5286">
        <w:rPr>
          <w:rFonts w:ascii="Times New Roman" w:hAnsi="Times New Roman" w:cs="Times New Roman"/>
          <w:b/>
          <w:color w:val="FFFFFF" w:themeColor="background1"/>
          <w:sz w:val="24"/>
        </w:rPr>
        <w:t xml:space="preserve"> fiscal</w:t>
      </w:r>
      <w:r w:rsidRPr="00BD5286">
        <w:rPr>
          <w:rFonts w:ascii="Times New Roman" w:hAnsi="Times New Roman" w:cs="Times New Roman"/>
          <w:b/>
          <w:color w:val="FFFFFF" w:themeColor="background1"/>
          <w:sz w:val="24"/>
        </w:rPr>
        <w:t xml:space="preserve"> aumenta</w:t>
      </w:r>
      <w:r w:rsidR="00FD6C71" w:rsidRPr="00BD5286">
        <w:rPr>
          <w:rFonts w:ascii="Times New Roman" w:hAnsi="Times New Roman" w:cs="Times New Roman"/>
          <w:b/>
          <w:color w:val="FFFFFF" w:themeColor="background1"/>
          <w:sz w:val="24"/>
        </w:rPr>
        <w:t xml:space="preserve"> por</w:t>
      </w:r>
      <w:r w:rsidRPr="00BD5286">
        <w:rPr>
          <w:rFonts w:ascii="Times New Roman" w:hAnsi="Times New Roman" w:cs="Times New Roman"/>
          <w:b/>
          <w:color w:val="FFFFFF" w:themeColor="background1"/>
          <w:sz w:val="24"/>
        </w:rPr>
        <w:t xml:space="preserve"> un mayor</w:t>
      </w:r>
      <w:r w:rsidR="00FD6C71" w:rsidRPr="00BD5286">
        <w:rPr>
          <w:rFonts w:ascii="Times New Roman" w:hAnsi="Times New Roman" w:cs="Times New Roman"/>
          <w:b/>
          <w:color w:val="FFFFFF" w:themeColor="background1"/>
          <w:sz w:val="24"/>
        </w:rPr>
        <w:t xml:space="preserve"> </w:t>
      </w:r>
      <w:r w:rsidR="00FE5E84" w:rsidRPr="00BD5286">
        <w:rPr>
          <w:rFonts w:ascii="Times New Roman" w:hAnsi="Times New Roman" w:cs="Times New Roman"/>
          <w:b/>
          <w:color w:val="FFFFFF" w:themeColor="background1"/>
          <w:sz w:val="24"/>
        </w:rPr>
        <w:t>dinamismo</w:t>
      </w:r>
      <w:r w:rsidRPr="00BD5286">
        <w:rPr>
          <w:rFonts w:ascii="Times New Roman" w:hAnsi="Times New Roman" w:cs="Times New Roman"/>
          <w:b/>
          <w:color w:val="FFFFFF" w:themeColor="background1"/>
          <w:sz w:val="24"/>
        </w:rPr>
        <w:t xml:space="preserve"> en el gasto</w:t>
      </w:r>
    </w:p>
    <w:bookmarkEnd w:id="0"/>
    <w:p w14:paraId="1C0AD3B2" w14:textId="77777777" w:rsidR="00C24781" w:rsidRPr="00BD5286" w:rsidRDefault="00C24781" w:rsidP="00960BE9">
      <w:pPr>
        <w:spacing w:after="0"/>
        <w:rPr>
          <w:rFonts w:ascii="Times New Roman" w:hAnsi="Times New Roman" w:cs="Times New Roman"/>
          <w:color w:val="FF0000"/>
          <w:sz w:val="24"/>
        </w:rPr>
      </w:pPr>
    </w:p>
    <w:p w14:paraId="666821D0" w14:textId="77777777" w:rsidR="00960BE9" w:rsidRPr="00BD5286" w:rsidRDefault="00960BE9" w:rsidP="00960BE9">
      <w:pPr>
        <w:spacing w:after="0"/>
        <w:rPr>
          <w:rFonts w:ascii="Times New Roman" w:hAnsi="Times New Roman" w:cs="Times New Roman"/>
          <w:color w:val="FF0000"/>
          <w:sz w:val="18"/>
        </w:rPr>
        <w:sectPr w:rsidR="00960BE9" w:rsidRPr="00BD5286">
          <w:headerReference w:type="default" r:id="rId8"/>
          <w:footerReference w:type="default" r:id="rId9"/>
          <w:pgSz w:w="12240" w:h="15840"/>
          <w:pgMar w:top="1417" w:right="1701" w:bottom="1417" w:left="1701" w:header="708" w:footer="708" w:gutter="0"/>
          <w:cols w:space="708"/>
          <w:docGrid w:linePitch="360"/>
        </w:sectPr>
      </w:pPr>
    </w:p>
    <w:p w14:paraId="04E7C11F" w14:textId="5FEB2C5F" w:rsidR="00BD5286" w:rsidRPr="0025066B" w:rsidRDefault="00BD5286" w:rsidP="00BD5286">
      <w:pPr>
        <w:pStyle w:val="Sinespaciado"/>
        <w:jc w:val="both"/>
        <w:rPr>
          <w:rFonts w:ascii="Times New Roman" w:hAnsi="Times New Roman" w:cs="Times New Roman"/>
          <w:lang w:val="es-MX"/>
        </w:rPr>
      </w:pPr>
      <w:r w:rsidRPr="0025066B">
        <w:rPr>
          <w:rFonts w:ascii="Times New Roman" w:hAnsi="Times New Roman" w:cs="Times New Roman"/>
          <w:lang w:val="es-MX"/>
        </w:rPr>
        <w:t>El resultado presupuestario del gobierno muestra un déficit fiscal, al 30 de septiembre de 2022, de Q4,</w:t>
      </w:r>
      <w:r>
        <w:rPr>
          <w:rFonts w:ascii="Times New Roman" w:hAnsi="Times New Roman" w:cs="Times New Roman"/>
          <w:lang w:val="es-MX"/>
        </w:rPr>
        <w:t>380</w:t>
      </w:r>
      <w:r w:rsidRPr="0025066B">
        <w:rPr>
          <w:rFonts w:ascii="Times New Roman" w:hAnsi="Times New Roman" w:cs="Times New Roman"/>
          <w:lang w:val="es-MX"/>
        </w:rPr>
        <w:t xml:space="preserve">.1 millones. En los años anteriores (2019-2021), a la misma fecha también se reportaba déficit fiscal. </w:t>
      </w:r>
    </w:p>
    <w:p w14:paraId="49E87943" w14:textId="77777777" w:rsidR="00BD5286" w:rsidRPr="002C0ADD" w:rsidRDefault="00BD5286" w:rsidP="00BD5286">
      <w:pPr>
        <w:pStyle w:val="Sinespaciado"/>
        <w:jc w:val="both"/>
        <w:rPr>
          <w:rFonts w:ascii="Times New Roman" w:hAnsi="Times New Roman" w:cs="Times New Roman"/>
          <w:lang w:val="es-MX"/>
        </w:rPr>
      </w:pPr>
    </w:p>
    <w:p w14:paraId="7680CD9F" w14:textId="77777777" w:rsidR="00BD5286" w:rsidRPr="0025066B" w:rsidRDefault="00BD5286" w:rsidP="00BD5286">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El nivel de déficit de 2022 aumentó con respecto a lo observado en 2021, debido al repunte observado en la ejecución del gasto público específicamente en el pago de subsidios para apoyar a la población por el alza de los precios de los combustibles.  </w:t>
      </w:r>
    </w:p>
    <w:p w14:paraId="465D555B" w14:textId="77777777" w:rsidR="00BD5286" w:rsidRPr="002C0ADD" w:rsidRDefault="00BD5286" w:rsidP="00BD5286">
      <w:pPr>
        <w:pStyle w:val="Sinespaciado"/>
        <w:jc w:val="both"/>
        <w:rPr>
          <w:rFonts w:ascii="Times New Roman" w:hAnsi="Times New Roman" w:cs="Times New Roman"/>
          <w:lang w:val="es-MX"/>
        </w:rPr>
      </w:pPr>
    </w:p>
    <w:p w14:paraId="05A062FF" w14:textId="77777777" w:rsidR="00BD5286" w:rsidRPr="0025066B" w:rsidRDefault="00BD5286" w:rsidP="00BD5286">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Asimismo, aumentó la ejecución del Ministerio de Comunicaciones, Infraestructura y Vivienda, conforme lo establece el Decreto 21-2022 “Ley para fortalecer el Mantenimiento y Construcción de Infraestructura Estratégica”, el cual reportó una ejecución más dinámica en los proyectos de infraestructura contemplados, aunque aún se mantiene en un nivel bajo respecto al presupuesto asignado. </w:t>
      </w:r>
    </w:p>
    <w:p w14:paraId="7502896E" w14:textId="77777777" w:rsidR="00BD5286" w:rsidRPr="002C0ADD" w:rsidRDefault="00BD5286" w:rsidP="00BD5286">
      <w:pPr>
        <w:pStyle w:val="Sinespaciado"/>
        <w:jc w:val="both"/>
        <w:rPr>
          <w:rFonts w:ascii="Times New Roman" w:hAnsi="Times New Roman" w:cs="Times New Roman"/>
          <w:lang w:val="es-MX"/>
        </w:rPr>
      </w:pPr>
    </w:p>
    <w:p w14:paraId="7D5F3505" w14:textId="77777777" w:rsidR="00BD5286" w:rsidRPr="0025066B" w:rsidRDefault="00BD5286" w:rsidP="00BD5286">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Además, se reportaron intervenciones importantes en diferentes entidades para </w:t>
      </w:r>
      <w:r w:rsidRPr="0025066B">
        <w:rPr>
          <w:rFonts w:ascii="Times New Roman" w:hAnsi="Times New Roman" w:cs="Times New Roman"/>
          <w:lang w:val="es-MX"/>
        </w:rPr>
        <w:t xml:space="preserve">atender emergencias derivadas de la época lluviosa, temporada ciclónica y sistemas de baja presión.  </w:t>
      </w:r>
    </w:p>
    <w:p w14:paraId="48820EF5" w14:textId="77777777" w:rsidR="00BD5286" w:rsidRPr="002C0ADD" w:rsidRDefault="00BD5286" w:rsidP="00BD5286">
      <w:pPr>
        <w:pStyle w:val="Sinespaciado"/>
        <w:jc w:val="both"/>
        <w:rPr>
          <w:rFonts w:ascii="Times New Roman" w:hAnsi="Times New Roman" w:cs="Times New Roman"/>
          <w:lang w:val="es-MX"/>
        </w:rPr>
      </w:pPr>
    </w:p>
    <w:p w14:paraId="40849682" w14:textId="77777777" w:rsidR="00BD5286" w:rsidRPr="0025066B" w:rsidRDefault="00BD5286" w:rsidP="00BD5286">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Por el lado de los ingresos, se sigue observando un buen desempeño de la recaudación tributaria, que por noveno mes consecutivo los ingresos percibidos superan la meta presupuestaria.  Esto explicado principalmente por el dinamismo en el IVA importaciones e IVA doméstico, así como en el Impuesto Sobre la Renta.  Lo cual es el resultado del comportamiento en los precios de los </w:t>
      </w:r>
      <w:proofErr w:type="spellStart"/>
      <w:r w:rsidRPr="0025066B">
        <w:rPr>
          <w:rFonts w:ascii="Times New Roman" w:hAnsi="Times New Roman" w:cs="Times New Roman"/>
          <w:lang w:val="es-MX"/>
        </w:rPr>
        <w:t>commodities</w:t>
      </w:r>
      <w:proofErr w:type="spellEnd"/>
      <w:r w:rsidRPr="0025066B">
        <w:rPr>
          <w:rFonts w:ascii="Times New Roman" w:hAnsi="Times New Roman" w:cs="Times New Roman"/>
          <w:lang w:val="es-MX"/>
        </w:rPr>
        <w:t xml:space="preserve"> en el mercado internacional y por las medidas administrativas adoptadas por la SAT que apuntalan el nivel de recaudación.</w:t>
      </w:r>
    </w:p>
    <w:p w14:paraId="398EDA56" w14:textId="77777777" w:rsidR="00BD5286" w:rsidRPr="002C0ADD" w:rsidRDefault="00BD5286" w:rsidP="00BD5286">
      <w:pPr>
        <w:pStyle w:val="Sinespaciado"/>
        <w:jc w:val="both"/>
        <w:rPr>
          <w:rFonts w:ascii="Times New Roman" w:hAnsi="Times New Roman" w:cs="Times New Roman"/>
          <w:lang w:val="es-MX"/>
        </w:rPr>
      </w:pPr>
    </w:p>
    <w:p w14:paraId="405831C0" w14:textId="385AD84E" w:rsidR="00FD6C71" w:rsidRPr="00BD5286" w:rsidRDefault="00BD5286" w:rsidP="00BD5286">
      <w:pPr>
        <w:pStyle w:val="Sinespaciado"/>
        <w:jc w:val="both"/>
        <w:rPr>
          <w:rFonts w:ascii="Times New Roman" w:hAnsi="Times New Roman" w:cs="Times New Roman"/>
          <w:color w:val="FF0000"/>
          <w:lang w:val="es-MX"/>
        </w:rPr>
      </w:pPr>
      <w:r w:rsidRPr="0025066B">
        <w:rPr>
          <w:rFonts w:ascii="Times New Roman" w:hAnsi="Times New Roman" w:cs="Times New Roman"/>
          <w:lang w:val="es-MX"/>
        </w:rPr>
        <w:t>Es importante indicar que la principal fuente de financiamiento del déficit fiscal al 30 de septiembre del presente año, por tipo de instrumento, se realiza a través de la emisión y colocación de Bonos del Tesoro y en menor cuantía con desembolsos de préstamos externos.</w:t>
      </w:r>
    </w:p>
    <w:p w14:paraId="127957FD" w14:textId="77777777" w:rsidR="00960BE9" w:rsidRPr="00BD5286" w:rsidRDefault="00960BE9" w:rsidP="00FD6C71">
      <w:pPr>
        <w:pStyle w:val="Sinespaciado"/>
        <w:jc w:val="both"/>
        <w:rPr>
          <w:rFonts w:ascii="Times New Roman" w:hAnsi="Times New Roman" w:cs="Times New Roman"/>
          <w:color w:val="FF0000"/>
          <w:lang w:val="es-MX"/>
        </w:rPr>
        <w:sectPr w:rsidR="00960BE9" w:rsidRPr="00BD5286" w:rsidSect="00C24781">
          <w:type w:val="continuous"/>
          <w:pgSz w:w="12240" w:h="15840"/>
          <w:pgMar w:top="1417" w:right="1701" w:bottom="1417" w:left="1701" w:header="708" w:footer="708" w:gutter="0"/>
          <w:cols w:num="2" w:space="708"/>
          <w:docGrid w:linePitch="360"/>
        </w:sectPr>
      </w:pPr>
    </w:p>
    <w:p w14:paraId="54313217" w14:textId="77777777" w:rsidR="00960BE9" w:rsidRPr="00BD5286" w:rsidRDefault="00960BE9" w:rsidP="00960BE9">
      <w:pPr>
        <w:spacing w:after="0"/>
        <w:rPr>
          <w:rFonts w:ascii="Times New Roman" w:hAnsi="Times New Roman" w:cs="Times New Roman"/>
          <w:color w:val="FF0000"/>
          <w:sz w:val="16"/>
        </w:rPr>
        <w:sectPr w:rsidR="00960BE9" w:rsidRPr="00BD5286" w:rsidSect="00960BE9">
          <w:headerReference w:type="default" r:id="rId10"/>
          <w:footerReference w:type="default" r:id="rId11"/>
          <w:type w:val="continuous"/>
          <w:pgSz w:w="12240" w:h="15840"/>
          <w:pgMar w:top="1417" w:right="1701" w:bottom="1417" w:left="1701" w:header="708" w:footer="708" w:gutter="0"/>
          <w:cols w:space="708"/>
          <w:docGrid w:linePitch="360"/>
        </w:sectPr>
      </w:pPr>
    </w:p>
    <w:p w14:paraId="7E5B8A7F" w14:textId="77777777" w:rsidR="00C66E5B" w:rsidRPr="003266B4" w:rsidRDefault="00960BE9" w:rsidP="00960BE9">
      <w:pPr>
        <w:pStyle w:val="Sinespaciado"/>
        <w:jc w:val="center"/>
        <w:rPr>
          <w:rFonts w:ascii="Times New Roman" w:hAnsi="Times New Roman" w:cs="Times New Roman"/>
          <w:b/>
          <w:sz w:val="24"/>
          <w:lang w:val="es-MX"/>
        </w:rPr>
      </w:pPr>
      <w:r w:rsidRPr="003266B4">
        <w:rPr>
          <w:rFonts w:ascii="Times New Roman" w:hAnsi="Times New Roman" w:cs="Times New Roman"/>
          <w:b/>
          <w:sz w:val="24"/>
          <w:lang w:val="es-MX"/>
        </w:rPr>
        <w:t>Resultado Presupuestario</w:t>
      </w:r>
    </w:p>
    <w:p w14:paraId="18DD2ACB" w14:textId="77777777" w:rsidR="00960BE9" w:rsidRPr="003266B4" w:rsidRDefault="00960BE9" w:rsidP="00960BE9">
      <w:pPr>
        <w:pStyle w:val="Sinespaciado"/>
        <w:jc w:val="center"/>
        <w:rPr>
          <w:rFonts w:ascii="Times New Roman" w:hAnsi="Times New Roman" w:cs="Times New Roman"/>
          <w:lang w:val="es-MX"/>
        </w:rPr>
      </w:pPr>
      <w:r w:rsidRPr="003266B4">
        <w:rPr>
          <w:rFonts w:ascii="Times New Roman" w:hAnsi="Times New Roman" w:cs="Times New Roman"/>
          <w:lang w:val="es-MX"/>
        </w:rPr>
        <w:t>Cifras en millones de quetzales</w:t>
      </w:r>
    </w:p>
    <w:p w14:paraId="2E84BD3D" w14:textId="77777777" w:rsidR="00BE1AC0" w:rsidRPr="003266B4" w:rsidRDefault="00BE1AC0" w:rsidP="00BE1AC0">
      <w:pPr>
        <w:pStyle w:val="Sinespaciado"/>
        <w:jc w:val="center"/>
        <w:rPr>
          <w:rFonts w:ascii="Times New Roman" w:hAnsi="Times New Roman" w:cs="Times New Roman"/>
          <w:lang w:val="es-MX"/>
        </w:rPr>
      </w:pPr>
      <w:r w:rsidRPr="003266B4">
        <w:rPr>
          <w:rFonts w:ascii="Times New Roman" w:hAnsi="Times New Roman" w:cs="Times New Roman"/>
          <w:lang w:val="es-MX"/>
        </w:rPr>
        <w:t>Al 30 de septiembre de cada año</w:t>
      </w:r>
    </w:p>
    <w:p w14:paraId="034F6167" w14:textId="4E33AAE3" w:rsidR="00283D03" w:rsidRPr="003266B4" w:rsidRDefault="003266B4" w:rsidP="00960BE9">
      <w:pPr>
        <w:pStyle w:val="Sinespaciado"/>
        <w:jc w:val="center"/>
        <w:rPr>
          <w:rFonts w:ascii="Times New Roman" w:hAnsi="Times New Roman" w:cs="Times New Roman"/>
          <w:lang w:val="es-MX"/>
        </w:rPr>
      </w:pPr>
      <w:r w:rsidRPr="003266B4">
        <w:rPr>
          <w:noProof/>
          <w:lang w:eastAsia="es-GT"/>
        </w:rPr>
        <w:drawing>
          <wp:inline distT="0" distB="0" distL="0" distR="0" wp14:anchorId="2F2FB270" wp14:editId="5D170372">
            <wp:extent cx="5612130" cy="1892411"/>
            <wp:effectExtent l="0" t="0" r="7620" b="0"/>
            <wp:docPr id="11" name="Gráfico 11">
              <a:extLst xmlns:a="http://schemas.openxmlformats.org/drawingml/2006/main">
                <a:ext uri="{FF2B5EF4-FFF2-40B4-BE49-F238E27FC236}">
                  <a16:creationId xmlns:a16="http://schemas.microsoft.com/office/drawing/2014/main" id="{00000000-0008-0000-1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5E3D25" w14:textId="2D738A0D" w:rsidR="00FD6C71" w:rsidRPr="003266B4" w:rsidRDefault="00960BE9" w:rsidP="00960BE9">
      <w:pPr>
        <w:pStyle w:val="Sinespaciado"/>
        <w:rPr>
          <w:rFonts w:ascii="Times New Roman" w:hAnsi="Times New Roman" w:cs="Times New Roman"/>
          <w:sz w:val="14"/>
          <w:szCs w:val="14"/>
          <w:lang w:val="es-MX"/>
        </w:rPr>
      </w:pPr>
      <w:r w:rsidRPr="003266B4">
        <w:rPr>
          <w:rFonts w:ascii="Times New Roman" w:hAnsi="Times New Roman" w:cs="Times New Roman"/>
          <w:sz w:val="14"/>
          <w:szCs w:val="14"/>
          <w:lang w:val="es-MX"/>
        </w:rPr>
        <w:t>Fuente: Dirección de Análisis y Política Fiscal.</w:t>
      </w:r>
    </w:p>
    <w:p w14:paraId="4D5B16DF" w14:textId="0C3BBB9F" w:rsidR="00FD6C71" w:rsidRPr="00BD5286" w:rsidRDefault="00FD6C71" w:rsidP="00960BE9">
      <w:pPr>
        <w:pStyle w:val="Sinespaciado"/>
        <w:rPr>
          <w:rFonts w:ascii="Times New Roman" w:hAnsi="Times New Roman" w:cs="Times New Roman"/>
          <w:color w:val="FF0000"/>
          <w:sz w:val="18"/>
          <w:szCs w:val="18"/>
          <w:lang w:val="es-MX"/>
        </w:rPr>
      </w:pPr>
    </w:p>
    <w:p w14:paraId="3A8949AB" w14:textId="7CFB6F29" w:rsidR="00960BE9" w:rsidRPr="000468DA" w:rsidRDefault="002C0967" w:rsidP="006906B8">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bookmarkStart w:id="1" w:name="_Hlk108188531"/>
      <w:r w:rsidRPr="000468DA">
        <w:rPr>
          <w:rFonts w:ascii="Times New Roman" w:hAnsi="Times New Roman" w:cs="Times New Roman"/>
          <w:b/>
          <w:color w:val="FFFFFF" w:themeColor="background1"/>
          <w:sz w:val="24"/>
          <w:szCs w:val="24"/>
          <w:lang w:val="es-MX"/>
        </w:rPr>
        <w:t>L</w:t>
      </w:r>
      <w:r w:rsidR="00960BE9" w:rsidRPr="000468DA">
        <w:rPr>
          <w:rFonts w:ascii="Times New Roman" w:hAnsi="Times New Roman" w:cs="Times New Roman"/>
          <w:b/>
          <w:color w:val="FFFFFF" w:themeColor="background1"/>
          <w:sz w:val="24"/>
          <w:szCs w:val="24"/>
          <w:lang w:val="es-MX"/>
        </w:rPr>
        <w:t xml:space="preserve">a </w:t>
      </w:r>
      <w:r w:rsidR="00015E02" w:rsidRPr="000468DA">
        <w:rPr>
          <w:rFonts w:ascii="Times New Roman" w:hAnsi="Times New Roman" w:cs="Times New Roman"/>
          <w:b/>
          <w:color w:val="FFFFFF" w:themeColor="background1"/>
          <w:sz w:val="24"/>
          <w:szCs w:val="24"/>
          <w:lang w:val="es-MX"/>
        </w:rPr>
        <w:t xml:space="preserve">brecha </w:t>
      </w:r>
      <w:r w:rsidR="00B67897" w:rsidRPr="000468DA">
        <w:rPr>
          <w:rFonts w:ascii="Times New Roman" w:hAnsi="Times New Roman" w:cs="Times New Roman"/>
          <w:b/>
          <w:color w:val="FFFFFF" w:themeColor="background1"/>
          <w:sz w:val="24"/>
          <w:szCs w:val="24"/>
          <w:lang w:val="es-MX"/>
        </w:rPr>
        <w:t xml:space="preserve">positiva </w:t>
      </w:r>
      <w:r w:rsidR="00015E02" w:rsidRPr="000468DA">
        <w:rPr>
          <w:rFonts w:ascii="Times New Roman" w:hAnsi="Times New Roman" w:cs="Times New Roman"/>
          <w:b/>
          <w:color w:val="FFFFFF" w:themeColor="background1"/>
          <w:sz w:val="24"/>
          <w:szCs w:val="24"/>
          <w:lang w:val="es-MX"/>
        </w:rPr>
        <w:t>de</w:t>
      </w:r>
      <w:r w:rsidR="00960BE9" w:rsidRPr="000468DA">
        <w:rPr>
          <w:rFonts w:ascii="Times New Roman" w:hAnsi="Times New Roman" w:cs="Times New Roman"/>
          <w:b/>
          <w:color w:val="FFFFFF" w:themeColor="background1"/>
          <w:sz w:val="24"/>
          <w:szCs w:val="24"/>
          <w:lang w:val="es-MX"/>
        </w:rPr>
        <w:t xml:space="preserve"> recaudación </w:t>
      </w:r>
      <w:r w:rsidR="00D62B21" w:rsidRPr="000468DA">
        <w:rPr>
          <w:rFonts w:ascii="Times New Roman" w:hAnsi="Times New Roman" w:cs="Times New Roman"/>
          <w:b/>
          <w:color w:val="FFFFFF" w:themeColor="background1"/>
          <w:sz w:val="24"/>
          <w:szCs w:val="24"/>
          <w:lang w:val="es-MX"/>
        </w:rPr>
        <w:t>a</w:t>
      </w:r>
      <w:r w:rsidR="00B67897" w:rsidRPr="000468DA">
        <w:rPr>
          <w:rFonts w:ascii="Times New Roman" w:hAnsi="Times New Roman" w:cs="Times New Roman"/>
          <w:b/>
          <w:color w:val="FFFFFF" w:themeColor="background1"/>
          <w:sz w:val="24"/>
          <w:szCs w:val="24"/>
          <w:lang w:val="es-MX"/>
        </w:rPr>
        <w:t>l 30</w:t>
      </w:r>
      <w:r w:rsidR="00353F94" w:rsidRPr="000468DA">
        <w:rPr>
          <w:rFonts w:ascii="Times New Roman" w:hAnsi="Times New Roman" w:cs="Times New Roman"/>
          <w:b/>
          <w:color w:val="FFFFFF" w:themeColor="background1"/>
          <w:sz w:val="24"/>
          <w:szCs w:val="24"/>
          <w:lang w:val="es-MX"/>
        </w:rPr>
        <w:t xml:space="preserve"> de </w:t>
      </w:r>
      <w:r w:rsidR="00B67897" w:rsidRPr="000468DA">
        <w:rPr>
          <w:rFonts w:ascii="Times New Roman" w:hAnsi="Times New Roman" w:cs="Times New Roman"/>
          <w:b/>
          <w:color w:val="FFFFFF" w:themeColor="background1"/>
          <w:sz w:val="24"/>
          <w:szCs w:val="24"/>
          <w:lang w:val="es-MX"/>
        </w:rPr>
        <w:t>septiembre</w:t>
      </w:r>
      <w:r w:rsidR="00015E02" w:rsidRPr="000468DA">
        <w:rPr>
          <w:rFonts w:ascii="Times New Roman" w:hAnsi="Times New Roman" w:cs="Times New Roman"/>
          <w:b/>
          <w:color w:val="FFFFFF" w:themeColor="background1"/>
          <w:sz w:val="24"/>
          <w:szCs w:val="24"/>
          <w:lang w:val="es-MX"/>
        </w:rPr>
        <w:t xml:space="preserve"> </w:t>
      </w:r>
      <w:r w:rsidR="00A02862" w:rsidRPr="000468DA">
        <w:rPr>
          <w:rFonts w:ascii="Times New Roman" w:hAnsi="Times New Roman" w:cs="Times New Roman"/>
          <w:b/>
          <w:color w:val="FFFFFF" w:themeColor="background1"/>
          <w:sz w:val="24"/>
          <w:szCs w:val="24"/>
          <w:lang w:val="es-MX"/>
        </w:rPr>
        <w:t>continúa ampliándose</w:t>
      </w:r>
    </w:p>
    <w:bookmarkEnd w:id="1"/>
    <w:p w14:paraId="3FDC0B19" w14:textId="77777777" w:rsidR="00960BE9" w:rsidRPr="00BD5286" w:rsidRDefault="00960BE9" w:rsidP="00960BE9">
      <w:pPr>
        <w:pStyle w:val="Sinespaciado"/>
        <w:rPr>
          <w:rFonts w:ascii="Times New Roman" w:hAnsi="Times New Roman" w:cs="Times New Roman"/>
          <w:color w:val="FF0000"/>
          <w:sz w:val="18"/>
          <w:szCs w:val="18"/>
          <w:lang w:val="es-MX"/>
        </w:rPr>
      </w:pPr>
    </w:p>
    <w:p w14:paraId="77A2A016" w14:textId="77777777" w:rsidR="00960BE9" w:rsidRPr="00BD5286" w:rsidRDefault="00960BE9" w:rsidP="00960BE9">
      <w:pPr>
        <w:spacing w:after="0"/>
        <w:rPr>
          <w:rFonts w:ascii="Times New Roman" w:hAnsi="Times New Roman" w:cs="Times New Roman"/>
          <w:color w:val="FF0000"/>
          <w:sz w:val="24"/>
        </w:rPr>
        <w:sectPr w:rsidR="00960BE9" w:rsidRPr="00BD5286" w:rsidSect="00960BE9">
          <w:headerReference w:type="default" r:id="rId13"/>
          <w:footerReference w:type="default" r:id="rId14"/>
          <w:type w:val="continuous"/>
          <w:pgSz w:w="12240" w:h="15840"/>
          <w:pgMar w:top="1417" w:right="1701" w:bottom="1417" w:left="1701" w:header="708" w:footer="708" w:gutter="0"/>
          <w:cols w:space="708"/>
          <w:docGrid w:linePitch="360"/>
        </w:sectPr>
      </w:pPr>
    </w:p>
    <w:p w14:paraId="55F0BB20" w14:textId="6526C086" w:rsidR="00A32E01" w:rsidRPr="0025066B"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t xml:space="preserve">Al 30 de septiembre la recaudación tributaria continúa superando la meta y por lo tanto ampliándose la brecha, principalmente, por una dinámica positiva en el Impuesto Sobre la </w:t>
      </w:r>
      <w:r w:rsidRPr="0025066B">
        <w:rPr>
          <w:rFonts w:ascii="Times New Roman" w:hAnsi="Times New Roman" w:cs="Times New Roman"/>
        </w:rPr>
        <w:t>Renta (ISR), Impuesto de Solidaridad (ISO), e Impuesto al Valor Agregado (IVA), en particular, el asociado al comercio exterior.</w:t>
      </w:r>
    </w:p>
    <w:p w14:paraId="0F47AFAB" w14:textId="77777777" w:rsidR="00A32E01" w:rsidRPr="0025066B" w:rsidRDefault="00A32E01" w:rsidP="00A32E01">
      <w:pPr>
        <w:spacing w:after="0" w:line="240" w:lineRule="auto"/>
        <w:jc w:val="both"/>
        <w:rPr>
          <w:rFonts w:ascii="Times New Roman" w:hAnsi="Times New Roman" w:cs="Times New Roman"/>
        </w:rPr>
      </w:pPr>
    </w:p>
    <w:p w14:paraId="4C2ADBF5" w14:textId="77777777" w:rsidR="00A32E01" w:rsidRPr="0025066B"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lastRenderedPageBreak/>
        <w:t>La evolución de la recaudación tributaria total neta de septiembre fue de Q6,</w:t>
      </w:r>
      <w:r>
        <w:rPr>
          <w:rFonts w:ascii="Times New Roman" w:hAnsi="Times New Roman" w:cs="Times New Roman"/>
        </w:rPr>
        <w:t xml:space="preserve">216.3 </w:t>
      </w:r>
      <w:r w:rsidRPr="0025066B">
        <w:rPr>
          <w:rFonts w:ascii="Times New Roman" w:hAnsi="Times New Roman" w:cs="Times New Roman"/>
        </w:rPr>
        <w:t>millones, superior en Q1,</w:t>
      </w:r>
      <w:r>
        <w:rPr>
          <w:rFonts w:ascii="Times New Roman" w:hAnsi="Times New Roman" w:cs="Times New Roman"/>
        </w:rPr>
        <w:t xml:space="preserve">124.3 </w:t>
      </w:r>
      <w:r w:rsidRPr="0025066B">
        <w:rPr>
          <w:rFonts w:ascii="Times New Roman" w:hAnsi="Times New Roman" w:cs="Times New Roman"/>
        </w:rPr>
        <w:t>millones respecto a lo establecido en la meta que se situaba en Q5,091.9 millones.</w:t>
      </w:r>
      <w:r w:rsidRPr="0025066B" w:rsidDel="00C835AD">
        <w:rPr>
          <w:rFonts w:ascii="Times New Roman" w:hAnsi="Times New Roman" w:cs="Times New Roman"/>
        </w:rPr>
        <w:t xml:space="preserve"> </w:t>
      </w:r>
    </w:p>
    <w:p w14:paraId="23451F9F" w14:textId="77777777" w:rsidR="00A32E01" w:rsidRPr="0025066B" w:rsidRDefault="00A32E01" w:rsidP="00A32E01">
      <w:pPr>
        <w:spacing w:after="0" w:line="240" w:lineRule="auto"/>
        <w:jc w:val="both"/>
        <w:rPr>
          <w:rFonts w:ascii="Times New Roman" w:hAnsi="Times New Roman" w:cs="Times New Roman"/>
          <w:sz w:val="18"/>
        </w:rPr>
      </w:pPr>
    </w:p>
    <w:p w14:paraId="2DDAD388" w14:textId="77777777" w:rsidR="00A32E01" w:rsidRPr="0025066B" w:rsidRDefault="00A32E01" w:rsidP="00A32E01">
      <w:pPr>
        <w:spacing w:after="0" w:line="240" w:lineRule="auto"/>
        <w:jc w:val="both"/>
        <w:rPr>
          <w:rFonts w:ascii="Times New Roman" w:hAnsi="Times New Roman" w:cs="Times New Roman"/>
          <w:b/>
        </w:rPr>
      </w:pPr>
      <w:r w:rsidRPr="0025066B">
        <w:rPr>
          <w:rFonts w:ascii="Times New Roman" w:hAnsi="Times New Roman" w:cs="Times New Roman"/>
        </w:rPr>
        <w:t>La recaudación tributaria total neta acumulada a septiembre reflejó una brecha positiva acumulada de Q9,1</w:t>
      </w:r>
      <w:r>
        <w:rPr>
          <w:rFonts w:ascii="Times New Roman" w:hAnsi="Times New Roman" w:cs="Times New Roman"/>
        </w:rPr>
        <w:t xml:space="preserve">56.6 </w:t>
      </w:r>
      <w:r w:rsidRPr="0025066B">
        <w:rPr>
          <w:rFonts w:ascii="Times New Roman" w:hAnsi="Times New Roman" w:cs="Times New Roman"/>
        </w:rPr>
        <w:t xml:space="preserve">millones respecto a la meta, siendo los impuestos que contribuyeron en mayor cuantía el ISR, ISO, IVA total y, Derechos Arancelarios a la Importación (DAI), </w:t>
      </w:r>
    </w:p>
    <w:p w14:paraId="3EF1C7CC" w14:textId="77777777" w:rsidR="00A32E01" w:rsidRPr="0025066B" w:rsidRDefault="00A32E01" w:rsidP="00A32E01">
      <w:pPr>
        <w:spacing w:after="0" w:line="240" w:lineRule="auto"/>
        <w:jc w:val="both"/>
        <w:rPr>
          <w:rFonts w:ascii="Times New Roman" w:hAnsi="Times New Roman" w:cs="Times New Roman"/>
          <w:b/>
          <w:sz w:val="18"/>
        </w:rPr>
      </w:pPr>
    </w:p>
    <w:p w14:paraId="0BB2B77F" w14:textId="5C8AAA36" w:rsidR="00960BE9" w:rsidRPr="00BD5286" w:rsidRDefault="00A32E01" w:rsidP="00A32E01">
      <w:pPr>
        <w:spacing w:after="0" w:line="240" w:lineRule="auto"/>
        <w:jc w:val="both"/>
        <w:rPr>
          <w:rFonts w:ascii="Times New Roman" w:hAnsi="Times New Roman" w:cs="Times New Roman"/>
          <w:b/>
          <w:color w:val="FF0000"/>
        </w:rPr>
      </w:pPr>
      <w:r w:rsidRPr="0025066B">
        <w:rPr>
          <w:rFonts w:ascii="Times New Roman" w:hAnsi="Times New Roman" w:cs="Times New Roman"/>
        </w:rPr>
        <w:t>Las expectativas de cierre para este ejercicio 2022, considerando el esfuerzo administrativo de la SAT durante el segundo semestre, promoviendo el objetivo de reducir las brechas de incumplimiento, permitiría que se superen los Q76,314.9 millones, que corresponden a la meta establecida en el presupuesto anual.</w:t>
      </w:r>
    </w:p>
    <w:p w14:paraId="6361E93F" w14:textId="1EB88434" w:rsidR="009D2F40" w:rsidRPr="00A32E01" w:rsidRDefault="009D2F40" w:rsidP="00960BE9">
      <w:pPr>
        <w:spacing w:after="0" w:line="240" w:lineRule="auto"/>
        <w:jc w:val="both"/>
        <w:rPr>
          <w:rFonts w:ascii="Times New Roman" w:hAnsi="Times New Roman" w:cs="Times New Roman"/>
          <w:sz w:val="18"/>
        </w:rPr>
      </w:pPr>
    </w:p>
    <w:p w14:paraId="23DC1F0E" w14:textId="007919FD" w:rsidR="009D2F40" w:rsidRPr="00A32E01" w:rsidRDefault="009D2F40" w:rsidP="009D2F40">
      <w:pPr>
        <w:spacing w:after="0" w:line="240" w:lineRule="auto"/>
        <w:jc w:val="center"/>
        <w:rPr>
          <w:rFonts w:ascii="Times New Roman" w:hAnsi="Times New Roman" w:cs="Times New Roman"/>
          <w:b/>
          <w:sz w:val="24"/>
        </w:rPr>
      </w:pPr>
      <w:r w:rsidRPr="00A32E01">
        <w:rPr>
          <w:rFonts w:ascii="Times New Roman" w:hAnsi="Times New Roman" w:cs="Times New Roman"/>
          <w:b/>
          <w:sz w:val="24"/>
        </w:rPr>
        <w:t>Variación de la recaudación tr</w:t>
      </w:r>
      <w:r w:rsidR="00353F94" w:rsidRPr="00A32E01">
        <w:rPr>
          <w:rFonts w:ascii="Times New Roman" w:hAnsi="Times New Roman" w:cs="Times New Roman"/>
          <w:b/>
          <w:sz w:val="24"/>
        </w:rPr>
        <w:t>ibutar</w:t>
      </w:r>
      <w:r w:rsidR="00B67897" w:rsidRPr="00A32E01">
        <w:rPr>
          <w:rFonts w:ascii="Times New Roman" w:hAnsi="Times New Roman" w:cs="Times New Roman"/>
          <w:b/>
          <w:sz w:val="24"/>
        </w:rPr>
        <w:t>ia neta acumulada de septiembre</w:t>
      </w:r>
    </w:p>
    <w:p w14:paraId="4EA023C1" w14:textId="0250E306" w:rsidR="009D2F40" w:rsidRPr="00A32E01" w:rsidRDefault="009D2F40" w:rsidP="009D2F40">
      <w:pPr>
        <w:spacing w:after="0" w:line="240" w:lineRule="auto"/>
        <w:jc w:val="center"/>
        <w:rPr>
          <w:rFonts w:ascii="Times New Roman" w:hAnsi="Times New Roman" w:cs="Times New Roman"/>
        </w:rPr>
      </w:pPr>
      <w:r w:rsidRPr="00A32E01">
        <w:rPr>
          <w:rFonts w:ascii="Times New Roman" w:hAnsi="Times New Roman" w:cs="Times New Roman"/>
        </w:rPr>
        <w:t>Millones de quetzales</w:t>
      </w:r>
    </w:p>
    <w:p w14:paraId="17D83BBB" w14:textId="742217D8" w:rsidR="00B67897" w:rsidRPr="00A32E01" w:rsidRDefault="002C0ADD" w:rsidP="009D2F40">
      <w:pPr>
        <w:spacing w:after="0" w:line="240" w:lineRule="auto"/>
        <w:jc w:val="center"/>
        <w:rPr>
          <w:rFonts w:ascii="Times New Roman" w:hAnsi="Times New Roman" w:cs="Times New Roman"/>
        </w:rPr>
      </w:pPr>
      <w:r w:rsidRPr="00A32E01">
        <w:rPr>
          <w:noProof/>
          <w:lang w:eastAsia="es-GT"/>
        </w:rPr>
        <w:drawing>
          <wp:anchor distT="0" distB="0" distL="114300" distR="114300" simplePos="0" relativeHeight="251921408" behindDoc="0" locked="0" layoutInCell="1" allowOverlap="1" wp14:anchorId="0242B60F" wp14:editId="7486152B">
            <wp:simplePos x="0" y="0"/>
            <wp:positionH relativeFrom="column">
              <wp:posOffset>0</wp:posOffset>
            </wp:positionH>
            <wp:positionV relativeFrom="paragraph">
              <wp:posOffset>0</wp:posOffset>
            </wp:positionV>
            <wp:extent cx="2632710" cy="1770278"/>
            <wp:effectExtent l="0" t="0" r="0" b="6985"/>
            <wp:wrapNone/>
            <wp:docPr id="236" name="Gráfico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568934FB" w14:textId="2F1E2F3A" w:rsidR="00B67897" w:rsidRPr="00A32E01" w:rsidRDefault="00B67897" w:rsidP="009D2F40">
      <w:pPr>
        <w:spacing w:after="0" w:line="240" w:lineRule="auto"/>
        <w:jc w:val="center"/>
        <w:rPr>
          <w:rFonts w:ascii="Times New Roman" w:hAnsi="Times New Roman" w:cs="Times New Roman"/>
        </w:rPr>
      </w:pPr>
    </w:p>
    <w:p w14:paraId="2FC70EDD" w14:textId="4EA43EE3" w:rsidR="00B67897" w:rsidRPr="00A32E01" w:rsidRDefault="00B67897" w:rsidP="009D2F40">
      <w:pPr>
        <w:spacing w:after="0" w:line="240" w:lineRule="auto"/>
        <w:jc w:val="center"/>
        <w:rPr>
          <w:rFonts w:ascii="Times New Roman" w:hAnsi="Times New Roman" w:cs="Times New Roman"/>
        </w:rPr>
      </w:pPr>
    </w:p>
    <w:p w14:paraId="338A4347" w14:textId="277FC1A3" w:rsidR="00B67897" w:rsidRPr="00A32E01" w:rsidRDefault="00B67897" w:rsidP="009D2F40">
      <w:pPr>
        <w:spacing w:after="0" w:line="240" w:lineRule="auto"/>
        <w:jc w:val="center"/>
        <w:rPr>
          <w:rFonts w:ascii="Times New Roman" w:hAnsi="Times New Roman" w:cs="Times New Roman"/>
        </w:rPr>
      </w:pPr>
    </w:p>
    <w:p w14:paraId="53A92F2A" w14:textId="55432C4D" w:rsidR="00353F94" w:rsidRPr="00A32E01" w:rsidRDefault="00353F94" w:rsidP="009D2F40">
      <w:pPr>
        <w:spacing w:after="0" w:line="240" w:lineRule="auto"/>
        <w:jc w:val="center"/>
        <w:rPr>
          <w:rFonts w:ascii="Times New Roman" w:hAnsi="Times New Roman" w:cs="Times New Roman"/>
        </w:rPr>
      </w:pPr>
    </w:p>
    <w:p w14:paraId="621C39D9" w14:textId="18BF1CFD" w:rsidR="00353F94" w:rsidRPr="00A32E01" w:rsidRDefault="00353F94" w:rsidP="009D2F40">
      <w:pPr>
        <w:spacing w:after="0" w:line="240" w:lineRule="auto"/>
        <w:jc w:val="center"/>
        <w:rPr>
          <w:rFonts w:ascii="Times New Roman" w:hAnsi="Times New Roman" w:cs="Times New Roman"/>
        </w:rPr>
      </w:pPr>
    </w:p>
    <w:p w14:paraId="492E6069" w14:textId="577C4CD1" w:rsidR="009D2F40" w:rsidRPr="00A32E01" w:rsidRDefault="009D2F40" w:rsidP="00960BE9">
      <w:pPr>
        <w:spacing w:after="0" w:line="240" w:lineRule="auto"/>
        <w:jc w:val="center"/>
        <w:rPr>
          <w:rFonts w:ascii="Times New Roman" w:hAnsi="Times New Roman" w:cs="Times New Roman"/>
        </w:rPr>
      </w:pPr>
    </w:p>
    <w:p w14:paraId="07A326BC" w14:textId="15B9CC9B" w:rsidR="009D2F40" w:rsidRPr="00A32E01" w:rsidRDefault="009D2F40" w:rsidP="00960BE9">
      <w:pPr>
        <w:spacing w:after="0" w:line="240" w:lineRule="auto"/>
        <w:jc w:val="center"/>
        <w:rPr>
          <w:rFonts w:ascii="Times New Roman" w:hAnsi="Times New Roman" w:cs="Times New Roman"/>
        </w:rPr>
      </w:pPr>
    </w:p>
    <w:p w14:paraId="3357AC7D" w14:textId="77777777" w:rsidR="00F01B17" w:rsidRPr="00A32E01" w:rsidRDefault="00F01B17" w:rsidP="00960BE9">
      <w:pPr>
        <w:spacing w:after="0" w:line="240" w:lineRule="auto"/>
        <w:jc w:val="center"/>
        <w:rPr>
          <w:rFonts w:ascii="Times New Roman" w:hAnsi="Times New Roman" w:cs="Times New Roman"/>
        </w:rPr>
      </w:pPr>
    </w:p>
    <w:p w14:paraId="458108C8" w14:textId="77777777" w:rsidR="00F01B17" w:rsidRPr="00A32E01" w:rsidRDefault="00F01B17" w:rsidP="00960BE9">
      <w:pPr>
        <w:spacing w:after="0" w:line="240" w:lineRule="auto"/>
        <w:jc w:val="center"/>
        <w:rPr>
          <w:rFonts w:ascii="Times New Roman" w:hAnsi="Times New Roman" w:cs="Times New Roman"/>
        </w:rPr>
      </w:pPr>
    </w:p>
    <w:p w14:paraId="023AC48A" w14:textId="2E6AA6AA" w:rsidR="00F01B17" w:rsidRPr="00A32E01" w:rsidRDefault="00F01B17" w:rsidP="00960BE9">
      <w:pPr>
        <w:spacing w:after="0" w:line="240" w:lineRule="auto"/>
        <w:jc w:val="center"/>
        <w:rPr>
          <w:rFonts w:ascii="Times New Roman" w:hAnsi="Times New Roman" w:cs="Times New Roman"/>
        </w:rPr>
      </w:pPr>
    </w:p>
    <w:p w14:paraId="2C2B43D0" w14:textId="353A8164" w:rsidR="00112F6C" w:rsidRPr="00A32E01" w:rsidRDefault="00112F6C" w:rsidP="00112F6C">
      <w:pPr>
        <w:pStyle w:val="Sinespaciado"/>
        <w:rPr>
          <w:rFonts w:ascii="Times New Roman" w:hAnsi="Times New Roman" w:cs="Times New Roman"/>
          <w:sz w:val="16"/>
          <w:szCs w:val="18"/>
          <w:lang w:val="es-MX"/>
        </w:rPr>
      </w:pPr>
      <w:r w:rsidRPr="00A32E01">
        <w:rPr>
          <w:rFonts w:ascii="Times New Roman" w:hAnsi="Times New Roman" w:cs="Times New Roman"/>
          <w:sz w:val="16"/>
          <w:szCs w:val="18"/>
          <w:lang w:val="es-MX"/>
        </w:rPr>
        <w:t>Fuente: Dirección de Análisis y Política Fiscal.</w:t>
      </w:r>
    </w:p>
    <w:p w14:paraId="10115B0C" w14:textId="77777777" w:rsidR="00353F94" w:rsidRPr="00BD5286" w:rsidRDefault="00353F94" w:rsidP="00960BE9">
      <w:pPr>
        <w:spacing w:after="0" w:line="240" w:lineRule="auto"/>
        <w:jc w:val="both"/>
        <w:rPr>
          <w:rFonts w:ascii="Times New Roman" w:hAnsi="Times New Roman" w:cs="Times New Roman"/>
          <w:color w:val="FF0000"/>
          <w:sz w:val="18"/>
        </w:rPr>
      </w:pPr>
    </w:p>
    <w:p w14:paraId="396B35BB" w14:textId="67590C07" w:rsidR="00A32E01" w:rsidRPr="0025066B"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t>La recaudación tributaria asociada al comercio exterior mantiene tendencia creciente generando una brecha positiva de Q5,051.</w:t>
      </w:r>
      <w:r>
        <w:rPr>
          <w:rFonts w:ascii="Times New Roman" w:hAnsi="Times New Roman" w:cs="Times New Roman"/>
        </w:rPr>
        <w:t>1</w:t>
      </w:r>
      <w:r w:rsidRPr="0025066B">
        <w:rPr>
          <w:rFonts w:ascii="Times New Roman" w:hAnsi="Times New Roman" w:cs="Times New Roman"/>
        </w:rPr>
        <w:t xml:space="preserve"> millones, y con relación a lo observado en 2021 de Q4,286.</w:t>
      </w:r>
      <w:r>
        <w:rPr>
          <w:rFonts w:ascii="Times New Roman" w:hAnsi="Times New Roman" w:cs="Times New Roman"/>
        </w:rPr>
        <w:t>1</w:t>
      </w:r>
      <w:r w:rsidRPr="0025066B">
        <w:rPr>
          <w:rFonts w:ascii="Times New Roman" w:hAnsi="Times New Roman" w:cs="Times New Roman"/>
        </w:rPr>
        <w:t xml:space="preserve"> millones, es decir, 25.7% más de forma interanual.  Este resultado combina, por una parte, el seguimiento de las medidas implementadas en 2021 en el ramo de aduanas, en donde se continúan implementando acciones para combatir la defraudación y el contrabando aduanero, la puesta en marcha a través de puestos de control interinstitucional (a la fecha van 6), a la simplificación, automatización y </w:t>
      </w:r>
      <w:r w:rsidRPr="0025066B">
        <w:rPr>
          <w:rFonts w:ascii="Times New Roman" w:hAnsi="Times New Roman" w:cs="Times New Roman"/>
        </w:rPr>
        <w:t>transparencia en el ingreso y salida de la carga vía aérea, entre otras.</w:t>
      </w:r>
    </w:p>
    <w:p w14:paraId="60F906FF" w14:textId="77777777" w:rsidR="00A32E01" w:rsidRPr="0025066B" w:rsidRDefault="00A32E01" w:rsidP="00A32E01">
      <w:pPr>
        <w:spacing w:after="0" w:line="240" w:lineRule="auto"/>
        <w:jc w:val="both"/>
        <w:rPr>
          <w:rFonts w:ascii="Times New Roman" w:hAnsi="Times New Roman" w:cs="Times New Roman"/>
          <w:sz w:val="18"/>
        </w:rPr>
      </w:pPr>
    </w:p>
    <w:p w14:paraId="4C8E4A17" w14:textId="77777777" w:rsidR="00A32E01" w:rsidRPr="0025066B" w:rsidRDefault="00A32E01" w:rsidP="00A32E01">
      <w:pPr>
        <w:spacing w:after="0" w:line="240" w:lineRule="auto"/>
        <w:jc w:val="both"/>
        <w:rPr>
          <w:rFonts w:ascii="Times New Roman" w:hAnsi="Times New Roman" w:cs="Times New Roman"/>
          <w:b/>
        </w:rPr>
      </w:pPr>
      <w:r w:rsidRPr="0025066B">
        <w:rPr>
          <w:rFonts w:ascii="Times New Roman" w:hAnsi="Times New Roman" w:cs="Times New Roman"/>
          <w:b/>
        </w:rPr>
        <w:t>El Impuesto Sobre la Renta y el ISO</w:t>
      </w:r>
    </w:p>
    <w:p w14:paraId="09BD2BF3" w14:textId="77777777" w:rsidR="00A32E01" w:rsidRPr="0025066B" w:rsidRDefault="00A32E01" w:rsidP="00A32E01">
      <w:pPr>
        <w:spacing w:after="0" w:line="240" w:lineRule="auto"/>
        <w:jc w:val="both"/>
        <w:rPr>
          <w:rFonts w:ascii="Times New Roman" w:hAnsi="Times New Roman" w:cs="Times New Roman"/>
          <w:b/>
          <w:sz w:val="16"/>
        </w:rPr>
      </w:pPr>
    </w:p>
    <w:p w14:paraId="394BC9B7" w14:textId="77777777" w:rsidR="00A32E01" w:rsidRPr="0025066B"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t>En septiembre estos dos impuestos recaudaron Q1,3</w:t>
      </w:r>
      <w:r>
        <w:rPr>
          <w:rFonts w:ascii="Times New Roman" w:hAnsi="Times New Roman" w:cs="Times New Roman"/>
        </w:rPr>
        <w:t xml:space="preserve">43.8 </w:t>
      </w:r>
      <w:r w:rsidRPr="0025066B">
        <w:rPr>
          <w:rFonts w:ascii="Times New Roman" w:hAnsi="Times New Roman" w:cs="Times New Roman"/>
        </w:rPr>
        <w:t>millones de un estimado de Q1,224.1 millones, lo que generó una brecha positiva de Q1</w:t>
      </w:r>
      <w:r>
        <w:rPr>
          <w:rFonts w:ascii="Times New Roman" w:hAnsi="Times New Roman" w:cs="Times New Roman"/>
        </w:rPr>
        <w:t>1</w:t>
      </w:r>
      <w:r w:rsidRPr="0025066B">
        <w:rPr>
          <w:rFonts w:ascii="Times New Roman" w:hAnsi="Times New Roman" w:cs="Times New Roman"/>
        </w:rPr>
        <w:t>9.</w:t>
      </w:r>
      <w:r>
        <w:rPr>
          <w:rFonts w:ascii="Times New Roman" w:hAnsi="Times New Roman" w:cs="Times New Roman"/>
        </w:rPr>
        <w:t>7</w:t>
      </w:r>
      <w:r w:rsidRPr="0025066B">
        <w:rPr>
          <w:rFonts w:ascii="Times New Roman" w:hAnsi="Times New Roman" w:cs="Times New Roman"/>
        </w:rPr>
        <w:t xml:space="preserve"> millones respecto a la meta. </w:t>
      </w:r>
    </w:p>
    <w:p w14:paraId="2B86536A" w14:textId="77777777" w:rsidR="00A32E01" w:rsidRPr="0025066B" w:rsidRDefault="00A32E01" w:rsidP="00A32E01">
      <w:pPr>
        <w:spacing w:after="0" w:line="240" w:lineRule="auto"/>
        <w:jc w:val="both"/>
        <w:rPr>
          <w:rFonts w:ascii="Times New Roman" w:hAnsi="Times New Roman" w:cs="Times New Roman"/>
          <w:sz w:val="18"/>
        </w:rPr>
      </w:pPr>
    </w:p>
    <w:p w14:paraId="5B3ACC7E" w14:textId="77777777" w:rsidR="00A32E01" w:rsidRPr="0025066B"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t>De manera acumulada estos dos impuestos superan en Q2,8</w:t>
      </w:r>
      <w:r>
        <w:rPr>
          <w:rFonts w:ascii="Times New Roman" w:hAnsi="Times New Roman" w:cs="Times New Roman"/>
        </w:rPr>
        <w:t xml:space="preserve">20.9 </w:t>
      </w:r>
      <w:r w:rsidRPr="0025066B">
        <w:rPr>
          <w:rFonts w:ascii="Times New Roman" w:hAnsi="Times New Roman" w:cs="Times New Roman"/>
        </w:rPr>
        <w:t>millones la meta, determinada principalmente por el ISR que contribuye de manera positiva con Q2,566.6 millones.</w:t>
      </w:r>
    </w:p>
    <w:p w14:paraId="79C3E672" w14:textId="77777777" w:rsidR="00A32E01" w:rsidRPr="0025066B" w:rsidRDefault="00A32E01" w:rsidP="00A32E01">
      <w:pPr>
        <w:spacing w:after="0" w:line="240" w:lineRule="auto"/>
        <w:jc w:val="both"/>
        <w:rPr>
          <w:rFonts w:ascii="Times New Roman" w:hAnsi="Times New Roman" w:cs="Times New Roman"/>
          <w:sz w:val="18"/>
        </w:rPr>
      </w:pPr>
    </w:p>
    <w:p w14:paraId="70AFBD95" w14:textId="6B6C9A19" w:rsidR="00237CDC" w:rsidRPr="00BD5286" w:rsidRDefault="00A32E01" w:rsidP="00A32E01">
      <w:pPr>
        <w:spacing w:after="0" w:line="240" w:lineRule="auto"/>
        <w:jc w:val="both"/>
        <w:rPr>
          <w:rFonts w:ascii="Times New Roman" w:hAnsi="Times New Roman" w:cs="Times New Roman"/>
          <w:color w:val="FF0000"/>
        </w:rPr>
      </w:pPr>
      <w:r w:rsidRPr="0025066B">
        <w:rPr>
          <w:rFonts w:ascii="Times New Roman" w:hAnsi="Times New Roman" w:cs="Times New Roman"/>
        </w:rPr>
        <w:t>Aspectos relevantes que contribuyen con el desempeño positivo del ISR son las medidas que ha venido desarrollando la SAT.</w:t>
      </w:r>
    </w:p>
    <w:p w14:paraId="2108F744" w14:textId="77777777" w:rsidR="00237CDC" w:rsidRPr="00BD5286" w:rsidRDefault="00237CDC" w:rsidP="00237CDC">
      <w:pPr>
        <w:spacing w:after="0" w:line="240" w:lineRule="auto"/>
        <w:jc w:val="both"/>
        <w:rPr>
          <w:rFonts w:ascii="Times New Roman" w:hAnsi="Times New Roman" w:cs="Times New Roman"/>
          <w:color w:val="FF0000"/>
          <w:sz w:val="18"/>
        </w:rPr>
      </w:pPr>
    </w:p>
    <w:p w14:paraId="6039F8C9" w14:textId="77777777" w:rsidR="00A32E01" w:rsidRPr="0025066B" w:rsidRDefault="00A32E01" w:rsidP="00A32E01">
      <w:pPr>
        <w:spacing w:after="0" w:line="240" w:lineRule="auto"/>
        <w:jc w:val="both"/>
        <w:rPr>
          <w:rFonts w:ascii="Times New Roman" w:hAnsi="Times New Roman" w:cs="Times New Roman"/>
          <w:b/>
        </w:rPr>
      </w:pPr>
      <w:r w:rsidRPr="0025066B">
        <w:rPr>
          <w:rFonts w:ascii="Times New Roman" w:hAnsi="Times New Roman" w:cs="Times New Roman"/>
          <w:b/>
        </w:rPr>
        <w:t>El Impuesto al Valor Agregado</w:t>
      </w:r>
    </w:p>
    <w:p w14:paraId="2B0A3054" w14:textId="77777777" w:rsidR="00A32E01" w:rsidRPr="0025066B" w:rsidRDefault="00A32E01" w:rsidP="00A32E01">
      <w:pPr>
        <w:spacing w:after="0" w:line="240" w:lineRule="auto"/>
        <w:jc w:val="both"/>
        <w:rPr>
          <w:rFonts w:ascii="Times New Roman" w:hAnsi="Times New Roman" w:cs="Times New Roman"/>
          <w:sz w:val="18"/>
        </w:rPr>
      </w:pPr>
    </w:p>
    <w:p w14:paraId="40ECE347" w14:textId="77777777" w:rsidR="00A32E01" w:rsidRPr="0025066B"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t>Este impuesto, en septiembre, generó una brecha positiva de Q</w:t>
      </w:r>
      <w:r>
        <w:rPr>
          <w:rFonts w:ascii="Times New Roman" w:hAnsi="Times New Roman" w:cs="Times New Roman"/>
        </w:rPr>
        <w:t xml:space="preserve">801.2 </w:t>
      </w:r>
      <w:r w:rsidRPr="0025066B">
        <w:rPr>
          <w:rFonts w:ascii="Times New Roman" w:hAnsi="Times New Roman" w:cs="Times New Roman"/>
        </w:rPr>
        <w:t>millones respecto a la meta, explicada en su mayoría por el IVA asociado al comercio exterior, el cual mantiene la dinámica observada en 2021, principalmente como reflejo al aumento de precios en los combustibles.</w:t>
      </w:r>
    </w:p>
    <w:p w14:paraId="5AD7EFAF" w14:textId="77777777" w:rsidR="00A32E01" w:rsidRPr="0025066B" w:rsidRDefault="00A32E01" w:rsidP="00A32E01">
      <w:pPr>
        <w:spacing w:after="0" w:line="240" w:lineRule="auto"/>
        <w:jc w:val="both"/>
        <w:rPr>
          <w:rFonts w:ascii="Times New Roman" w:hAnsi="Times New Roman" w:cs="Times New Roman"/>
          <w:sz w:val="18"/>
        </w:rPr>
      </w:pPr>
    </w:p>
    <w:p w14:paraId="1BD6E928" w14:textId="29130510" w:rsidR="00960BE9" w:rsidRPr="00BD5286" w:rsidRDefault="00A32E01" w:rsidP="00A32E01">
      <w:pPr>
        <w:spacing w:after="0" w:line="240" w:lineRule="auto"/>
        <w:jc w:val="both"/>
        <w:rPr>
          <w:rFonts w:ascii="Times New Roman" w:hAnsi="Times New Roman" w:cs="Times New Roman"/>
          <w:color w:val="FF0000"/>
        </w:rPr>
      </w:pPr>
      <w:r w:rsidRPr="0025066B">
        <w:rPr>
          <w:rFonts w:ascii="Times New Roman" w:hAnsi="Times New Roman" w:cs="Times New Roman"/>
        </w:rPr>
        <w:t xml:space="preserve">Como referencia del crecimiento en el IVA de importaciones, se considera el efecto del aumento en el precio del barril de petróleo consecuencia, en parte, del conflicto armado entre Rusia y Ucrania. En septiembre 2021 el precio del barril era de US$71.55 dólares y en 2022 se ubicó en US$83.80 dólares, según la U.S. Energy </w:t>
      </w:r>
      <w:proofErr w:type="spellStart"/>
      <w:r w:rsidRPr="0025066B">
        <w:rPr>
          <w:rFonts w:ascii="Times New Roman" w:hAnsi="Times New Roman" w:cs="Times New Roman"/>
        </w:rPr>
        <w:t>Information</w:t>
      </w:r>
      <w:proofErr w:type="spellEnd"/>
      <w:r w:rsidRPr="0025066B">
        <w:rPr>
          <w:rFonts w:ascii="Times New Roman" w:hAnsi="Times New Roman" w:cs="Times New Roman"/>
        </w:rPr>
        <w:t xml:space="preserve"> </w:t>
      </w:r>
      <w:proofErr w:type="spellStart"/>
      <w:r w:rsidRPr="0025066B">
        <w:rPr>
          <w:rFonts w:ascii="Times New Roman" w:hAnsi="Times New Roman" w:cs="Times New Roman"/>
        </w:rPr>
        <w:t>Administration</w:t>
      </w:r>
      <w:proofErr w:type="spellEnd"/>
      <w:r w:rsidRPr="0025066B">
        <w:rPr>
          <w:rFonts w:ascii="Times New Roman" w:hAnsi="Times New Roman" w:cs="Times New Roman"/>
        </w:rPr>
        <w:t>.</w:t>
      </w:r>
      <w:r w:rsidR="00960BE9" w:rsidRPr="00BD5286">
        <w:rPr>
          <w:rFonts w:ascii="Times New Roman" w:hAnsi="Times New Roman" w:cs="Times New Roman"/>
          <w:color w:val="FF0000"/>
        </w:rPr>
        <w:t xml:space="preserve"> </w:t>
      </w:r>
    </w:p>
    <w:p w14:paraId="62B481C5" w14:textId="11E02F7B" w:rsidR="00B34521" w:rsidRPr="00A32E01" w:rsidRDefault="00B34521" w:rsidP="00AE7265">
      <w:pPr>
        <w:spacing w:after="0" w:line="240" w:lineRule="auto"/>
        <w:jc w:val="both"/>
        <w:rPr>
          <w:rFonts w:ascii="Times New Roman" w:hAnsi="Times New Roman" w:cs="Times New Roman"/>
        </w:rPr>
      </w:pPr>
    </w:p>
    <w:p w14:paraId="0E0B0E74" w14:textId="77777777" w:rsidR="009D2F40" w:rsidRPr="00A32E01" w:rsidRDefault="009D2F40" w:rsidP="009D2F40">
      <w:pPr>
        <w:spacing w:after="0" w:line="240" w:lineRule="auto"/>
        <w:jc w:val="center"/>
        <w:rPr>
          <w:rFonts w:ascii="Times New Roman" w:hAnsi="Times New Roman" w:cs="Times New Roman"/>
          <w:b/>
        </w:rPr>
      </w:pPr>
      <w:r w:rsidRPr="00A32E01">
        <w:rPr>
          <w:rFonts w:ascii="Times New Roman" w:hAnsi="Times New Roman" w:cs="Times New Roman"/>
          <w:b/>
        </w:rPr>
        <w:t>Precio del Petróleo WTI</w:t>
      </w:r>
    </w:p>
    <w:p w14:paraId="59363C2D" w14:textId="33834B08" w:rsidR="009D2F40" w:rsidRPr="00A32E01" w:rsidRDefault="009D2F40" w:rsidP="009D2F40">
      <w:pPr>
        <w:spacing w:after="0" w:line="240" w:lineRule="auto"/>
        <w:jc w:val="center"/>
        <w:rPr>
          <w:rFonts w:ascii="Times New Roman" w:hAnsi="Times New Roman" w:cs="Times New Roman"/>
          <w:sz w:val="20"/>
          <w:szCs w:val="20"/>
        </w:rPr>
      </w:pPr>
      <w:r w:rsidRPr="00A32E01">
        <w:rPr>
          <w:rFonts w:ascii="Times New Roman" w:hAnsi="Times New Roman" w:cs="Times New Roman"/>
          <w:sz w:val="20"/>
          <w:szCs w:val="20"/>
        </w:rPr>
        <w:t>Dólares por barril</w:t>
      </w:r>
    </w:p>
    <w:p w14:paraId="58C0F740" w14:textId="4EE24BBF" w:rsidR="001E0B46" w:rsidRPr="00A32E01" w:rsidRDefault="001E0B46" w:rsidP="009D2F40">
      <w:pPr>
        <w:spacing w:after="0" w:line="240" w:lineRule="auto"/>
        <w:jc w:val="center"/>
        <w:rPr>
          <w:rFonts w:ascii="Times New Roman" w:hAnsi="Times New Roman" w:cs="Times New Roman"/>
          <w:sz w:val="20"/>
          <w:szCs w:val="20"/>
        </w:rPr>
      </w:pPr>
      <w:r w:rsidRPr="00A32E01">
        <w:rPr>
          <w:noProof/>
          <w:lang w:eastAsia="es-GT"/>
        </w:rPr>
        <w:drawing>
          <wp:anchor distT="0" distB="0" distL="114300" distR="114300" simplePos="0" relativeHeight="251907072" behindDoc="0" locked="0" layoutInCell="1" allowOverlap="1" wp14:anchorId="17ABDAA5" wp14:editId="0A3B2028">
            <wp:simplePos x="0" y="0"/>
            <wp:positionH relativeFrom="margin">
              <wp:posOffset>3062495</wp:posOffset>
            </wp:positionH>
            <wp:positionV relativeFrom="paragraph">
              <wp:posOffset>45333</wp:posOffset>
            </wp:positionV>
            <wp:extent cx="2632710" cy="1494846"/>
            <wp:effectExtent l="0" t="0" r="0" b="889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48A3134" w14:textId="525FAF0B" w:rsidR="00D163E4" w:rsidRPr="00A32E01" w:rsidRDefault="00D163E4" w:rsidP="009D2F40">
      <w:pPr>
        <w:spacing w:after="0" w:line="240" w:lineRule="auto"/>
        <w:jc w:val="center"/>
        <w:rPr>
          <w:rFonts w:ascii="Times New Roman" w:hAnsi="Times New Roman" w:cs="Times New Roman"/>
          <w:sz w:val="20"/>
          <w:szCs w:val="20"/>
        </w:rPr>
      </w:pPr>
    </w:p>
    <w:p w14:paraId="26D701FB" w14:textId="49CB45FA" w:rsidR="00D163E4" w:rsidRPr="00A32E01" w:rsidRDefault="00D163E4" w:rsidP="009D2F40">
      <w:pPr>
        <w:spacing w:after="0" w:line="240" w:lineRule="auto"/>
        <w:jc w:val="center"/>
        <w:rPr>
          <w:rFonts w:ascii="Times New Roman" w:hAnsi="Times New Roman" w:cs="Times New Roman"/>
          <w:sz w:val="20"/>
          <w:szCs w:val="20"/>
        </w:rPr>
      </w:pPr>
    </w:p>
    <w:p w14:paraId="10AF617E" w14:textId="72BD5FEA" w:rsidR="009D2F40" w:rsidRPr="00A32E01" w:rsidRDefault="009D2F40" w:rsidP="009D2F40">
      <w:pPr>
        <w:spacing w:after="0" w:line="240" w:lineRule="auto"/>
        <w:jc w:val="center"/>
        <w:rPr>
          <w:rFonts w:ascii="Times New Roman" w:hAnsi="Times New Roman" w:cs="Times New Roman"/>
          <w:b/>
        </w:rPr>
      </w:pPr>
    </w:p>
    <w:p w14:paraId="333BDBC4" w14:textId="77777777" w:rsidR="009D2F40" w:rsidRPr="00A32E01" w:rsidRDefault="009D2F40" w:rsidP="009D2F40">
      <w:pPr>
        <w:spacing w:after="0" w:line="240" w:lineRule="auto"/>
        <w:jc w:val="center"/>
        <w:rPr>
          <w:rFonts w:ascii="Times New Roman" w:hAnsi="Times New Roman" w:cs="Times New Roman"/>
          <w:b/>
        </w:rPr>
      </w:pPr>
    </w:p>
    <w:p w14:paraId="1A6AC280" w14:textId="77777777" w:rsidR="009D2F40" w:rsidRPr="00A32E01" w:rsidRDefault="009D2F40" w:rsidP="009D2F40">
      <w:pPr>
        <w:spacing w:after="0" w:line="240" w:lineRule="auto"/>
        <w:jc w:val="center"/>
        <w:rPr>
          <w:rFonts w:ascii="Times New Roman" w:hAnsi="Times New Roman" w:cs="Times New Roman"/>
          <w:b/>
        </w:rPr>
      </w:pPr>
    </w:p>
    <w:p w14:paraId="0CB4693E" w14:textId="77777777" w:rsidR="009D2F40" w:rsidRPr="00A32E01" w:rsidRDefault="009D2F40" w:rsidP="009D2F40">
      <w:pPr>
        <w:spacing w:after="0" w:line="240" w:lineRule="auto"/>
        <w:jc w:val="center"/>
        <w:rPr>
          <w:rFonts w:ascii="Times New Roman" w:hAnsi="Times New Roman" w:cs="Times New Roman"/>
          <w:b/>
        </w:rPr>
      </w:pPr>
    </w:p>
    <w:p w14:paraId="0036209B" w14:textId="77777777" w:rsidR="009D2F40" w:rsidRPr="00A32E01" w:rsidRDefault="009D2F40" w:rsidP="009D2F40">
      <w:pPr>
        <w:spacing w:after="0" w:line="240" w:lineRule="auto"/>
        <w:jc w:val="center"/>
        <w:rPr>
          <w:rFonts w:ascii="Times New Roman" w:hAnsi="Times New Roman" w:cs="Times New Roman"/>
          <w:b/>
        </w:rPr>
      </w:pPr>
    </w:p>
    <w:p w14:paraId="378D8CD0" w14:textId="77777777" w:rsidR="009D2F40" w:rsidRPr="00A32E01" w:rsidRDefault="009D2F40" w:rsidP="009D2F40">
      <w:pPr>
        <w:spacing w:after="0" w:line="240" w:lineRule="auto"/>
        <w:jc w:val="center"/>
        <w:rPr>
          <w:rFonts w:ascii="Times New Roman" w:hAnsi="Times New Roman" w:cs="Times New Roman"/>
          <w:b/>
        </w:rPr>
      </w:pPr>
    </w:p>
    <w:p w14:paraId="4C5FCB60" w14:textId="77777777" w:rsidR="009D2F40" w:rsidRPr="00A32E01" w:rsidRDefault="009D2F40" w:rsidP="009D2F40">
      <w:pPr>
        <w:spacing w:after="0" w:line="240" w:lineRule="auto"/>
        <w:jc w:val="center"/>
        <w:rPr>
          <w:rFonts w:ascii="Times New Roman" w:hAnsi="Times New Roman" w:cs="Times New Roman"/>
          <w:b/>
        </w:rPr>
      </w:pPr>
    </w:p>
    <w:p w14:paraId="7330953B" w14:textId="1D38328A" w:rsidR="009D2F40" w:rsidRPr="00A32E01" w:rsidRDefault="009D2F40" w:rsidP="009D2F40">
      <w:pPr>
        <w:spacing w:after="0" w:line="240" w:lineRule="auto"/>
        <w:jc w:val="both"/>
        <w:rPr>
          <w:rFonts w:ascii="Times New Roman" w:hAnsi="Times New Roman" w:cs="Times New Roman"/>
          <w:sz w:val="16"/>
          <w:szCs w:val="16"/>
          <w:lang w:val="en-US"/>
        </w:rPr>
      </w:pPr>
      <w:r w:rsidRPr="00A32E01">
        <w:rPr>
          <w:rFonts w:ascii="Times New Roman" w:hAnsi="Times New Roman" w:cs="Times New Roman"/>
          <w:sz w:val="16"/>
          <w:szCs w:val="16"/>
          <w:lang w:val="en-US"/>
        </w:rPr>
        <w:t>Fuente: U.S. Energy Information Administration.</w:t>
      </w:r>
    </w:p>
    <w:p w14:paraId="77FF2096" w14:textId="44EEA61E" w:rsidR="00A32E01" w:rsidRPr="00A32E01" w:rsidRDefault="00A32E01" w:rsidP="00A32E01">
      <w:pPr>
        <w:spacing w:after="0" w:line="240" w:lineRule="auto"/>
        <w:jc w:val="both"/>
        <w:rPr>
          <w:rFonts w:ascii="Times New Roman" w:hAnsi="Times New Roman" w:cs="Times New Roman"/>
        </w:rPr>
      </w:pPr>
      <w:r w:rsidRPr="00A32E01">
        <w:rPr>
          <w:rFonts w:ascii="Times New Roman" w:hAnsi="Times New Roman" w:cs="Times New Roman"/>
        </w:rPr>
        <w:lastRenderedPageBreak/>
        <w:t>De manera acumulada, el IVA total generó una brecha positiva de Q5,316.1 millones respecto a la meta de presupuesto y Q5,067.8 millones respecto a lo observado en 2021.  Destaca que el IVA asociado al comercio exterior mantiene el mayor aporte, reflejando crecimientos de 34.3% respecto a la meta de presupuesto y 28.0% respecto a lo observado en 2021.</w:t>
      </w:r>
    </w:p>
    <w:p w14:paraId="11921CB9" w14:textId="77777777" w:rsidR="00A32E01" w:rsidRPr="000468DA" w:rsidRDefault="00A32E01" w:rsidP="00A32E01">
      <w:pPr>
        <w:spacing w:after="0" w:line="240" w:lineRule="auto"/>
        <w:jc w:val="both"/>
        <w:rPr>
          <w:rFonts w:ascii="Times New Roman" w:hAnsi="Times New Roman" w:cs="Times New Roman"/>
          <w:sz w:val="14"/>
        </w:rPr>
      </w:pPr>
    </w:p>
    <w:p w14:paraId="2D648CFF" w14:textId="77777777" w:rsidR="00A32E01" w:rsidRPr="00A32E01" w:rsidRDefault="00A32E01" w:rsidP="00A32E01">
      <w:pPr>
        <w:spacing w:after="0" w:line="240" w:lineRule="auto"/>
        <w:jc w:val="both"/>
        <w:rPr>
          <w:rFonts w:ascii="Times New Roman" w:hAnsi="Times New Roman" w:cs="Times New Roman"/>
          <w:b/>
          <w:bCs/>
        </w:rPr>
      </w:pPr>
      <w:r w:rsidRPr="00A32E01">
        <w:rPr>
          <w:rFonts w:ascii="Times New Roman" w:hAnsi="Times New Roman" w:cs="Times New Roman"/>
          <w:b/>
          <w:bCs/>
        </w:rPr>
        <w:t>Los demás impuestos</w:t>
      </w:r>
    </w:p>
    <w:p w14:paraId="0581D76D" w14:textId="77777777" w:rsidR="00A32E01" w:rsidRPr="000468DA" w:rsidRDefault="00A32E01" w:rsidP="00A32E01">
      <w:pPr>
        <w:spacing w:after="0" w:line="240" w:lineRule="auto"/>
        <w:jc w:val="both"/>
        <w:rPr>
          <w:rFonts w:ascii="Times New Roman" w:hAnsi="Times New Roman" w:cs="Times New Roman"/>
          <w:b/>
          <w:bCs/>
          <w:sz w:val="14"/>
          <w:szCs w:val="14"/>
        </w:rPr>
      </w:pPr>
    </w:p>
    <w:p w14:paraId="61321A55" w14:textId="77777777" w:rsidR="00A32E01" w:rsidRPr="00A32E01" w:rsidRDefault="00A32E01" w:rsidP="00A32E01">
      <w:pPr>
        <w:spacing w:after="0" w:line="240" w:lineRule="auto"/>
        <w:jc w:val="both"/>
        <w:rPr>
          <w:rFonts w:ascii="Times New Roman" w:hAnsi="Times New Roman" w:cs="Times New Roman"/>
        </w:rPr>
      </w:pPr>
      <w:r w:rsidRPr="00A32E01">
        <w:rPr>
          <w:rFonts w:ascii="Times New Roman" w:hAnsi="Times New Roman" w:cs="Times New Roman"/>
        </w:rPr>
        <w:t>En la recaudación de septiembre destaca que el Impuesto de Timbres Fiscales y el Impuesto de Tabacos no alcanzaron la meta mensual dejando de percibir en conjunto Q10.1 millones.</w:t>
      </w:r>
    </w:p>
    <w:p w14:paraId="5A290F63" w14:textId="77777777" w:rsidR="00A32E01" w:rsidRPr="000468DA" w:rsidRDefault="00A32E01" w:rsidP="00A32E01">
      <w:pPr>
        <w:spacing w:after="0" w:line="240" w:lineRule="auto"/>
        <w:jc w:val="both"/>
        <w:rPr>
          <w:rFonts w:ascii="Times New Roman" w:hAnsi="Times New Roman" w:cs="Times New Roman"/>
          <w:sz w:val="14"/>
          <w:szCs w:val="14"/>
        </w:rPr>
      </w:pPr>
    </w:p>
    <w:p w14:paraId="74402101" w14:textId="77777777" w:rsidR="00A32E01" w:rsidRPr="00A32E01" w:rsidRDefault="00A32E01" w:rsidP="00A32E01">
      <w:pPr>
        <w:spacing w:after="0" w:line="240" w:lineRule="auto"/>
        <w:jc w:val="both"/>
        <w:rPr>
          <w:rFonts w:ascii="Times New Roman" w:hAnsi="Times New Roman" w:cs="Times New Roman"/>
        </w:rPr>
      </w:pPr>
      <w:r w:rsidRPr="00A32E01">
        <w:rPr>
          <w:rFonts w:ascii="Times New Roman" w:hAnsi="Times New Roman" w:cs="Times New Roman"/>
        </w:rPr>
        <w:t>De manera acumulada todos los impuestos generan brecha positiva, contrario a lo observado en agosto donde el Impuesto a la Circulación de Vehículos y el Impuesto a los derivados del petróleo generan una brecha negativa de Q52.7 millones en conjunto.</w:t>
      </w:r>
    </w:p>
    <w:p w14:paraId="5B3F0D9C" w14:textId="77777777" w:rsidR="00A32E01" w:rsidRPr="000468DA" w:rsidRDefault="00A32E01" w:rsidP="00A32E01">
      <w:pPr>
        <w:spacing w:after="0" w:line="240" w:lineRule="auto"/>
        <w:jc w:val="both"/>
        <w:rPr>
          <w:rFonts w:ascii="Times New Roman" w:hAnsi="Times New Roman" w:cs="Times New Roman"/>
          <w:sz w:val="14"/>
          <w:szCs w:val="14"/>
        </w:rPr>
      </w:pPr>
    </w:p>
    <w:p w14:paraId="1CFA0964" w14:textId="77777777" w:rsidR="00A32E01" w:rsidRPr="00A32E01" w:rsidRDefault="00A32E01" w:rsidP="00A32E01">
      <w:pPr>
        <w:spacing w:after="0" w:line="240" w:lineRule="auto"/>
        <w:jc w:val="both"/>
        <w:rPr>
          <w:rFonts w:ascii="Times New Roman" w:hAnsi="Times New Roman" w:cs="Times New Roman"/>
          <w:b/>
          <w:bCs/>
        </w:rPr>
      </w:pPr>
      <w:r w:rsidRPr="00A32E01">
        <w:rPr>
          <w:rFonts w:ascii="Times New Roman" w:hAnsi="Times New Roman" w:cs="Times New Roman"/>
          <w:b/>
          <w:bCs/>
        </w:rPr>
        <w:t>Estructura de la recaudación tributaria acumulada a septiembre 2022</w:t>
      </w:r>
    </w:p>
    <w:p w14:paraId="3F471480" w14:textId="77777777" w:rsidR="00A32E01" w:rsidRPr="000468DA" w:rsidRDefault="00A32E01" w:rsidP="00A32E01">
      <w:pPr>
        <w:spacing w:after="0" w:line="240" w:lineRule="auto"/>
        <w:jc w:val="both"/>
        <w:rPr>
          <w:rFonts w:ascii="Times New Roman" w:hAnsi="Times New Roman" w:cs="Times New Roman"/>
          <w:sz w:val="14"/>
          <w:szCs w:val="14"/>
          <w:lang w:val="es-MX"/>
        </w:rPr>
      </w:pPr>
    </w:p>
    <w:p w14:paraId="24EA3DCE" w14:textId="77777777" w:rsidR="00A32E01" w:rsidRPr="00A32E01" w:rsidRDefault="00A32E01" w:rsidP="00A32E01">
      <w:pPr>
        <w:pStyle w:val="Sinespaciado"/>
        <w:jc w:val="both"/>
        <w:rPr>
          <w:rFonts w:ascii="Times New Roman" w:hAnsi="Times New Roman" w:cs="Times New Roman"/>
          <w:lang w:val="es-MX"/>
        </w:rPr>
      </w:pPr>
      <w:r w:rsidRPr="00A32E01">
        <w:rPr>
          <w:rFonts w:ascii="Times New Roman" w:hAnsi="Times New Roman" w:cs="Times New Roman"/>
          <w:lang w:val="es-MX"/>
        </w:rPr>
        <w:t>La recaudación tributaria a septiembre 2022 mantiene la estructura y el desempeño positivo explicado principalmente por impuestos como el ISR, y el IVA, que en conjunto representan el 77.7% de la recaudación observada total.</w:t>
      </w:r>
    </w:p>
    <w:p w14:paraId="4951D05E" w14:textId="1B104E93" w:rsidR="00A32E01" w:rsidRDefault="00A32E01" w:rsidP="00A32E01">
      <w:pPr>
        <w:spacing w:after="0" w:line="240" w:lineRule="auto"/>
        <w:jc w:val="both"/>
        <w:rPr>
          <w:rFonts w:ascii="Times New Roman" w:hAnsi="Times New Roman" w:cs="Times New Roman"/>
        </w:rPr>
      </w:pPr>
    </w:p>
    <w:p w14:paraId="5BA31419" w14:textId="45A80A8E" w:rsidR="000468DA" w:rsidRDefault="000468DA" w:rsidP="00A32E01">
      <w:pPr>
        <w:spacing w:after="0" w:line="240" w:lineRule="auto"/>
        <w:jc w:val="both"/>
        <w:rPr>
          <w:rFonts w:ascii="Times New Roman" w:hAnsi="Times New Roman" w:cs="Times New Roman"/>
        </w:rPr>
      </w:pPr>
    </w:p>
    <w:p w14:paraId="5AA9D33C" w14:textId="2569122D" w:rsidR="000468DA" w:rsidRDefault="000468DA" w:rsidP="00A32E01">
      <w:pPr>
        <w:spacing w:after="0" w:line="240" w:lineRule="auto"/>
        <w:jc w:val="both"/>
        <w:rPr>
          <w:rFonts w:ascii="Times New Roman" w:hAnsi="Times New Roman" w:cs="Times New Roman"/>
        </w:rPr>
      </w:pPr>
    </w:p>
    <w:p w14:paraId="727A4455" w14:textId="796A87EC" w:rsidR="000468DA" w:rsidRPr="000468DA" w:rsidRDefault="000468DA" w:rsidP="00A32E01">
      <w:pPr>
        <w:spacing w:after="0" w:line="240" w:lineRule="auto"/>
        <w:jc w:val="both"/>
        <w:rPr>
          <w:rFonts w:ascii="Times New Roman" w:hAnsi="Times New Roman" w:cs="Times New Roman"/>
          <w:sz w:val="18"/>
        </w:rPr>
      </w:pPr>
    </w:p>
    <w:p w14:paraId="62B37964" w14:textId="507F87C1" w:rsidR="00A32E01" w:rsidRPr="00A32E01" w:rsidRDefault="00A32E01" w:rsidP="00A32E01">
      <w:pPr>
        <w:spacing w:after="0" w:line="240" w:lineRule="auto"/>
        <w:jc w:val="center"/>
        <w:rPr>
          <w:rFonts w:ascii="Times New Roman" w:hAnsi="Times New Roman" w:cs="Times New Roman"/>
          <w:b/>
          <w:bCs/>
        </w:rPr>
      </w:pPr>
      <w:r w:rsidRPr="00A32E01">
        <w:rPr>
          <w:rFonts w:ascii="Times New Roman" w:hAnsi="Times New Roman" w:cs="Times New Roman"/>
          <w:b/>
          <w:bCs/>
        </w:rPr>
        <w:t xml:space="preserve">Aporte por impuesto a la recaudación </w:t>
      </w:r>
    </w:p>
    <w:p w14:paraId="13BE5282" w14:textId="1A44E9F7" w:rsidR="009D2F40" w:rsidRPr="00A32E01" w:rsidRDefault="00A32E01" w:rsidP="00A32E01">
      <w:pPr>
        <w:spacing w:after="0" w:line="240" w:lineRule="auto"/>
        <w:jc w:val="both"/>
        <w:rPr>
          <w:rFonts w:ascii="Times New Roman" w:hAnsi="Times New Roman" w:cs="Times New Roman"/>
          <w:b/>
          <w:bCs/>
        </w:rPr>
      </w:pPr>
      <w:r w:rsidRPr="00A32E01">
        <w:rPr>
          <w:rFonts w:ascii="Times New Roman" w:hAnsi="Times New Roman" w:cs="Times New Roman"/>
          <w:b/>
          <w:bCs/>
        </w:rPr>
        <w:t>Tributaria acumulada a septiembre 2022</w:t>
      </w:r>
    </w:p>
    <w:p w14:paraId="076FF0EA" w14:textId="22113192" w:rsidR="009D2F40" w:rsidRPr="00A32E01" w:rsidRDefault="00D163E4" w:rsidP="009D2F40">
      <w:pPr>
        <w:spacing w:after="0" w:line="240" w:lineRule="auto"/>
        <w:jc w:val="both"/>
        <w:rPr>
          <w:rFonts w:ascii="Times New Roman" w:hAnsi="Times New Roman" w:cs="Times New Roman"/>
        </w:rPr>
      </w:pPr>
      <w:r w:rsidRPr="00A32E01">
        <w:rPr>
          <w:noProof/>
          <w:lang w:eastAsia="es-GT"/>
        </w:rPr>
        <w:drawing>
          <wp:inline distT="0" distB="0" distL="0" distR="0" wp14:anchorId="08A76E42" wp14:editId="7C76CCA8">
            <wp:extent cx="2647950" cy="1351722"/>
            <wp:effectExtent l="0" t="0" r="1905" b="22225"/>
            <wp:docPr id="239" name="Gráfico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B05221B" w14:textId="45718AED" w:rsidR="009D2F40" w:rsidRPr="00A32E01" w:rsidRDefault="009D2F40" w:rsidP="009D2F40">
      <w:pPr>
        <w:spacing w:after="0" w:line="240" w:lineRule="auto"/>
        <w:jc w:val="both"/>
        <w:rPr>
          <w:rFonts w:ascii="Times New Roman" w:hAnsi="Times New Roman" w:cs="Times New Roman"/>
          <w:sz w:val="16"/>
          <w:szCs w:val="16"/>
          <w:lang w:val="es-MX"/>
        </w:rPr>
      </w:pPr>
      <w:r w:rsidRPr="00A32E01">
        <w:rPr>
          <w:rFonts w:ascii="Times New Roman" w:hAnsi="Times New Roman" w:cs="Times New Roman"/>
          <w:sz w:val="16"/>
          <w:szCs w:val="16"/>
          <w:lang w:val="es-MX"/>
        </w:rPr>
        <w:t>Fuente: Dirección</w:t>
      </w:r>
      <w:r w:rsidR="004E6BD0" w:rsidRPr="00A32E01">
        <w:rPr>
          <w:rFonts w:ascii="Times New Roman" w:hAnsi="Times New Roman" w:cs="Times New Roman"/>
          <w:sz w:val="16"/>
          <w:szCs w:val="16"/>
          <w:lang w:val="es-MX"/>
        </w:rPr>
        <w:t xml:space="preserve"> de Análisis y Política Fiscal.</w:t>
      </w:r>
    </w:p>
    <w:p w14:paraId="5282606D" w14:textId="542414EF" w:rsidR="00D163E4" w:rsidRPr="000468DA" w:rsidRDefault="00D163E4" w:rsidP="009D2F40">
      <w:pPr>
        <w:spacing w:after="0" w:line="240" w:lineRule="auto"/>
        <w:jc w:val="both"/>
        <w:rPr>
          <w:rFonts w:ascii="Times New Roman" w:hAnsi="Times New Roman" w:cs="Times New Roman"/>
          <w:color w:val="FF0000"/>
          <w:sz w:val="14"/>
          <w:szCs w:val="14"/>
        </w:rPr>
      </w:pPr>
    </w:p>
    <w:p w14:paraId="024DFD5D" w14:textId="77777777" w:rsidR="00A32E01" w:rsidRPr="0025066B" w:rsidRDefault="00A32E01" w:rsidP="00A32E01">
      <w:pPr>
        <w:spacing w:after="0" w:line="240" w:lineRule="auto"/>
        <w:jc w:val="both"/>
        <w:rPr>
          <w:rFonts w:ascii="Times New Roman" w:hAnsi="Times New Roman" w:cs="Times New Roman"/>
          <w:b/>
          <w:bCs/>
        </w:rPr>
      </w:pPr>
      <w:r w:rsidRPr="0025066B">
        <w:rPr>
          <w:rFonts w:ascii="Times New Roman" w:hAnsi="Times New Roman" w:cs="Times New Roman"/>
          <w:b/>
          <w:bCs/>
        </w:rPr>
        <w:t>Expectativas de cierre 2022</w:t>
      </w:r>
    </w:p>
    <w:p w14:paraId="04FD843F" w14:textId="77777777" w:rsidR="00A32E01" w:rsidRPr="0025066B" w:rsidRDefault="00A32E01" w:rsidP="00A32E01">
      <w:pPr>
        <w:spacing w:after="0" w:line="240" w:lineRule="auto"/>
        <w:jc w:val="both"/>
        <w:rPr>
          <w:rFonts w:ascii="Times New Roman" w:hAnsi="Times New Roman" w:cs="Times New Roman"/>
          <w:sz w:val="16"/>
        </w:rPr>
      </w:pPr>
    </w:p>
    <w:p w14:paraId="3A21B78A" w14:textId="0CC725DB" w:rsidR="009D2F40" w:rsidRPr="00A32E01" w:rsidRDefault="00A32E01" w:rsidP="00A32E01">
      <w:pPr>
        <w:spacing w:after="0" w:line="240" w:lineRule="auto"/>
        <w:jc w:val="both"/>
        <w:rPr>
          <w:rFonts w:ascii="Times New Roman" w:hAnsi="Times New Roman" w:cs="Times New Roman"/>
        </w:rPr>
      </w:pPr>
      <w:r w:rsidRPr="0025066B">
        <w:rPr>
          <w:rFonts w:ascii="Times New Roman" w:hAnsi="Times New Roman" w:cs="Times New Roman"/>
        </w:rPr>
        <w:t>De conformidad con los resultados obtenidos de recaudación tributaria al mes de septiembre y bajo el escenario de pleno cumplimiento de las metas mensuales para el resto del año, el resultado del ejercicio fiscal a diciembre 2022 puede rondar los Q85,4</w:t>
      </w:r>
      <w:r>
        <w:rPr>
          <w:rFonts w:ascii="Times New Roman" w:hAnsi="Times New Roman" w:cs="Times New Roman"/>
        </w:rPr>
        <w:t xml:space="preserve">71.4 </w:t>
      </w:r>
      <w:r w:rsidRPr="0025066B">
        <w:rPr>
          <w:rFonts w:ascii="Times New Roman" w:hAnsi="Times New Roman" w:cs="Times New Roman"/>
        </w:rPr>
        <w:t xml:space="preserve">millones, es decir, de octubre a diciembre, la meta se cumple en </w:t>
      </w:r>
      <w:r w:rsidRPr="00A32E01">
        <w:rPr>
          <w:rFonts w:ascii="Times New Roman" w:hAnsi="Times New Roman" w:cs="Times New Roman"/>
        </w:rPr>
        <w:t>100%.</w:t>
      </w:r>
    </w:p>
    <w:p w14:paraId="76FDB30C" w14:textId="77777777" w:rsidR="00D163E4" w:rsidRPr="000468DA" w:rsidRDefault="00D163E4" w:rsidP="009D2F40">
      <w:pPr>
        <w:spacing w:after="0" w:line="240" w:lineRule="auto"/>
        <w:jc w:val="both"/>
        <w:rPr>
          <w:rFonts w:ascii="Times New Roman" w:hAnsi="Times New Roman" w:cs="Times New Roman"/>
          <w:sz w:val="14"/>
          <w:szCs w:val="14"/>
        </w:rPr>
      </w:pPr>
    </w:p>
    <w:p w14:paraId="3A8AF58F" w14:textId="77777777" w:rsidR="009D2F40" w:rsidRPr="00A32E01" w:rsidRDefault="009D2F40" w:rsidP="009D2F40">
      <w:pPr>
        <w:spacing w:after="0" w:line="240" w:lineRule="auto"/>
        <w:jc w:val="center"/>
        <w:rPr>
          <w:rFonts w:ascii="Times New Roman" w:hAnsi="Times New Roman" w:cs="Times New Roman"/>
        </w:rPr>
      </w:pPr>
      <w:r w:rsidRPr="00A32E01">
        <w:rPr>
          <w:rFonts w:ascii="Times New Roman" w:hAnsi="Times New Roman" w:cs="Times New Roman"/>
          <w:b/>
          <w:bCs/>
        </w:rPr>
        <w:t>Estimación de ejercicio fiscal 2022</w:t>
      </w:r>
      <w:r w:rsidRPr="00A32E01">
        <w:rPr>
          <w:rFonts w:ascii="Times New Roman" w:hAnsi="Times New Roman" w:cs="Times New Roman"/>
        </w:rPr>
        <w:t xml:space="preserve"> </w:t>
      </w:r>
    </w:p>
    <w:p w14:paraId="7FFB5346" w14:textId="77777777" w:rsidR="009D2F40" w:rsidRPr="00A32E01" w:rsidRDefault="009D2F40" w:rsidP="009D2F40">
      <w:pPr>
        <w:spacing w:after="0" w:line="240" w:lineRule="auto"/>
        <w:jc w:val="center"/>
        <w:rPr>
          <w:rFonts w:ascii="Times New Roman" w:hAnsi="Times New Roman" w:cs="Times New Roman"/>
        </w:rPr>
      </w:pPr>
      <w:r w:rsidRPr="00A32E01">
        <w:rPr>
          <w:rFonts w:ascii="Times New Roman" w:hAnsi="Times New Roman" w:cs="Times New Roman"/>
        </w:rPr>
        <w:t>Millones de quetzales</w:t>
      </w:r>
    </w:p>
    <w:p w14:paraId="67B6ACF2" w14:textId="1AE9B6CD" w:rsidR="009D2F40" w:rsidRPr="00A32E01" w:rsidRDefault="00A32E01" w:rsidP="009D2F40">
      <w:pPr>
        <w:spacing w:after="0" w:line="240" w:lineRule="auto"/>
        <w:jc w:val="both"/>
        <w:rPr>
          <w:rFonts w:ascii="Times New Roman" w:hAnsi="Times New Roman" w:cs="Times New Roman"/>
        </w:rPr>
      </w:pPr>
      <w:r w:rsidRPr="00A32E01">
        <w:rPr>
          <w:noProof/>
          <w:lang w:eastAsia="es-GT"/>
        </w:rPr>
        <w:drawing>
          <wp:inline distT="0" distB="0" distL="0" distR="0" wp14:anchorId="13169C89" wp14:editId="12D50AB7">
            <wp:extent cx="2581275" cy="1331959"/>
            <wp:effectExtent l="0" t="0" r="0" b="1905"/>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BE4DB4" w14:textId="40EDFC09" w:rsidR="0039109B" w:rsidRPr="000468DA" w:rsidRDefault="009D2F40" w:rsidP="009D2F40">
      <w:pPr>
        <w:spacing w:after="0" w:line="240" w:lineRule="auto"/>
        <w:jc w:val="both"/>
        <w:rPr>
          <w:rFonts w:ascii="Times New Roman" w:hAnsi="Times New Roman" w:cs="Times New Roman"/>
          <w:sz w:val="16"/>
          <w:szCs w:val="16"/>
          <w:lang w:val="es-MX"/>
        </w:rPr>
      </w:pPr>
      <w:r w:rsidRPr="00A32E01">
        <w:rPr>
          <w:rFonts w:ascii="Times New Roman" w:hAnsi="Times New Roman" w:cs="Times New Roman"/>
          <w:sz w:val="16"/>
          <w:szCs w:val="16"/>
          <w:lang w:val="es-MX"/>
        </w:rPr>
        <w:t>Fuente: Dirección de Análisis y Política Fiscal.</w:t>
      </w:r>
    </w:p>
    <w:p w14:paraId="00A1080D" w14:textId="77777777" w:rsidR="00286DB5" w:rsidRPr="00BD5286" w:rsidRDefault="00286DB5" w:rsidP="00286DB5">
      <w:pPr>
        <w:spacing w:after="0" w:line="240" w:lineRule="auto"/>
        <w:jc w:val="both"/>
        <w:rPr>
          <w:rFonts w:ascii="Times New Roman" w:hAnsi="Times New Roman" w:cs="Times New Roman"/>
          <w:color w:val="FF0000"/>
          <w:sz w:val="12"/>
        </w:rPr>
      </w:pPr>
    </w:p>
    <w:p w14:paraId="3CBE9AF0" w14:textId="77777777" w:rsidR="001C5B4A" w:rsidRPr="00BD5286" w:rsidRDefault="001C5B4A" w:rsidP="00286DB5">
      <w:pPr>
        <w:spacing w:after="0" w:line="240" w:lineRule="auto"/>
        <w:jc w:val="both"/>
        <w:rPr>
          <w:rFonts w:ascii="Times New Roman" w:hAnsi="Times New Roman" w:cs="Times New Roman"/>
          <w:color w:val="FF0000"/>
        </w:rPr>
        <w:sectPr w:rsidR="001C5B4A" w:rsidRPr="00BD5286" w:rsidSect="001C5B4A">
          <w:headerReference w:type="default" r:id="rId19"/>
          <w:footerReference w:type="default" r:id="rId20"/>
          <w:type w:val="continuous"/>
          <w:pgSz w:w="12240" w:h="15840"/>
          <w:pgMar w:top="1417" w:right="1701" w:bottom="1417" w:left="1701" w:header="708" w:footer="708" w:gutter="0"/>
          <w:cols w:num="2" w:space="708"/>
          <w:docGrid w:linePitch="360"/>
        </w:sectPr>
      </w:pPr>
    </w:p>
    <w:p w14:paraId="774AB636" w14:textId="77777777" w:rsidR="00286DB5" w:rsidRPr="00BD5286" w:rsidRDefault="00286DB5" w:rsidP="00286DB5">
      <w:pPr>
        <w:spacing w:after="0" w:line="240" w:lineRule="auto"/>
        <w:jc w:val="both"/>
        <w:rPr>
          <w:rFonts w:ascii="Times New Roman" w:hAnsi="Times New Roman" w:cs="Times New Roman"/>
          <w:color w:val="FF0000"/>
          <w:sz w:val="8"/>
        </w:rPr>
      </w:pPr>
    </w:p>
    <w:p w14:paraId="083D36CC" w14:textId="77777777" w:rsidR="00F23E3F" w:rsidRPr="00BD5286" w:rsidRDefault="00F23E3F" w:rsidP="00F23E3F">
      <w:pPr>
        <w:spacing w:after="0"/>
        <w:rPr>
          <w:rFonts w:ascii="Times New Roman" w:hAnsi="Times New Roman" w:cs="Times New Roman"/>
          <w:color w:val="FF0000"/>
          <w:sz w:val="24"/>
          <w:szCs w:val="24"/>
        </w:rPr>
        <w:sectPr w:rsidR="00F23E3F" w:rsidRPr="00BD5286" w:rsidSect="00960BE9">
          <w:headerReference w:type="default" r:id="rId21"/>
          <w:footerReference w:type="default" r:id="rId22"/>
          <w:type w:val="continuous"/>
          <w:pgSz w:w="12240" w:h="15840"/>
          <w:pgMar w:top="1417" w:right="1701" w:bottom="1417" w:left="1701" w:header="708" w:footer="708" w:gutter="0"/>
          <w:cols w:space="708"/>
          <w:docGrid w:linePitch="360"/>
        </w:sectPr>
      </w:pPr>
    </w:p>
    <w:p w14:paraId="2F6BE948" w14:textId="6CA85976" w:rsidR="00960BE9" w:rsidRPr="00BD5286" w:rsidRDefault="00562442" w:rsidP="00013059">
      <w:pPr>
        <w:pStyle w:val="Sinespaciado"/>
        <w:shd w:val="clear" w:color="auto" w:fill="44546A" w:themeFill="text2"/>
        <w:ind w:right="-376" w:hanging="426"/>
        <w:jc w:val="center"/>
        <w:rPr>
          <w:rFonts w:ascii="Times New Roman" w:hAnsi="Times New Roman" w:cs="Times New Roman"/>
          <w:b/>
          <w:color w:val="FF0000"/>
          <w:sz w:val="24"/>
          <w:szCs w:val="24"/>
          <w:lang w:val="es-MX"/>
        </w:rPr>
      </w:pPr>
      <w:bookmarkStart w:id="2" w:name="_Hlk108188746"/>
      <w:r w:rsidRPr="003266B4">
        <w:rPr>
          <w:rFonts w:ascii="Times New Roman" w:hAnsi="Times New Roman" w:cs="Times New Roman"/>
          <w:b/>
          <w:color w:val="FFFFFF" w:themeColor="background1"/>
          <w:sz w:val="24"/>
          <w:szCs w:val="24"/>
        </w:rPr>
        <w:t>Continúa la</w:t>
      </w:r>
      <w:r w:rsidR="00FE5E84" w:rsidRPr="003266B4">
        <w:rPr>
          <w:rFonts w:ascii="Times New Roman" w:hAnsi="Times New Roman" w:cs="Times New Roman"/>
          <w:b/>
          <w:color w:val="FFFFFF" w:themeColor="background1"/>
          <w:sz w:val="24"/>
          <w:szCs w:val="24"/>
        </w:rPr>
        <w:t xml:space="preserve"> </w:t>
      </w:r>
      <w:r w:rsidR="00A02F83" w:rsidRPr="003266B4">
        <w:rPr>
          <w:rFonts w:ascii="Times New Roman" w:hAnsi="Times New Roman" w:cs="Times New Roman"/>
          <w:b/>
          <w:color w:val="FFFFFF" w:themeColor="background1"/>
          <w:sz w:val="24"/>
          <w:szCs w:val="24"/>
        </w:rPr>
        <w:t>aceleración en</w:t>
      </w:r>
      <w:r w:rsidR="003854FF" w:rsidRPr="003266B4">
        <w:rPr>
          <w:rFonts w:ascii="Times New Roman" w:hAnsi="Times New Roman" w:cs="Times New Roman"/>
          <w:b/>
          <w:color w:val="FFFFFF" w:themeColor="background1"/>
          <w:sz w:val="24"/>
          <w:szCs w:val="24"/>
          <w:lang w:val="es-MX"/>
        </w:rPr>
        <w:t xml:space="preserve"> la ejecución</w:t>
      </w:r>
      <w:r w:rsidR="000150E7" w:rsidRPr="003266B4">
        <w:rPr>
          <w:rFonts w:ascii="Times New Roman" w:hAnsi="Times New Roman" w:cs="Times New Roman"/>
          <w:b/>
          <w:color w:val="FFFFFF" w:themeColor="background1"/>
          <w:sz w:val="24"/>
          <w:szCs w:val="24"/>
          <w:lang w:val="es-MX"/>
        </w:rPr>
        <w:t xml:space="preserve"> del </w:t>
      </w:r>
      <w:r w:rsidR="00F23E3F" w:rsidRPr="003266B4">
        <w:rPr>
          <w:rFonts w:ascii="Times New Roman" w:hAnsi="Times New Roman" w:cs="Times New Roman"/>
          <w:b/>
          <w:color w:val="FFFFFF" w:themeColor="background1"/>
          <w:sz w:val="24"/>
          <w:szCs w:val="24"/>
          <w:lang w:val="es-MX"/>
        </w:rPr>
        <w:t xml:space="preserve">gasto </w:t>
      </w:r>
      <w:r w:rsidR="000150E7" w:rsidRPr="003266B4">
        <w:rPr>
          <w:rFonts w:ascii="Times New Roman" w:hAnsi="Times New Roman" w:cs="Times New Roman"/>
          <w:b/>
          <w:color w:val="FFFFFF" w:themeColor="background1"/>
          <w:sz w:val="24"/>
          <w:szCs w:val="24"/>
          <w:lang w:val="es-MX"/>
        </w:rPr>
        <w:t>público</w:t>
      </w:r>
    </w:p>
    <w:bookmarkEnd w:id="2"/>
    <w:p w14:paraId="59E13956" w14:textId="77777777" w:rsidR="00F23E3F" w:rsidRPr="00BD5286" w:rsidRDefault="00F23E3F" w:rsidP="00F23E3F">
      <w:pPr>
        <w:pStyle w:val="Sinespaciado"/>
        <w:rPr>
          <w:rFonts w:ascii="Times New Roman" w:hAnsi="Times New Roman" w:cs="Times New Roman"/>
          <w:color w:val="FF0000"/>
          <w:sz w:val="18"/>
          <w:szCs w:val="18"/>
          <w:lang w:val="es-MX"/>
        </w:rPr>
      </w:pPr>
    </w:p>
    <w:p w14:paraId="30616B57" w14:textId="77777777" w:rsidR="00F23E3F" w:rsidRPr="00BD5286" w:rsidRDefault="00F23E3F" w:rsidP="00F23E3F">
      <w:pPr>
        <w:spacing w:after="0"/>
        <w:rPr>
          <w:rFonts w:ascii="Times New Roman" w:hAnsi="Times New Roman" w:cs="Times New Roman"/>
          <w:color w:val="FF0000"/>
          <w:sz w:val="24"/>
        </w:rPr>
        <w:sectPr w:rsidR="00F23E3F" w:rsidRPr="00BD5286" w:rsidSect="00960BE9">
          <w:headerReference w:type="default" r:id="rId23"/>
          <w:footerReference w:type="default" r:id="rId24"/>
          <w:type w:val="continuous"/>
          <w:pgSz w:w="12240" w:h="15840"/>
          <w:pgMar w:top="1417" w:right="1701" w:bottom="1417" w:left="1701" w:header="708" w:footer="708" w:gutter="0"/>
          <w:cols w:space="708"/>
          <w:docGrid w:linePitch="360"/>
        </w:sectPr>
      </w:pPr>
    </w:p>
    <w:p w14:paraId="49AED45F" w14:textId="7A6CF7CD" w:rsidR="00A02F83" w:rsidRPr="00BD5286" w:rsidRDefault="003266B4" w:rsidP="00A02F83">
      <w:pPr>
        <w:pStyle w:val="Sinespaciado"/>
        <w:jc w:val="both"/>
        <w:rPr>
          <w:rFonts w:ascii="Times New Roman" w:hAnsi="Times New Roman" w:cs="Times New Roman"/>
          <w:color w:val="FF0000"/>
          <w:lang w:val="es-MX"/>
        </w:rPr>
      </w:pPr>
      <w:r w:rsidRPr="0025066B">
        <w:rPr>
          <w:rFonts w:ascii="Times New Roman" w:hAnsi="Times New Roman" w:cs="Times New Roman"/>
          <w:lang w:val="es-MX"/>
        </w:rPr>
        <w:t>La ejecución del gasto público a septiembre, sin incluir las amortizaciones de la deuda pública, se ubicó en Q72,901.2 millones, con una variación interanual de 17.3% (equivalente a Q10,730.3 millones). Este nivel de ejecución se muestra dinámico, con una aceleración en su ritmo respecto a agosto.</w:t>
      </w:r>
    </w:p>
    <w:p w14:paraId="428F1CED" w14:textId="741DF82D" w:rsidR="00562442" w:rsidRDefault="00562442" w:rsidP="00A02F83">
      <w:pPr>
        <w:pStyle w:val="Sinespaciado"/>
        <w:jc w:val="both"/>
        <w:rPr>
          <w:rFonts w:ascii="Times New Roman" w:hAnsi="Times New Roman" w:cs="Times New Roman"/>
          <w:color w:val="FF0000"/>
          <w:lang w:val="es-MX"/>
        </w:rPr>
      </w:pPr>
    </w:p>
    <w:p w14:paraId="3CC6DEA5" w14:textId="240F66DF" w:rsidR="000468DA" w:rsidRDefault="000468DA" w:rsidP="00A02F83">
      <w:pPr>
        <w:pStyle w:val="Sinespaciado"/>
        <w:jc w:val="both"/>
        <w:rPr>
          <w:rFonts w:ascii="Times New Roman" w:hAnsi="Times New Roman" w:cs="Times New Roman"/>
          <w:color w:val="FF0000"/>
          <w:lang w:val="es-MX"/>
        </w:rPr>
      </w:pPr>
    </w:p>
    <w:p w14:paraId="7DEA4296" w14:textId="1A98F213" w:rsidR="000468DA" w:rsidRDefault="000468DA" w:rsidP="00A02F83">
      <w:pPr>
        <w:pStyle w:val="Sinespaciado"/>
        <w:jc w:val="both"/>
        <w:rPr>
          <w:rFonts w:ascii="Times New Roman" w:hAnsi="Times New Roman" w:cs="Times New Roman"/>
          <w:color w:val="FF0000"/>
          <w:lang w:val="es-MX"/>
        </w:rPr>
      </w:pPr>
    </w:p>
    <w:p w14:paraId="788B90AD" w14:textId="7EF45214" w:rsidR="000468DA" w:rsidRDefault="000468DA" w:rsidP="00A02F83">
      <w:pPr>
        <w:pStyle w:val="Sinespaciado"/>
        <w:jc w:val="both"/>
        <w:rPr>
          <w:rFonts w:ascii="Times New Roman" w:hAnsi="Times New Roman" w:cs="Times New Roman"/>
          <w:color w:val="FF0000"/>
          <w:lang w:val="es-MX"/>
        </w:rPr>
      </w:pPr>
    </w:p>
    <w:p w14:paraId="7DFDC1BF" w14:textId="7F63908E" w:rsidR="000468DA" w:rsidRDefault="000468DA" w:rsidP="00A02F83">
      <w:pPr>
        <w:pStyle w:val="Sinespaciado"/>
        <w:jc w:val="both"/>
        <w:rPr>
          <w:rFonts w:ascii="Times New Roman" w:hAnsi="Times New Roman" w:cs="Times New Roman"/>
          <w:color w:val="FF0000"/>
          <w:lang w:val="es-MX"/>
        </w:rPr>
      </w:pPr>
    </w:p>
    <w:p w14:paraId="29AD940B" w14:textId="09BC6231" w:rsidR="000468DA" w:rsidRDefault="000468DA" w:rsidP="00A02F83">
      <w:pPr>
        <w:pStyle w:val="Sinespaciado"/>
        <w:jc w:val="both"/>
        <w:rPr>
          <w:rFonts w:ascii="Times New Roman" w:hAnsi="Times New Roman" w:cs="Times New Roman"/>
          <w:color w:val="FF0000"/>
          <w:lang w:val="es-MX"/>
        </w:rPr>
      </w:pPr>
    </w:p>
    <w:p w14:paraId="1B0FA0A2" w14:textId="0FA7A9EC" w:rsidR="000468DA" w:rsidRDefault="000468DA" w:rsidP="00A02F83">
      <w:pPr>
        <w:pStyle w:val="Sinespaciado"/>
        <w:jc w:val="both"/>
        <w:rPr>
          <w:rFonts w:ascii="Times New Roman" w:hAnsi="Times New Roman" w:cs="Times New Roman"/>
          <w:color w:val="FF0000"/>
          <w:lang w:val="es-MX"/>
        </w:rPr>
      </w:pPr>
    </w:p>
    <w:p w14:paraId="2E2E7ADB" w14:textId="77777777" w:rsidR="000468DA" w:rsidRPr="00BD5286" w:rsidRDefault="000468DA" w:rsidP="00A02F83">
      <w:pPr>
        <w:pStyle w:val="Sinespaciado"/>
        <w:jc w:val="both"/>
        <w:rPr>
          <w:rFonts w:ascii="Times New Roman" w:hAnsi="Times New Roman" w:cs="Times New Roman"/>
          <w:color w:val="FF0000"/>
          <w:lang w:val="es-MX"/>
        </w:rPr>
      </w:pPr>
    </w:p>
    <w:p w14:paraId="53162CDB" w14:textId="58A10659" w:rsidR="00A02F83" w:rsidRPr="003266B4" w:rsidRDefault="00A02F83" w:rsidP="00A02F83">
      <w:pPr>
        <w:pStyle w:val="Sinespaciado"/>
        <w:jc w:val="center"/>
        <w:rPr>
          <w:rFonts w:ascii="Times New Roman" w:hAnsi="Times New Roman" w:cs="Times New Roman"/>
          <w:b/>
          <w:sz w:val="24"/>
          <w:lang w:val="es-MX"/>
        </w:rPr>
      </w:pPr>
      <w:r w:rsidRPr="003266B4">
        <w:rPr>
          <w:rFonts w:ascii="Times New Roman" w:hAnsi="Times New Roman" w:cs="Times New Roman"/>
          <w:b/>
          <w:sz w:val="24"/>
          <w:lang w:val="es-MX"/>
        </w:rPr>
        <w:t>Ritmo de Ejecución del Gasto</w:t>
      </w:r>
    </w:p>
    <w:p w14:paraId="14C3C06D" w14:textId="1FDC21F1" w:rsidR="00A02F83" w:rsidRPr="003266B4" w:rsidRDefault="000468DA" w:rsidP="00A02F83">
      <w:pPr>
        <w:pStyle w:val="Sinespaciado"/>
        <w:jc w:val="center"/>
        <w:rPr>
          <w:rFonts w:ascii="Times New Roman" w:hAnsi="Times New Roman" w:cs="Times New Roman"/>
          <w:lang w:val="es-MX"/>
        </w:rPr>
      </w:pPr>
      <w:r w:rsidRPr="003266B4">
        <w:rPr>
          <w:noProof/>
          <w:lang w:eastAsia="es-GT"/>
        </w:rPr>
        <w:drawing>
          <wp:anchor distT="0" distB="0" distL="114300" distR="114300" simplePos="0" relativeHeight="251913216" behindDoc="0" locked="0" layoutInCell="1" allowOverlap="1" wp14:anchorId="22B8798D" wp14:editId="24C04428">
            <wp:simplePos x="0" y="0"/>
            <wp:positionH relativeFrom="column">
              <wp:posOffset>3810</wp:posOffset>
            </wp:positionH>
            <wp:positionV relativeFrom="paragraph">
              <wp:posOffset>158204</wp:posOffset>
            </wp:positionV>
            <wp:extent cx="2647950" cy="1828800"/>
            <wp:effectExtent l="0" t="0" r="0" b="0"/>
            <wp:wrapNone/>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A02F83" w:rsidRPr="003266B4">
        <w:rPr>
          <w:rFonts w:ascii="Times New Roman" w:hAnsi="Times New Roman" w:cs="Times New Roman"/>
          <w:lang w:val="es-MX"/>
        </w:rPr>
        <w:t>Variación Interanual (%) *</w:t>
      </w:r>
    </w:p>
    <w:p w14:paraId="5D6F2D43" w14:textId="013D185C" w:rsidR="003266B4" w:rsidRPr="003266B4" w:rsidRDefault="003266B4" w:rsidP="00A02F83">
      <w:pPr>
        <w:pStyle w:val="Sinespaciado"/>
        <w:jc w:val="center"/>
        <w:rPr>
          <w:rFonts w:ascii="Times New Roman" w:hAnsi="Times New Roman" w:cs="Times New Roman"/>
          <w:lang w:val="es-MX"/>
        </w:rPr>
      </w:pPr>
    </w:p>
    <w:p w14:paraId="54784182" w14:textId="4DA582D8" w:rsidR="00562442" w:rsidRPr="003266B4" w:rsidRDefault="00562442" w:rsidP="00A02F83">
      <w:pPr>
        <w:pStyle w:val="Sinespaciado"/>
        <w:jc w:val="center"/>
        <w:rPr>
          <w:rFonts w:ascii="Times New Roman" w:hAnsi="Times New Roman" w:cs="Times New Roman"/>
          <w:lang w:val="es-MX"/>
        </w:rPr>
      </w:pPr>
    </w:p>
    <w:p w14:paraId="55BFB342" w14:textId="67F331F5" w:rsidR="009C2E0C" w:rsidRPr="003266B4" w:rsidRDefault="009C2E0C" w:rsidP="00A02F83">
      <w:pPr>
        <w:pStyle w:val="Sinespaciado"/>
        <w:jc w:val="center"/>
        <w:rPr>
          <w:rFonts w:ascii="Times New Roman" w:hAnsi="Times New Roman" w:cs="Times New Roman"/>
          <w:lang w:val="es-MX"/>
        </w:rPr>
      </w:pPr>
    </w:p>
    <w:p w14:paraId="34B9DA88" w14:textId="77777777" w:rsidR="00A02F83" w:rsidRPr="003266B4" w:rsidRDefault="00A02F83" w:rsidP="00A02F83">
      <w:pPr>
        <w:pStyle w:val="Sinespaciado"/>
        <w:jc w:val="center"/>
        <w:rPr>
          <w:rFonts w:ascii="Times New Roman" w:hAnsi="Times New Roman" w:cs="Times New Roman"/>
          <w:lang w:val="es-MX"/>
        </w:rPr>
      </w:pPr>
    </w:p>
    <w:p w14:paraId="59017171" w14:textId="77777777" w:rsidR="00A02F83" w:rsidRPr="003266B4" w:rsidRDefault="00A02F83" w:rsidP="00A02F83">
      <w:pPr>
        <w:pStyle w:val="Sinespaciado"/>
        <w:jc w:val="center"/>
        <w:rPr>
          <w:rFonts w:ascii="Times New Roman" w:hAnsi="Times New Roman" w:cs="Times New Roman"/>
          <w:lang w:val="es-MX"/>
        </w:rPr>
      </w:pPr>
    </w:p>
    <w:p w14:paraId="2769D451" w14:textId="77777777" w:rsidR="00A02F83" w:rsidRPr="003266B4" w:rsidRDefault="00A02F83" w:rsidP="00A02F83">
      <w:pPr>
        <w:pStyle w:val="Sinespaciado"/>
        <w:jc w:val="center"/>
        <w:rPr>
          <w:rFonts w:ascii="Times New Roman" w:hAnsi="Times New Roman" w:cs="Times New Roman"/>
          <w:lang w:val="es-MX"/>
        </w:rPr>
      </w:pPr>
    </w:p>
    <w:p w14:paraId="22030038" w14:textId="77777777" w:rsidR="00A02F83" w:rsidRPr="003266B4" w:rsidRDefault="00A02F83" w:rsidP="00A02F83">
      <w:pPr>
        <w:pStyle w:val="Sinespaciado"/>
        <w:jc w:val="center"/>
        <w:rPr>
          <w:rFonts w:ascii="Times New Roman" w:hAnsi="Times New Roman" w:cs="Times New Roman"/>
          <w:lang w:val="es-MX"/>
        </w:rPr>
      </w:pPr>
    </w:p>
    <w:p w14:paraId="682C212F" w14:textId="77777777" w:rsidR="00A02F83" w:rsidRPr="003266B4" w:rsidRDefault="00A02F83" w:rsidP="00A02F83">
      <w:pPr>
        <w:pStyle w:val="Sinespaciado"/>
        <w:jc w:val="center"/>
        <w:rPr>
          <w:rFonts w:ascii="Times New Roman" w:hAnsi="Times New Roman" w:cs="Times New Roman"/>
          <w:lang w:val="es-MX"/>
        </w:rPr>
      </w:pPr>
    </w:p>
    <w:p w14:paraId="14B55489" w14:textId="69F51D74" w:rsidR="00A02F83" w:rsidRPr="003266B4" w:rsidRDefault="00A02F83" w:rsidP="009C2E0C">
      <w:pPr>
        <w:pStyle w:val="Sinespaciado"/>
        <w:rPr>
          <w:rFonts w:ascii="Times New Roman" w:hAnsi="Times New Roman" w:cs="Times New Roman"/>
          <w:lang w:val="es-MX"/>
        </w:rPr>
      </w:pPr>
    </w:p>
    <w:p w14:paraId="3FD984A1" w14:textId="77777777" w:rsidR="000468DA" w:rsidRDefault="000468DA" w:rsidP="00A02F83">
      <w:pPr>
        <w:pStyle w:val="Sinespaciado"/>
        <w:rPr>
          <w:rFonts w:ascii="Times New Roman" w:hAnsi="Times New Roman" w:cs="Times New Roman"/>
          <w:sz w:val="18"/>
          <w:lang w:val="es-MX"/>
        </w:rPr>
      </w:pPr>
    </w:p>
    <w:p w14:paraId="09C2933D" w14:textId="77777777" w:rsidR="000468DA" w:rsidRDefault="000468DA" w:rsidP="00A02F83">
      <w:pPr>
        <w:pStyle w:val="Sinespaciado"/>
        <w:rPr>
          <w:rFonts w:ascii="Times New Roman" w:hAnsi="Times New Roman" w:cs="Times New Roman"/>
          <w:sz w:val="18"/>
          <w:lang w:val="es-MX"/>
        </w:rPr>
      </w:pPr>
    </w:p>
    <w:p w14:paraId="7FDDBDE2" w14:textId="77777777" w:rsidR="000468DA" w:rsidRDefault="000468DA" w:rsidP="00A02F83">
      <w:pPr>
        <w:pStyle w:val="Sinespaciado"/>
        <w:rPr>
          <w:rFonts w:ascii="Times New Roman" w:hAnsi="Times New Roman" w:cs="Times New Roman"/>
          <w:sz w:val="18"/>
          <w:lang w:val="es-MX"/>
        </w:rPr>
      </w:pPr>
    </w:p>
    <w:p w14:paraId="0B78C77E" w14:textId="15683DB2" w:rsidR="00A02F83" w:rsidRPr="003266B4" w:rsidRDefault="00A02F83" w:rsidP="00A02F83">
      <w:pPr>
        <w:pStyle w:val="Sinespaciado"/>
        <w:rPr>
          <w:rFonts w:ascii="Times New Roman" w:hAnsi="Times New Roman" w:cs="Times New Roman"/>
          <w:sz w:val="18"/>
          <w:lang w:val="es-MX"/>
        </w:rPr>
      </w:pPr>
      <w:r w:rsidRPr="003266B4">
        <w:rPr>
          <w:rFonts w:ascii="Times New Roman" w:hAnsi="Times New Roman" w:cs="Times New Roman"/>
          <w:sz w:val="18"/>
          <w:lang w:val="es-MX"/>
        </w:rPr>
        <w:t>*No incluye amortizaciones de la deuda pública</w:t>
      </w:r>
    </w:p>
    <w:p w14:paraId="3389D755" w14:textId="77777777" w:rsidR="00A02F83" w:rsidRPr="003266B4" w:rsidRDefault="00A02F83" w:rsidP="00A02F83">
      <w:pPr>
        <w:spacing w:after="0" w:line="240" w:lineRule="auto"/>
        <w:jc w:val="both"/>
        <w:rPr>
          <w:rFonts w:ascii="Times New Roman" w:hAnsi="Times New Roman" w:cs="Times New Roman"/>
          <w:sz w:val="16"/>
          <w:szCs w:val="16"/>
        </w:rPr>
      </w:pPr>
      <w:r w:rsidRPr="003266B4">
        <w:rPr>
          <w:rFonts w:ascii="Times New Roman" w:hAnsi="Times New Roman" w:cs="Times New Roman"/>
          <w:sz w:val="16"/>
          <w:szCs w:val="16"/>
        </w:rPr>
        <w:t>Fuente: Dirección de Análisis y Política Fiscal.</w:t>
      </w:r>
    </w:p>
    <w:p w14:paraId="1B3DD337" w14:textId="48C10211"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lastRenderedPageBreak/>
        <w:t>A nivel de rubro de cuenta económica, el mayor crecimiento absoluto se reporta en</w:t>
      </w:r>
      <w:r w:rsidRPr="0025066B">
        <w:rPr>
          <w:lang w:val="es-MX"/>
        </w:rPr>
        <w:t xml:space="preserve"> </w:t>
      </w:r>
      <w:r w:rsidRPr="0025066B">
        <w:rPr>
          <w:rFonts w:ascii="Times New Roman" w:hAnsi="Times New Roman" w:cs="Times New Roman"/>
          <w:lang w:val="es-MX"/>
        </w:rPr>
        <w:t>las transferencias corrientes, estas reportan un crecimiento de 52.4%, equivalente a Q5,721.2 millones. Siendo explicadas en buena medida por las transferencias al sector privado, debido principalmente a los aportes que realizan dos Ministerios, por un lado el Ministerio de Educación que destina más recursos a las Organizaciones de Padres de Familia y Consejos Educativos, las cuales son dirigidas al programa de apoyo para el consumo adecuado de alimentos (alimentación escolar), y por otro lado, resaltan las transferencias que realizó el Ministerio de Energía y Minas hacia empresas privadas por concepto del subsidio al gas propano y a las gasolinas y diésel por Q2,193.7 millones.</w:t>
      </w:r>
    </w:p>
    <w:p w14:paraId="2DDCA0DA"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 </w:t>
      </w:r>
    </w:p>
    <w:p w14:paraId="041383B2"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Es importante considerar que el subsidio a los combustibles concluyó a principios de agosto, mientras que el subsidio al diésel continuó, siendo aprobado por el Congreso de la República mediante el Decreto número 42-2022 “Ley de Apoyo Social Temporal a los Consumidores de Combustible Diésel”, siendo el apoyo de Q5.00 por cada galón de diésel, con un presupuesto asignado de hasta Q400 millones.</w:t>
      </w:r>
    </w:p>
    <w:p w14:paraId="7BAFF57D" w14:textId="77777777" w:rsidR="003C7880" w:rsidRPr="0025066B" w:rsidRDefault="003C7880" w:rsidP="003C7880">
      <w:pPr>
        <w:pStyle w:val="Sinespaciado"/>
        <w:jc w:val="both"/>
        <w:rPr>
          <w:rFonts w:ascii="Times New Roman" w:hAnsi="Times New Roman" w:cs="Times New Roman"/>
          <w:lang w:val="es-MX"/>
        </w:rPr>
      </w:pPr>
    </w:p>
    <w:p w14:paraId="2869B499"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Asimismo, el subsidio del gas propano concluyó en agosto, y por medio del Decreto 45-2022 “Ley de Apoyo Social Temporal a los Consumidores de Gas Propano” el Congreso de la República aprobó nuevamente el subsidio manteniendo las condiciones de los decretos anteriores, para el financiamiento del subsidio se amplió el presupuesto por el monto de Q100 millones por 2 meses, medida que se empezaría a aplicar a partir de octubre.</w:t>
      </w:r>
    </w:p>
    <w:p w14:paraId="7A42128B" w14:textId="77777777" w:rsidR="003C7880" w:rsidRPr="0025066B" w:rsidRDefault="003C7880" w:rsidP="003C7880">
      <w:pPr>
        <w:pStyle w:val="Sinespaciado"/>
        <w:jc w:val="both"/>
        <w:rPr>
          <w:rFonts w:ascii="Times New Roman" w:hAnsi="Times New Roman" w:cs="Times New Roman"/>
          <w:lang w:val="es-MX"/>
        </w:rPr>
      </w:pPr>
    </w:p>
    <w:p w14:paraId="53CE4AD7"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Derivado de esto, las transferencias corrientes al sector privado sería el rubro del gasto que tendría el mayor crecimiento interanual en 2022.</w:t>
      </w:r>
    </w:p>
    <w:p w14:paraId="2C1A0D1F" w14:textId="77777777" w:rsidR="003C7880" w:rsidRPr="0025066B" w:rsidRDefault="003C7880" w:rsidP="003C7880">
      <w:pPr>
        <w:pStyle w:val="Sinespaciado"/>
        <w:jc w:val="both"/>
        <w:rPr>
          <w:rFonts w:ascii="Times New Roman" w:hAnsi="Times New Roman" w:cs="Times New Roman"/>
          <w:lang w:val="es-MX"/>
        </w:rPr>
      </w:pPr>
    </w:p>
    <w:p w14:paraId="7E763121"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Del lado de las transferencias hacia el sector público, se reporta un crecimiento de 24.0%, equivalente a Q1,843.3 millones. Se observa un crecimiento importante en la transferencia que recibe el Ministerio Público (Q723.8 </w:t>
      </w:r>
      <w:r w:rsidRPr="0025066B">
        <w:rPr>
          <w:rFonts w:ascii="Times New Roman" w:hAnsi="Times New Roman" w:cs="Times New Roman"/>
          <w:lang w:val="es-MX"/>
        </w:rPr>
        <w:t>millones), el Tribunal Supremo Electoral (Q502.6 millones), Organismo Judicial (Q372.3 millones) y Congreso de la República (Q149.6 millones).</w:t>
      </w:r>
    </w:p>
    <w:p w14:paraId="1747BB26" w14:textId="77777777" w:rsidR="003C7880" w:rsidRPr="0025066B" w:rsidRDefault="003C7880" w:rsidP="003C7880">
      <w:pPr>
        <w:pStyle w:val="Sinespaciado"/>
        <w:jc w:val="both"/>
        <w:rPr>
          <w:rFonts w:ascii="Times New Roman" w:hAnsi="Times New Roman" w:cs="Times New Roman"/>
          <w:lang w:val="es-MX"/>
        </w:rPr>
      </w:pPr>
    </w:p>
    <w:p w14:paraId="35E35388"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Por su parte, el Instituto Nacional de Electrificación (INDE) reporta un aumento en la trasferencia que recibe por Q130 millones, derivado en parte a que durante este año se ampliaron los beneficiarios de la tarifa social para los consumidores de hasta 100 kWh por medio del Decreto 25-2022 “Ley de Fortalecimiento al Aporte Social de la Tarifa Eléctrica”. No obstante, en agosto fue aprobado el Decreto 43-2022, que contiene reformas al Decreto 25-2022, con lo cual se amplía a los beneficiarios del aporte social al cubrir a los usuarios regulados que consuman hasta 125 kWh. Por ello el presupuesto se ampliaría en Q227.5 millones y la transferencia corriente que recibe esta entidad sería mayor.</w:t>
      </w:r>
    </w:p>
    <w:p w14:paraId="6D08611E" w14:textId="77777777" w:rsidR="003C7880" w:rsidRPr="0025066B" w:rsidRDefault="003C7880" w:rsidP="003C7880">
      <w:pPr>
        <w:pStyle w:val="Sinespaciado"/>
        <w:jc w:val="both"/>
        <w:rPr>
          <w:rFonts w:ascii="Times New Roman" w:hAnsi="Times New Roman" w:cs="Times New Roman"/>
          <w:lang w:val="es-MX"/>
        </w:rPr>
      </w:pPr>
    </w:p>
    <w:p w14:paraId="7582BE7F"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Los bienes y servicios reportan una ejecución mayor en Q1,581.4 millones (equivalente a un crecimiento interanual de 19.3%), explicado por un aumento de Q534.7 millones en el Ministerio de Comunicaciones, Infraestructura y Vivienda en el mantenimiento y reparación de carreteras y puentes, seguido</w:t>
      </w:r>
      <w:r w:rsidRPr="0025066B">
        <w:t xml:space="preserve"> </w:t>
      </w:r>
      <w:r w:rsidRPr="0025066B">
        <w:rPr>
          <w:rFonts w:ascii="Times New Roman" w:hAnsi="Times New Roman" w:cs="Times New Roman"/>
          <w:lang w:val="es-MX"/>
        </w:rPr>
        <w:t xml:space="preserve">del Ministerio de Gobernación con un aumento de Q117.3 millones en combustibles y lubricantes y otros servicios por Q85.6 millones. </w:t>
      </w:r>
    </w:p>
    <w:p w14:paraId="33D2FF0E" w14:textId="77777777" w:rsidR="003C7880" w:rsidRPr="0025066B" w:rsidRDefault="003C7880" w:rsidP="003C7880">
      <w:pPr>
        <w:pStyle w:val="Sinespaciado"/>
        <w:jc w:val="both"/>
        <w:rPr>
          <w:rFonts w:ascii="Times New Roman" w:hAnsi="Times New Roman" w:cs="Times New Roman"/>
        </w:rPr>
      </w:pPr>
      <w:r w:rsidRPr="0025066B">
        <w:rPr>
          <w:rFonts w:ascii="Times New Roman" w:hAnsi="Times New Roman" w:cs="Times New Roman"/>
        </w:rPr>
        <w:t xml:space="preserve">En el rubro de las transferencias de capital se reporta un aumento de Q1,210.9 millones, con un crecimiento interanual de 14.7%, explicado por el alza en las transferencias que corresponden a las municipalidades, las cuales aumentaron en Q853.6 millones, mientras que las transferencias a los Consejos de Desarrollo Urbano y Rural aumentaron en Q232.2 millones. </w:t>
      </w:r>
    </w:p>
    <w:p w14:paraId="408F8BBC" w14:textId="77777777" w:rsidR="003C7880" w:rsidRPr="0025066B" w:rsidRDefault="003C7880" w:rsidP="003C7880">
      <w:pPr>
        <w:spacing w:after="0" w:line="240" w:lineRule="auto"/>
        <w:jc w:val="both"/>
        <w:rPr>
          <w:rFonts w:ascii="Times New Roman" w:hAnsi="Times New Roman" w:cs="Times New Roman"/>
        </w:rPr>
      </w:pPr>
    </w:p>
    <w:p w14:paraId="5DF0885B" w14:textId="77777777" w:rsidR="003C7880" w:rsidRPr="0025066B" w:rsidRDefault="003C7880" w:rsidP="003C7880">
      <w:pPr>
        <w:spacing w:after="0" w:line="240" w:lineRule="auto"/>
        <w:jc w:val="both"/>
        <w:rPr>
          <w:rFonts w:ascii="Times New Roman" w:hAnsi="Times New Roman" w:cs="Times New Roman"/>
        </w:rPr>
      </w:pPr>
      <w:r w:rsidRPr="0025066B">
        <w:rPr>
          <w:rFonts w:ascii="Times New Roman" w:hAnsi="Times New Roman" w:cs="Times New Roman"/>
        </w:rPr>
        <w:t xml:space="preserve">Por su parte, las remuneraciones reportan un aumento de Q997.9 millones (crecimiento interanual de 4.9%).  </w:t>
      </w:r>
    </w:p>
    <w:p w14:paraId="6FABFBD3" w14:textId="77777777" w:rsidR="003C7880" w:rsidRPr="0025066B" w:rsidRDefault="003C7880" w:rsidP="003C7880">
      <w:pPr>
        <w:pStyle w:val="Sinespaciado"/>
        <w:jc w:val="both"/>
        <w:rPr>
          <w:rFonts w:ascii="Times New Roman" w:hAnsi="Times New Roman" w:cs="Times New Roman"/>
          <w:lang w:val="es-MX"/>
        </w:rPr>
      </w:pPr>
    </w:p>
    <w:p w14:paraId="33E8B5A7" w14:textId="77777777" w:rsidR="003C7880" w:rsidRPr="0025066B" w:rsidRDefault="003C7880" w:rsidP="003C7880">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En lo que respecta a los intereses de la deuda pública, estos reportan una ejecución mayor en Q631.1 millones, siendo el crecimiento de </w:t>
      </w:r>
      <w:r w:rsidRPr="0025066B">
        <w:rPr>
          <w:rFonts w:ascii="Times New Roman" w:hAnsi="Times New Roman" w:cs="Times New Roman"/>
          <w:lang w:val="es-MX"/>
        </w:rPr>
        <w:lastRenderedPageBreak/>
        <w:t>8.0%, aumento que es explicado en su mayoría por la deuda interna.</w:t>
      </w:r>
    </w:p>
    <w:p w14:paraId="018DA602" w14:textId="77777777" w:rsidR="003C7880" w:rsidRPr="0025066B" w:rsidRDefault="003C7880" w:rsidP="003C7880">
      <w:pPr>
        <w:spacing w:after="0" w:line="240" w:lineRule="auto"/>
        <w:jc w:val="both"/>
        <w:rPr>
          <w:rFonts w:ascii="Times New Roman" w:hAnsi="Times New Roman" w:cs="Times New Roman"/>
          <w:lang w:val="es-MX"/>
        </w:rPr>
      </w:pPr>
    </w:p>
    <w:p w14:paraId="32264224" w14:textId="77777777" w:rsidR="003C7880" w:rsidRPr="0025066B" w:rsidRDefault="003C7880" w:rsidP="003C7880">
      <w:pPr>
        <w:spacing w:after="0" w:line="240" w:lineRule="auto"/>
        <w:jc w:val="both"/>
        <w:rPr>
          <w:rFonts w:ascii="Times New Roman" w:hAnsi="Times New Roman" w:cs="Times New Roman"/>
        </w:rPr>
      </w:pPr>
      <w:r w:rsidRPr="0025066B">
        <w:rPr>
          <w:rFonts w:ascii="Times New Roman" w:hAnsi="Times New Roman" w:cs="Times New Roman"/>
        </w:rPr>
        <w:t xml:space="preserve">Respecto a la inversión real directa reporta un aumento de Q312.8 millones y un crecimiento interanual de 14.1%. Destaca el Ministerio de Defensa Nacional con un aumento de Q197.5 millones derivado de la compra de máquinas y equipos rubro que se encuentra creciendo en Q152.2 millones. Por su parte, el Ministerio de Desarrollo Social reporta un aumento de Q80.3 millones, explicado principalmente por las construcciones de bienes nacionales y en el Ministerio de Educación el incremento es de Q72.4 millones que se explica en parte por compra de equipo de cómputo y otras maquinarias y equipo. </w:t>
      </w:r>
    </w:p>
    <w:p w14:paraId="00C42764" w14:textId="77777777" w:rsidR="003C7880" w:rsidRPr="0025066B" w:rsidRDefault="003C7880" w:rsidP="003C7880">
      <w:pPr>
        <w:spacing w:after="0" w:line="240" w:lineRule="auto"/>
        <w:jc w:val="both"/>
        <w:rPr>
          <w:rFonts w:ascii="Times New Roman" w:hAnsi="Times New Roman" w:cs="Times New Roman"/>
        </w:rPr>
      </w:pPr>
    </w:p>
    <w:p w14:paraId="08676E18" w14:textId="29122DB6" w:rsidR="00A02F83" w:rsidRPr="000468DA" w:rsidRDefault="003C7880" w:rsidP="000468DA">
      <w:pPr>
        <w:spacing w:after="0" w:line="240" w:lineRule="auto"/>
        <w:jc w:val="both"/>
        <w:rPr>
          <w:rFonts w:ascii="Times New Roman" w:hAnsi="Times New Roman" w:cs="Times New Roman"/>
        </w:rPr>
      </w:pPr>
      <w:r w:rsidRPr="0025066B">
        <w:rPr>
          <w:rFonts w:ascii="Times New Roman" w:hAnsi="Times New Roman" w:cs="Times New Roman"/>
        </w:rPr>
        <w:t>En lo que respecta al Ministerio de Comunicaciones, Infraestructura y Vivienda reporta Q648.4 millones de ejecución correspondiente al Decreto 21-2022 “Ley para fortalecer el mantenimiento y Construcción de Infraestructura Estratégica”, que corresponde a la red vial de rutas centroamericanas, rutas nacionales y rutas departamentales. Adicionalmente, Q400 millones que correspondían a dicho decreto fueron reorientados al fortalecimiento del Fondo Emergente, lo que permitirá mitigar los daños ocasionados por los fenómenos naturales, el cual reporta una ejecución de Q228.1 millones en el Ministerio de Comunicaciones.</w:t>
      </w:r>
      <w:r w:rsidR="000468DA">
        <w:rPr>
          <w:rFonts w:ascii="Times New Roman" w:hAnsi="Times New Roman" w:cs="Times New Roman"/>
        </w:rPr>
        <w:t xml:space="preserve">  </w:t>
      </w:r>
      <w:r w:rsidRPr="0025066B">
        <w:rPr>
          <w:rFonts w:ascii="Times New Roman" w:hAnsi="Times New Roman" w:cs="Times New Roman"/>
        </w:rPr>
        <w:t>Por último, las prestaciones a la seguridad social reportan un crecimiento interanual de 4.9%, equivalente a Q199.9 millones.</w:t>
      </w:r>
    </w:p>
    <w:p w14:paraId="722201D8" w14:textId="38DD8BD0" w:rsidR="00562442" w:rsidRDefault="00562442" w:rsidP="007D40CD">
      <w:pPr>
        <w:pStyle w:val="Sinespaciado"/>
        <w:rPr>
          <w:rFonts w:ascii="Times New Roman" w:hAnsi="Times New Roman" w:cs="Times New Roman"/>
          <w:b/>
          <w:color w:val="FF0000"/>
          <w:sz w:val="24"/>
          <w:lang w:val="es-MX"/>
        </w:rPr>
      </w:pPr>
    </w:p>
    <w:p w14:paraId="26497292" w14:textId="64581272" w:rsidR="000468DA" w:rsidRPr="000468DA" w:rsidRDefault="000468DA" w:rsidP="000468DA">
      <w:pPr>
        <w:pStyle w:val="Sinespaciado"/>
        <w:jc w:val="both"/>
        <w:rPr>
          <w:rFonts w:ascii="Times New Roman" w:hAnsi="Times New Roman" w:cs="Times New Roman"/>
        </w:rPr>
      </w:pPr>
      <w:r w:rsidRPr="000468DA">
        <w:rPr>
          <w:rFonts w:ascii="Times New Roman" w:hAnsi="Times New Roman" w:cs="Times New Roman"/>
        </w:rPr>
        <w:t>Al eliminar el gasto relacionado a la pandemia del COVID-19, tanto en 2022 como en 2021, la ejecución del gasto público a septiembre sin incluir las amortizaciones de la deuda pública se ubicaría en Q71,889.6 millones, con un crecimiento interanual de 18.6% (equivalente a Q11,273.0 millones).</w:t>
      </w:r>
    </w:p>
    <w:p w14:paraId="43837F9A" w14:textId="57A3E420" w:rsidR="000468DA" w:rsidRDefault="000468DA" w:rsidP="007D40CD">
      <w:pPr>
        <w:pStyle w:val="Sinespaciado"/>
        <w:rPr>
          <w:rFonts w:ascii="Times New Roman" w:hAnsi="Times New Roman" w:cs="Times New Roman"/>
          <w:b/>
          <w:color w:val="FF0000"/>
          <w:sz w:val="24"/>
          <w:lang w:val="es-MX"/>
        </w:rPr>
      </w:pPr>
    </w:p>
    <w:p w14:paraId="45737C3D" w14:textId="7F247835" w:rsidR="000468DA" w:rsidRDefault="000468DA" w:rsidP="007D40CD">
      <w:pPr>
        <w:pStyle w:val="Sinespaciado"/>
        <w:rPr>
          <w:rFonts w:ascii="Times New Roman" w:hAnsi="Times New Roman" w:cs="Times New Roman"/>
          <w:b/>
          <w:color w:val="FF0000"/>
          <w:sz w:val="24"/>
          <w:lang w:val="es-MX"/>
        </w:rPr>
      </w:pPr>
    </w:p>
    <w:p w14:paraId="352498AB" w14:textId="6F722EDA" w:rsidR="000468DA" w:rsidRDefault="000468DA" w:rsidP="007D40CD">
      <w:pPr>
        <w:pStyle w:val="Sinespaciado"/>
        <w:rPr>
          <w:rFonts w:ascii="Times New Roman" w:hAnsi="Times New Roman" w:cs="Times New Roman"/>
          <w:b/>
          <w:color w:val="FF0000"/>
          <w:sz w:val="24"/>
          <w:lang w:val="es-MX"/>
        </w:rPr>
      </w:pPr>
    </w:p>
    <w:p w14:paraId="0A7C418F" w14:textId="7DA260F6" w:rsidR="000468DA" w:rsidRDefault="000468DA" w:rsidP="007D40CD">
      <w:pPr>
        <w:pStyle w:val="Sinespaciado"/>
        <w:rPr>
          <w:rFonts w:ascii="Times New Roman" w:hAnsi="Times New Roman" w:cs="Times New Roman"/>
          <w:b/>
          <w:color w:val="FF0000"/>
          <w:sz w:val="24"/>
          <w:lang w:val="es-MX"/>
        </w:rPr>
      </w:pPr>
    </w:p>
    <w:p w14:paraId="596EC6B6" w14:textId="4812F128" w:rsidR="000468DA" w:rsidRDefault="000468DA" w:rsidP="007D40CD">
      <w:pPr>
        <w:pStyle w:val="Sinespaciado"/>
        <w:rPr>
          <w:rFonts w:ascii="Times New Roman" w:hAnsi="Times New Roman" w:cs="Times New Roman"/>
          <w:b/>
          <w:color w:val="FF0000"/>
          <w:sz w:val="24"/>
          <w:lang w:val="es-MX"/>
        </w:rPr>
      </w:pPr>
    </w:p>
    <w:p w14:paraId="4876730B" w14:textId="35152896" w:rsidR="000468DA" w:rsidRPr="00BD5286" w:rsidRDefault="000468DA" w:rsidP="007D40CD">
      <w:pPr>
        <w:pStyle w:val="Sinespaciado"/>
        <w:rPr>
          <w:rFonts w:ascii="Times New Roman" w:hAnsi="Times New Roman" w:cs="Times New Roman"/>
          <w:b/>
          <w:color w:val="FF0000"/>
          <w:sz w:val="24"/>
          <w:lang w:val="es-MX"/>
        </w:rPr>
      </w:pPr>
    </w:p>
    <w:p w14:paraId="60D61F4D" w14:textId="77777777" w:rsidR="00A02F83" w:rsidRPr="003C7880" w:rsidRDefault="00A02F83" w:rsidP="00E02D18">
      <w:pPr>
        <w:pStyle w:val="Sinespaciado"/>
        <w:jc w:val="center"/>
        <w:rPr>
          <w:sz w:val="24"/>
        </w:rPr>
      </w:pPr>
      <w:r w:rsidRPr="003C7880">
        <w:rPr>
          <w:rFonts w:ascii="Times New Roman" w:hAnsi="Times New Roman" w:cs="Times New Roman"/>
          <w:b/>
          <w:sz w:val="24"/>
          <w:lang w:val="es-MX"/>
        </w:rPr>
        <w:t>Ejecución por rubro de Cuenta Económica</w:t>
      </w:r>
    </w:p>
    <w:p w14:paraId="117BC649" w14:textId="77777777" w:rsidR="00A02F83" w:rsidRPr="003C7880" w:rsidRDefault="00A02F83" w:rsidP="00A02F83">
      <w:pPr>
        <w:pStyle w:val="Sinespaciado"/>
        <w:jc w:val="center"/>
        <w:rPr>
          <w:rFonts w:ascii="Times New Roman" w:hAnsi="Times New Roman" w:cs="Times New Roman"/>
          <w:szCs w:val="18"/>
          <w:lang w:val="es-MX"/>
        </w:rPr>
      </w:pPr>
      <w:r w:rsidRPr="003C7880">
        <w:rPr>
          <w:rFonts w:ascii="Times New Roman" w:hAnsi="Times New Roman" w:cs="Times New Roman"/>
          <w:szCs w:val="18"/>
          <w:lang w:val="es-MX"/>
        </w:rPr>
        <w:t>2022 – 2021</w:t>
      </w:r>
    </w:p>
    <w:p w14:paraId="5472ABEB" w14:textId="38157BF7" w:rsidR="00A02F83" w:rsidRPr="003C7880" w:rsidRDefault="003C7880" w:rsidP="00A02F83">
      <w:pPr>
        <w:pStyle w:val="Sinespaciado"/>
        <w:jc w:val="center"/>
        <w:rPr>
          <w:rFonts w:ascii="Times New Roman" w:hAnsi="Times New Roman" w:cs="Times New Roman"/>
          <w:lang w:val="es-MX"/>
        </w:rPr>
      </w:pPr>
      <w:r w:rsidRPr="003C7880">
        <w:rPr>
          <w:noProof/>
          <w:lang w:eastAsia="es-GT"/>
        </w:rPr>
        <w:drawing>
          <wp:anchor distT="0" distB="0" distL="114300" distR="114300" simplePos="0" relativeHeight="251915264" behindDoc="0" locked="0" layoutInCell="1" allowOverlap="1" wp14:anchorId="2B4178CA" wp14:editId="3D6D15B6">
            <wp:simplePos x="0" y="0"/>
            <wp:positionH relativeFrom="column">
              <wp:posOffset>-38720</wp:posOffset>
            </wp:positionH>
            <wp:positionV relativeFrom="paragraph">
              <wp:posOffset>183914</wp:posOffset>
            </wp:positionV>
            <wp:extent cx="2777490" cy="2860158"/>
            <wp:effectExtent l="0" t="0" r="3810" b="0"/>
            <wp:wrapNone/>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A02F83" w:rsidRPr="003C7880">
        <w:rPr>
          <w:rFonts w:ascii="Times New Roman" w:hAnsi="Times New Roman" w:cs="Times New Roman"/>
          <w:lang w:val="es-MX"/>
        </w:rPr>
        <w:t>Variación absoluta interanual</w:t>
      </w:r>
    </w:p>
    <w:p w14:paraId="6BFAC306" w14:textId="7FA0C3E9" w:rsidR="00102B6B" w:rsidRPr="003C7880" w:rsidRDefault="00102B6B" w:rsidP="00A02F83">
      <w:pPr>
        <w:pStyle w:val="Sinespaciado"/>
        <w:jc w:val="center"/>
        <w:rPr>
          <w:rFonts w:ascii="Times New Roman" w:hAnsi="Times New Roman" w:cs="Times New Roman"/>
          <w:lang w:val="es-MX"/>
        </w:rPr>
      </w:pPr>
    </w:p>
    <w:p w14:paraId="1239B892" w14:textId="2E872C49" w:rsidR="00102B6B" w:rsidRPr="003C7880" w:rsidRDefault="00102B6B" w:rsidP="00A02F83">
      <w:pPr>
        <w:pStyle w:val="Sinespaciado"/>
        <w:jc w:val="center"/>
        <w:rPr>
          <w:rFonts w:ascii="Times New Roman" w:hAnsi="Times New Roman" w:cs="Times New Roman"/>
          <w:lang w:val="es-MX"/>
        </w:rPr>
      </w:pPr>
    </w:p>
    <w:p w14:paraId="7C90485A" w14:textId="334D22F8" w:rsidR="00102B6B" w:rsidRPr="003C7880" w:rsidRDefault="00102B6B" w:rsidP="00A02F83">
      <w:pPr>
        <w:pStyle w:val="Sinespaciado"/>
        <w:jc w:val="center"/>
        <w:rPr>
          <w:rFonts w:ascii="Times New Roman" w:hAnsi="Times New Roman" w:cs="Times New Roman"/>
          <w:lang w:val="es-MX"/>
        </w:rPr>
      </w:pPr>
    </w:p>
    <w:p w14:paraId="60415DC0" w14:textId="143EB111" w:rsidR="00102B6B" w:rsidRPr="003C7880" w:rsidRDefault="00102B6B" w:rsidP="00A02F83">
      <w:pPr>
        <w:pStyle w:val="Sinespaciado"/>
        <w:jc w:val="center"/>
        <w:rPr>
          <w:rFonts w:ascii="Times New Roman" w:hAnsi="Times New Roman" w:cs="Times New Roman"/>
          <w:lang w:val="es-MX"/>
        </w:rPr>
      </w:pPr>
    </w:p>
    <w:p w14:paraId="4734460D" w14:textId="22B8F881" w:rsidR="007D40CD" w:rsidRPr="003C7880" w:rsidRDefault="007D40CD" w:rsidP="00A02F83">
      <w:pPr>
        <w:pStyle w:val="Sinespaciado"/>
        <w:jc w:val="center"/>
        <w:rPr>
          <w:rFonts w:ascii="Times New Roman" w:hAnsi="Times New Roman" w:cs="Times New Roman"/>
          <w:lang w:val="es-MX"/>
        </w:rPr>
      </w:pPr>
    </w:p>
    <w:p w14:paraId="4E3A4890" w14:textId="6E421698" w:rsidR="00A02F83" w:rsidRPr="003C7880" w:rsidRDefault="00A02F83" w:rsidP="00A02F83">
      <w:pPr>
        <w:pStyle w:val="Sinespaciado"/>
        <w:jc w:val="center"/>
        <w:rPr>
          <w:rFonts w:ascii="Times New Roman" w:hAnsi="Times New Roman" w:cs="Times New Roman"/>
          <w:lang w:val="es-MX"/>
        </w:rPr>
      </w:pPr>
    </w:p>
    <w:p w14:paraId="2CFE8F42" w14:textId="77777777" w:rsidR="00A02F83" w:rsidRPr="003C7880" w:rsidRDefault="00A02F83" w:rsidP="00A02F83">
      <w:pPr>
        <w:pStyle w:val="Sinespaciado"/>
        <w:jc w:val="center"/>
        <w:rPr>
          <w:rFonts w:ascii="Times New Roman" w:hAnsi="Times New Roman" w:cs="Times New Roman"/>
          <w:lang w:val="es-MX"/>
        </w:rPr>
      </w:pPr>
    </w:p>
    <w:p w14:paraId="3CCAB3BD" w14:textId="77777777" w:rsidR="00A02F83" w:rsidRPr="003C7880" w:rsidRDefault="00A02F83" w:rsidP="00A02F83">
      <w:pPr>
        <w:pStyle w:val="Sinespaciado"/>
        <w:jc w:val="center"/>
        <w:rPr>
          <w:rFonts w:ascii="Times New Roman" w:hAnsi="Times New Roman" w:cs="Times New Roman"/>
          <w:lang w:val="es-MX"/>
        </w:rPr>
      </w:pPr>
    </w:p>
    <w:p w14:paraId="475E2E8E" w14:textId="77777777" w:rsidR="00A02F83" w:rsidRPr="003C7880" w:rsidRDefault="00A02F83" w:rsidP="00A02F83">
      <w:pPr>
        <w:pStyle w:val="Sinespaciado"/>
        <w:jc w:val="center"/>
        <w:rPr>
          <w:rFonts w:ascii="Times New Roman" w:hAnsi="Times New Roman" w:cs="Times New Roman"/>
          <w:lang w:val="es-MX"/>
        </w:rPr>
      </w:pPr>
    </w:p>
    <w:p w14:paraId="032CCFB6" w14:textId="77777777" w:rsidR="00A02F83" w:rsidRPr="003C7880" w:rsidRDefault="00A02F83" w:rsidP="00A02F83">
      <w:pPr>
        <w:pStyle w:val="Sinespaciado"/>
        <w:jc w:val="center"/>
        <w:rPr>
          <w:rFonts w:ascii="Times New Roman" w:hAnsi="Times New Roman" w:cs="Times New Roman"/>
          <w:lang w:val="es-MX"/>
        </w:rPr>
      </w:pPr>
    </w:p>
    <w:p w14:paraId="69292F96" w14:textId="70DCAC50" w:rsidR="00A02F83" w:rsidRPr="003C7880" w:rsidRDefault="00A02F83" w:rsidP="00A02F83">
      <w:pPr>
        <w:pStyle w:val="Sinespaciado"/>
        <w:jc w:val="center"/>
        <w:rPr>
          <w:rFonts w:ascii="Times New Roman" w:hAnsi="Times New Roman" w:cs="Times New Roman"/>
          <w:lang w:val="es-MX"/>
        </w:rPr>
      </w:pPr>
    </w:p>
    <w:p w14:paraId="5CCB73F2" w14:textId="0F781C1A" w:rsidR="001E0B46" w:rsidRPr="003C7880" w:rsidRDefault="001E0B46" w:rsidP="00A02F83">
      <w:pPr>
        <w:pStyle w:val="Sinespaciado"/>
        <w:jc w:val="center"/>
        <w:rPr>
          <w:rFonts w:ascii="Times New Roman" w:hAnsi="Times New Roman" w:cs="Times New Roman"/>
          <w:lang w:val="es-MX"/>
        </w:rPr>
      </w:pPr>
    </w:p>
    <w:p w14:paraId="0DDAD2A3" w14:textId="73A8FD94" w:rsidR="001E0B46" w:rsidRPr="003C7880" w:rsidRDefault="001E0B46" w:rsidP="00A02F83">
      <w:pPr>
        <w:pStyle w:val="Sinespaciado"/>
        <w:jc w:val="center"/>
        <w:rPr>
          <w:rFonts w:ascii="Times New Roman" w:hAnsi="Times New Roman" w:cs="Times New Roman"/>
          <w:lang w:val="es-MX"/>
        </w:rPr>
      </w:pPr>
    </w:p>
    <w:p w14:paraId="35151DA3" w14:textId="3EB30782" w:rsidR="001E0B46" w:rsidRPr="003C7880" w:rsidRDefault="001E0B46" w:rsidP="00A02F83">
      <w:pPr>
        <w:pStyle w:val="Sinespaciado"/>
        <w:jc w:val="center"/>
        <w:rPr>
          <w:rFonts w:ascii="Times New Roman" w:hAnsi="Times New Roman" w:cs="Times New Roman"/>
          <w:lang w:val="es-MX"/>
        </w:rPr>
      </w:pPr>
    </w:p>
    <w:p w14:paraId="7533D99E" w14:textId="1726F120" w:rsidR="001E0B46" w:rsidRPr="003C7880" w:rsidRDefault="001E0B46" w:rsidP="00A02F83">
      <w:pPr>
        <w:pStyle w:val="Sinespaciado"/>
        <w:jc w:val="center"/>
        <w:rPr>
          <w:rFonts w:ascii="Times New Roman" w:hAnsi="Times New Roman" w:cs="Times New Roman"/>
          <w:lang w:val="es-MX"/>
        </w:rPr>
      </w:pPr>
    </w:p>
    <w:p w14:paraId="4BFD1A69" w14:textId="77777777" w:rsidR="001E0B46" w:rsidRPr="003C7880" w:rsidRDefault="001E0B46" w:rsidP="00A02F83">
      <w:pPr>
        <w:pStyle w:val="Sinespaciado"/>
        <w:jc w:val="center"/>
        <w:rPr>
          <w:rFonts w:ascii="Times New Roman" w:hAnsi="Times New Roman" w:cs="Times New Roman"/>
          <w:lang w:val="es-MX"/>
        </w:rPr>
      </w:pPr>
    </w:p>
    <w:p w14:paraId="53BADA8C" w14:textId="5FCFEC05" w:rsidR="001E0B46" w:rsidRPr="003C7880" w:rsidRDefault="001E0B46" w:rsidP="00A02F83">
      <w:pPr>
        <w:spacing w:after="0" w:line="240" w:lineRule="auto"/>
        <w:jc w:val="both"/>
        <w:rPr>
          <w:rFonts w:ascii="Times New Roman" w:hAnsi="Times New Roman" w:cs="Times New Roman"/>
          <w:sz w:val="16"/>
        </w:rPr>
      </w:pPr>
    </w:p>
    <w:p w14:paraId="503A6BD6" w14:textId="77777777" w:rsidR="00E02D18" w:rsidRDefault="00E02D18" w:rsidP="00A02F83">
      <w:pPr>
        <w:spacing w:after="0" w:line="240" w:lineRule="auto"/>
        <w:jc w:val="both"/>
        <w:rPr>
          <w:rFonts w:ascii="Times New Roman" w:hAnsi="Times New Roman" w:cs="Times New Roman"/>
          <w:sz w:val="16"/>
        </w:rPr>
      </w:pPr>
    </w:p>
    <w:p w14:paraId="13C5F6C7" w14:textId="77777777" w:rsidR="00E02D18" w:rsidRDefault="00E02D18" w:rsidP="00A02F83">
      <w:pPr>
        <w:spacing w:after="0" w:line="240" w:lineRule="auto"/>
        <w:jc w:val="both"/>
        <w:rPr>
          <w:rFonts w:ascii="Times New Roman" w:hAnsi="Times New Roman" w:cs="Times New Roman"/>
          <w:sz w:val="16"/>
        </w:rPr>
      </w:pPr>
    </w:p>
    <w:p w14:paraId="4D25C170" w14:textId="71BDA73E" w:rsidR="00A02F83" w:rsidRPr="003C7880" w:rsidRDefault="00A02F83" w:rsidP="00A02F83">
      <w:pPr>
        <w:spacing w:after="0" w:line="240" w:lineRule="auto"/>
        <w:jc w:val="both"/>
        <w:rPr>
          <w:rFonts w:ascii="Times New Roman" w:hAnsi="Times New Roman" w:cs="Times New Roman"/>
          <w:sz w:val="16"/>
        </w:rPr>
      </w:pPr>
      <w:r w:rsidRPr="003C7880">
        <w:rPr>
          <w:rFonts w:ascii="Times New Roman" w:hAnsi="Times New Roman" w:cs="Times New Roman"/>
          <w:sz w:val="16"/>
        </w:rPr>
        <w:t>Fuente: Dirección de Análisis y Política Fiscal.</w:t>
      </w:r>
    </w:p>
    <w:p w14:paraId="3C7AB659" w14:textId="77777777" w:rsidR="00A02F83" w:rsidRPr="00BD5286" w:rsidRDefault="00A02F83" w:rsidP="00A02F83">
      <w:pPr>
        <w:pStyle w:val="Sinespaciado"/>
        <w:jc w:val="both"/>
        <w:rPr>
          <w:rFonts w:ascii="Times New Roman" w:hAnsi="Times New Roman" w:cs="Times New Roman"/>
          <w:color w:val="FF0000"/>
          <w:lang w:val="es-MX"/>
        </w:rPr>
      </w:pPr>
    </w:p>
    <w:p w14:paraId="62A3E3BC" w14:textId="530D49E6" w:rsidR="00562442" w:rsidRDefault="00FA25D8" w:rsidP="000468DA">
      <w:pPr>
        <w:pStyle w:val="Sinespaciado"/>
        <w:jc w:val="both"/>
        <w:rPr>
          <w:rFonts w:ascii="Times New Roman" w:hAnsi="Times New Roman" w:cs="Times New Roman"/>
          <w:color w:val="FF0000"/>
          <w:lang w:val="es-MX"/>
        </w:rPr>
      </w:pPr>
      <w:r w:rsidRPr="0025066B">
        <w:rPr>
          <w:rFonts w:ascii="Times New Roman" w:hAnsi="Times New Roman" w:cs="Times New Roman"/>
          <w:lang w:val="es-MX"/>
        </w:rPr>
        <w:t>Es importante tomar en consideración que en 2021 el gasto vinculado a COVID-19 fue importante por los procesos relacionados a la compra de la vacuna, mientras que en 2022 estos gastos han sido menores y por ello el crecimiento sin considerar el gasto de COVID-19 sería notable.</w:t>
      </w:r>
      <w:r w:rsidR="00A02F83" w:rsidRPr="00BD5286">
        <w:rPr>
          <w:rFonts w:ascii="Times New Roman" w:hAnsi="Times New Roman" w:cs="Times New Roman"/>
          <w:color w:val="FF0000"/>
          <w:lang w:val="es-MX"/>
        </w:rPr>
        <w:t xml:space="preserve"> </w:t>
      </w:r>
    </w:p>
    <w:p w14:paraId="3FD8DA4A" w14:textId="77777777" w:rsidR="000468DA" w:rsidRPr="000468DA" w:rsidRDefault="000468DA" w:rsidP="000468DA">
      <w:pPr>
        <w:pStyle w:val="Sinespaciado"/>
        <w:jc w:val="both"/>
        <w:rPr>
          <w:rFonts w:ascii="Times New Roman" w:hAnsi="Times New Roman" w:cs="Times New Roman"/>
          <w:color w:val="FF0000"/>
          <w:lang w:val="es-MX"/>
        </w:rPr>
      </w:pPr>
    </w:p>
    <w:p w14:paraId="7D984557" w14:textId="77777777" w:rsidR="00A02F83" w:rsidRPr="00FA25D8" w:rsidRDefault="00A02F83" w:rsidP="00A02F83">
      <w:pPr>
        <w:spacing w:after="0" w:line="240" w:lineRule="auto"/>
        <w:jc w:val="center"/>
        <w:rPr>
          <w:rFonts w:ascii="Times New Roman" w:hAnsi="Times New Roman" w:cs="Times New Roman"/>
          <w:b/>
          <w:lang w:val="es-MX"/>
        </w:rPr>
      </w:pPr>
      <w:r w:rsidRPr="00FA25D8">
        <w:rPr>
          <w:rFonts w:ascii="Times New Roman" w:hAnsi="Times New Roman" w:cs="Times New Roman"/>
          <w:b/>
          <w:lang w:val="es-MX"/>
        </w:rPr>
        <w:t xml:space="preserve">Ritmo de Ejecución del Gasto sin </w:t>
      </w:r>
      <w:r w:rsidRPr="00FA25D8">
        <w:rPr>
          <w:rFonts w:ascii="Times New Roman" w:hAnsi="Times New Roman" w:cs="Times New Roman"/>
          <w:b/>
          <w:sz w:val="20"/>
          <w:lang w:val="es-MX"/>
        </w:rPr>
        <w:t>COVID-19</w:t>
      </w:r>
    </w:p>
    <w:p w14:paraId="55A91650" w14:textId="77777777" w:rsidR="00A02F83" w:rsidRPr="00FA25D8" w:rsidRDefault="00A02F83" w:rsidP="00A02F83">
      <w:pPr>
        <w:pStyle w:val="Sinespaciado"/>
        <w:jc w:val="center"/>
        <w:rPr>
          <w:rFonts w:ascii="Times New Roman" w:hAnsi="Times New Roman" w:cs="Times New Roman"/>
          <w:szCs w:val="18"/>
          <w:lang w:val="es-MX"/>
        </w:rPr>
      </w:pPr>
      <w:r w:rsidRPr="00FA25D8">
        <w:rPr>
          <w:rFonts w:ascii="Times New Roman" w:hAnsi="Times New Roman" w:cs="Times New Roman"/>
          <w:szCs w:val="18"/>
          <w:lang w:val="es-MX"/>
        </w:rPr>
        <w:t>Variación interanual (%) *</w:t>
      </w:r>
    </w:p>
    <w:p w14:paraId="52C9D0B4" w14:textId="1C3F147B" w:rsidR="00A02F83" w:rsidRPr="00FA25D8" w:rsidRDefault="00562442" w:rsidP="00A02F83">
      <w:pPr>
        <w:pStyle w:val="Sinespaciado"/>
        <w:jc w:val="center"/>
        <w:rPr>
          <w:rFonts w:ascii="Times New Roman" w:hAnsi="Times New Roman" w:cs="Times New Roman"/>
          <w:szCs w:val="18"/>
          <w:lang w:val="es-MX"/>
        </w:rPr>
      </w:pPr>
      <w:r w:rsidRPr="00FA25D8">
        <w:rPr>
          <w:rFonts w:ascii="Times New Roman" w:hAnsi="Times New Roman" w:cs="Times New Roman"/>
          <w:noProof/>
          <w:lang w:eastAsia="es-GT"/>
        </w:rPr>
        <w:drawing>
          <wp:inline distT="0" distB="0" distL="0" distR="0" wp14:anchorId="3B017ED0" wp14:editId="68FA8120">
            <wp:extent cx="2581275" cy="1996505"/>
            <wp:effectExtent l="0" t="0" r="0" b="381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3587AD6" w14:textId="77777777" w:rsidR="00A02F83" w:rsidRPr="00FA25D8" w:rsidRDefault="00A02F83" w:rsidP="00A02F83">
      <w:pPr>
        <w:pStyle w:val="Sinespaciado"/>
        <w:jc w:val="both"/>
        <w:rPr>
          <w:rFonts w:ascii="Times New Roman" w:hAnsi="Times New Roman" w:cs="Times New Roman"/>
          <w:sz w:val="18"/>
          <w:lang w:val="es-MX"/>
        </w:rPr>
      </w:pPr>
      <w:r w:rsidRPr="00FA25D8">
        <w:rPr>
          <w:rFonts w:ascii="Times New Roman" w:hAnsi="Times New Roman" w:cs="Times New Roman"/>
          <w:sz w:val="18"/>
          <w:lang w:val="es-MX"/>
        </w:rPr>
        <w:t>*No incluye amortizaciones de la deuda pública</w:t>
      </w:r>
    </w:p>
    <w:p w14:paraId="146D175F" w14:textId="2B3157DB" w:rsidR="00A02F83" w:rsidRPr="00FA25D8" w:rsidRDefault="00A02F83" w:rsidP="00A02F83">
      <w:pPr>
        <w:pStyle w:val="Sinespaciado"/>
        <w:jc w:val="both"/>
        <w:rPr>
          <w:rFonts w:ascii="Times New Roman" w:hAnsi="Times New Roman" w:cs="Times New Roman"/>
          <w:sz w:val="16"/>
          <w:szCs w:val="16"/>
          <w:lang w:val="es-MX"/>
        </w:rPr>
      </w:pPr>
      <w:r w:rsidRPr="00FA25D8">
        <w:rPr>
          <w:rFonts w:ascii="Times New Roman" w:hAnsi="Times New Roman" w:cs="Times New Roman"/>
          <w:sz w:val="16"/>
          <w:szCs w:val="16"/>
          <w:lang w:val="es-MX"/>
        </w:rPr>
        <w:t>Fuente: Dirección de Análisis y Política Fiscal</w:t>
      </w:r>
      <w:r w:rsidR="009C2E0C" w:rsidRPr="00FA25D8">
        <w:rPr>
          <w:rFonts w:ascii="Times New Roman" w:hAnsi="Times New Roman" w:cs="Times New Roman"/>
          <w:sz w:val="16"/>
          <w:szCs w:val="16"/>
          <w:lang w:val="es-MX"/>
        </w:rPr>
        <w:t>.</w:t>
      </w:r>
    </w:p>
    <w:p w14:paraId="3A0ACE28" w14:textId="77777777" w:rsidR="00562442" w:rsidRPr="00BD5286" w:rsidRDefault="00562442" w:rsidP="00A02F83">
      <w:pPr>
        <w:pStyle w:val="Sinespaciado"/>
        <w:jc w:val="both"/>
        <w:rPr>
          <w:rFonts w:ascii="Times New Roman" w:hAnsi="Times New Roman" w:cs="Times New Roman"/>
          <w:color w:val="FF0000"/>
          <w:lang w:val="es-MX"/>
        </w:rPr>
      </w:pPr>
    </w:p>
    <w:p w14:paraId="540D0873" w14:textId="77777777" w:rsidR="00FA25D8" w:rsidRPr="00FA25D8" w:rsidRDefault="00FA25D8" w:rsidP="00FA25D8">
      <w:pPr>
        <w:pStyle w:val="Sinespaciado"/>
        <w:jc w:val="both"/>
        <w:rPr>
          <w:rFonts w:ascii="Times New Roman" w:hAnsi="Times New Roman" w:cs="Times New Roman"/>
          <w:lang w:val="es-MX"/>
        </w:rPr>
      </w:pPr>
      <w:r w:rsidRPr="0025066B">
        <w:rPr>
          <w:rFonts w:ascii="Times New Roman" w:hAnsi="Times New Roman" w:cs="Times New Roman"/>
          <w:lang w:val="es-MX"/>
        </w:rPr>
        <w:lastRenderedPageBreak/>
        <w:t xml:space="preserve">En cuanto al gasto total, el cual incluye amortizaciones de la deuda pública, se situó en Q75,094.5 millones, con un grado de ejecución de 66.7% y una variación interanual de 16.5%. Este grado de ejecución se encuentra por arriba de la ejecución promedio de </w:t>
      </w:r>
      <w:r w:rsidRPr="00FA25D8">
        <w:rPr>
          <w:rFonts w:ascii="Times New Roman" w:hAnsi="Times New Roman" w:cs="Times New Roman"/>
          <w:lang w:val="es-MX"/>
        </w:rPr>
        <w:t>los últimos 5 años (63.6%).</w:t>
      </w:r>
    </w:p>
    <w:p w14:paraId="4033101A" w14:textId="77777777" w:rsidR="00A02F83" w:rsidRPr="00FA25D8" w:rsidRDefault="00A02F83" w:rsidP="00A02F83">
      <w:pPr>
        <w:pStyle w:val="Sinespaciado"/>
        <w:jc w:val="both"/>
        <w:rPr>
          <w:rFonts w:ascii="Times New Roman" w:hAnsi="Times New Roman" w:cs="Times New Roman"/>
          <w:lang w:val="es-MX"/>
        </w:rPr>
      </w:pPr>
    </w:p>
    <w:p w14:paraId="01FD7A29" w14:textId="77777777" w:rsidR="00A02F83" w:rsidRPr="00FA25D8" w:rsidRDefault="00A02F83" w:rsidP="00A02F83">
      <w:pPr>
        <w:spacing w:after="0" w:line="240" w:lineRule="auto"/>
        <w:jc w:val="center"/>
        <w:rPr>
          <w:rFonts w:ascii="Times New Roman" w:hAnsi="Times New Roman" w:cs="Times New Roman"/>
          <w:b/>
          <w:lang w:val="es-MX"/>
        </w:rPr>
      </w:pPr>
      <w:r w:rsidRPr="00FA25D8">
        <w:rPr>
          <w:rFonts w:ascii="Times New Roman" w:hAnsi="Times New Roman" w:cs="Times New Roman"/>
          <w:b/>
          <w:lang w:val="es-MX"/>
        </w:rPr>
        <w:t>Grado de Ejecución de los últimos 5 años</w:t>
      </w:r>
    </w:p>
    <w:p w14:paraId="73FB4CB1" w14:textId="77777777" w:rsidR="00BA4056" w:rsidRPr="00FA25D8" w:rsidRDefault="00BA4056" w:rsidP="00BA4056">
      <w:pPr>
        <w:pStyle w:val="Sinespaciado"/>
        <w:jc w:val="center"/>
        <w:rPr>
          <w:rFonts w:ascii="Times New Roman" w:hAnsi="Times New Roman" w:cs="Times New Roman"/>
          <w:szCs w:val="18"/>
          <w:lang w:val="es-MX"/>
        </w:rPr>
      </w:pPr>
      <w:r w:rsidRPr="00FA25D8">
        <w:rPr>
          <w:rFonts w:ascii="Times New Roman" w:hAnsi="Times New Roman" w:cs="Times New Roman"/>
          <w:szCs w:val="18"/>
          <w:lang w:val="es-MX"/>
        </w:rPr>
        <w:t>Al 30 de septiembre de cada año</w:t>
      </w:r>
    </w:p>
    <w:p w14:paraId="73994D06" w14:textId="530763DE" w:rsidR="00A02F83" w:rsidRPr="00FA25D8" w:rsidRDefault="00A02F83" w:rsidP="00A02F83">
      <w:pPr>
        <w:pStyle w:val="Sinespaciado"/>
        <w:jc w:val="center"/>
        <w:rPr>
          <w:rFonts w:ascii="Times New Roman" w:hAnsi="Times New Roman" w:cs="Times New Roman"/>
          <w:szCs w:val="18"/>
          <w:lang w:val="es-MX"/>
        </w:rPr>
      </w:pPr>
      <w:r w:rsidRPr="00FA25D8">
        <w:rPr>
          <w:rFonts w:ascii="Times New Roman" w:hAnsi="Times New Roman" w:cs="Times New Roman"/>
          <w:szCs w:val="18"/>
          <w:lang w:val="es-MX"/>
        </w:rPr>
        <w:t>Cifras en porcentajes</w:t>
      </w:r>
    </w:p>
    <w:p w14:paraId="5D8F10FE" w14:textId="3EAB17CC" w:rsidR="00BA4056" w:rsidRPr="00FA25D8" w:rsidRDefault="00BA4056" w:rsidP="00A02F83">
      <w:pPr>
        <w:pStyle w:val="Sinespaciado"/>
        <w:jc w:val="center"/>
        <w:rPr>
          <w:rFonts w:ascii="Times New Roman" w:hAnsi="Times New Roman" w:cs="Times New Roman"/>
          <w:szCs w:val="18"/>
          <w:lang w:val="es-MX"/>
        </w:rPr>
      </w:pPr>
      <w:r w:rsidRPr="00FA25D8">
        <w:rPr>
          <w:noProof/>
          <w:lang w:eastAsia="es-GT"/>
        </w:rPr>
        <w:drawing>
          <wp:anchor distT="0" distB="0" distL="114300" distR="114300" simplePos="0" relativeHeight="251888640" behindDoc="0" locked="0" layoutInCell="1" allowOverlap="1" wp14:anchorId="44BCBCFC" wp14:editId="17AADB27">
            <wp:simplePos x="0" y="0"/>
            <wp:positionH relativeFrom="column">
              <wp:posOffset>0</wp:posOffset>
            </wp:positionH>
            <wp:positionV relativeFrom="paragraph">
              <wp:posOffset>-635</wp:posOffset>
            </wp:positionV>
            <wp:extent cx="2570480" cy="1726388"/>
            <wp:effectExtent l="0" t="0" r="1270" b="7620"/>
            <wp:wrapNone/>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B2CCDD9" w14:textId="1080137A" w:rsidR="00A02F83" w:rsidRPr="00FA25D8" w:rsidRDefault="00A02F83" w:rsidP="00A02F83">
      <w:pPr>
        <w:pStyle w:val="Sinespaciado"/>
        <w:jc w:val="center"/>
        <w:rPr>
          <w:rFonts w:ascii="Times New Roman" w:hAnsi="Times New Roman" w:cs="Times New Roman"/>
          <w:szCs w:val="18"/>
          <w:lang w:val="es-MX"/>
        </w:rPr>
      </w:pPr>
    </w:p>
    <w:p w14:paraId="60E1E29C" w14:textId="77777777" w:rsidR="00A02F83" w:rsidRPr="00FA25D8" w:rsidRDefault="00A02F83" w:rsidP="00A02F83">
      <w:pPr>
        <w:pStyle w:val="Sinespaciado"/>
        <w:jc w:val="center"/>
        <w:rPr>
          <w:rFonts w:ascii="Times New Roman" w:hAnsi="Times New Roman" w:cs="Times New Roman"/>
          <w:szCs w:val="18"/>
          <w:lang w:val="es-MX"/>
        </w:rPr>
      </w:pPr>
    </w:p>
    <w:p w14:paraId="54BF6046" w14:textId="77777777" w:rsidR="00A02F83" w:rsidRPr="00FA25D8" w:rsidRDefault="00A02F83" w:rsidP="00A02F83">
      <w:pPr>
        <w:pStyle w:val="Sinespaciado"/>
        <w:jc w:val="center"/>
        <w:rPr>
          <w:rFonts w:ascii="Times New Roman" w:hAnsi="Times New Roman" w:cs="Times New Roman"/>
          <w:szCs w:val="18"/>
          <w:lang w:val="es-MX"/>
        </w:rPr>
      </w:pPr>
    </w:p>
    <w:p w14:paraId="4CDD42F5" w14:textId="77777777" w:rsidR="00A02F83" w:rsidRPr="00FA25D8" w:rsidRDefault="00A02F83" w:rsidP="00A02F83">
      <w:pPr>
        <w:pStyle w:val="Sinespaciado"/>
        <w:jc w:val="center"/>
        <w:rPr>
          <w:rFonts w:ascii="Times New Roman" w:hAnsi="Times New Roman" w:cs="Times New Roman"/>
          <w:szCs w:val="18"/>
          <w:lang w:val="es-MX"/>
        </w:rPr>
      </w:pPr>
    </w:p>
    <w:p w14:paraId="5F5E8F90" w14:textId="77777777" w:rsidR="00A02F83" w:rsidRPr="00FA25D8" w:rsidRDefault="00A02F83" w:rsidP="00A02F83">
      <w:pPr>
        <w:pStyle w:val="Sinespaciado"/>
        <w:jc w:val="center"/>
        <w:rPr>
          <w:rFonts w:ascii="Times New Roman" w:hAnsi="Times New Roman" w:cs="Times New Roman"/>
          <w:szCs w:val="18"/>
          <w:lang w:val="es-MX"/>
        </w:rPr>
      </w:pPr>
    </w:p>
    <w:p w14:paraId="49B669FE" w14:textId="77777777" w:rsidR="00A02F83" w:rsidRPr="00FA25D8" w:rsidRDefault="00A02F83" w:rsidP="00A02F83">
      <w:pPr>
        <w:pStyle w:val="Sinespaciado"/>
        <w:jc w:val="center"/>
        <w:rPr>
          <w:rFonts w:ascii="Times New Roman" w:hAnsi="Times New Roman" w:cs="Times New Roman"/>
          <w:szCs w:val="18"/>
          <w:lang w:val="es-MX"/>
        </w:rPr>
      </w:pPr>
    </w:p>
    <w:p w14:paraId="760D1794" w14:textId="77777777" w:rsidR="00A02F83" w:rsidRPr="00FA25D8" w:rsidRDefault="00A02F83" w:rsidP="00A02F83">
      <w:pPr>
        <w:pStyle w:val="Sinespaciado"/>
        <w:jc w:val="center"/>
        <w:rPr>
          <w:rFonts w:ascii="Times New Roman" w:hAnsi="Times New Roman" w:cs="Times New Roman"/>
          <w:szCs w:val="18"/>
          <w:lang w:val="es-MX"/>
        </w:rPr>
      </w:pPr>
    </w:p>
    <w:p w14:paraId="6F4E6E97" w14:textId="77777777" w:rsidR="00A02F83" w:rsidRPr="00FA25D8" w:rsidRDefault="00A02F83" w:rsidP="00A02F83">
      <w:pPr>
        <w:pStyle w:val="Sinespaciado"/>
        <w:jc w:val="center"/>
        <w:rPr>
          <w:rFonts w:ascii="Times New Roman" w:hAnsi="Times New Roman" w:cs="Times New Roman"/>
          <w:szCs w:val="18"/>
          <w:lang w:val="es-MX"/>
        </w:rPr>
      </w:pPr>
    </w:p>
    <w:p w14:paraId="2EF5915D" w14:textId="22ED4695" w:rsidR="00A02F83" w:rsidRPr="00FA25D8" w:rsidRDefault="00A02F83" w:rsidP="00A02F83">
      <w:pPr>
        <w:pStyle w:val="Sinespaciado"/>
        <w:jc w:val="center"/>
        <w:rPr>
          <w:rFonts w:ascii="Times New Roman" w:hAnsi="Times New Roman" w:cs="Times New Roman"/>
          <w:szCs w:val="18"/>
          <w:lang w:val="es-MX"/>
        </w:rPr>
      </w:pPr>
    </w:p>
    <w:p w14:paraId="03B97EE6" w14:textId="77777777" w:rsidR="005A2F2F" w:rsidRPr="00FA25D8" w:rsidRDefault="005A2F2F" w:rsidP="00A02F83">
      <w:pPr>
        <w:pStyle w:val="Sinespaciado"/>
        <w:jc w:val="center"/>
        <w:rPr>
          <w:rFonts w:ascii="Times New Roman" w:hAnsi="Times New Roman" w:cs="Times New Roman"/>
          <w:szCs w:val="18"/>
          <w:lang w:val="es-MX"/>
        </w:rPr>
      </w:pPr>
    </w:p>
    <w:p w14:paraId="47F88160" w14:textId="701B6519" w:rsidR="00A02F83" w:rsidRPr="00FA25D8" w:rsidRDefault="00A02F83" w:rsidP="00A02F83">
      <w:pPr>
        <w:spacing w:after="0" w:line="240" w:lineRule="auto"/>
        <w:jc w:val="both"/>
        <w:rPr>
          <w:rFonts w:ascii="Times New Roman" w:hAnsi="Times New Roman" w:cs="Times New Roman"/>
          <w:sz w:val="16"/>
          <w:szCs w:val="16"/>
        </w:rPr>
      </w:pPr>
      <w:r w:rsidRPr="00FA25D8">
        <w:rPr>
          <w:rFonts w:ascii="Times New Roman" w:hAnsi="Times New Roman" w:cs="Times New Roman"/>
          <w:sz w:val="16"/>
          <w:szCs w:val="16"/>
        </w:rPr>
        <w:t>Fuente: Dirección de Análisis y Política Fiscal.</w:t>
      </w:r>
    </w:p>
    <w:p w14:paraId="23880B1B" w14:textId="77777777" w:rsidR="00A02F83" w:rsidRPr="00BD5286" w:rsidRDefault="00A02F83" w:rsidP="00A02F83">
      <w:pPr>
        <w:pStyle w:val="Sinespaciado"/>
        <w:jc w:val="both"/>
        <w:rPr>
          <w:rFonts w:ascii="Times New Roman" w:hAnsi="Times New Roman" w:cs="Times New Roman"/>
          <w:color w:val="FF0000"/>
          <w:sz w:val="18"/>
        </w:rPr>
      </w:pPr>
    </w:p>
    <w:p w14:paraId="2012F561" w14:textId="77777777" w:rsidR="00FA25D8" w:rsidRPr="0025066B" w:rsidRDefault="00FA25D8" w:rsidP="00FA25D8">
      <w:pPr>
        <w:pStyle w:val="Sinespaciado"/>
        <w:jc w:val="both"/>
        <w:rPr>
          <w:rFonts w:ascii="Times New Roman" w:hAnsi="Times New Roman" w:cs="Times New Roman"/>
        </w:rPr>
      </w:pPr>
      <w:r w:rsidRPr="0025066B">
        <w:rPr>
          <w:rFonts w:ascii="Times New Roman" w:hAnsi="Times New Roman" w:cs="Times New Roman"/>
        </w:rPr>
        <w:t>A nivel del gasto público por entidades, las que muestran el mayor nivel de ejecución son: Energía y Minas (96.1%), Educación (72.2%), Presidencia (72.1%), PGN (71.8%), Trabajo (70.6%), Defensa (70.3%), Deuda Pública (70.2%) y Obligaciones (67.7%), todas estas entidades se encuentran por arriba de la ejecución institucional total (66.7%).</w:t>
      </w:r>
    </w:p>
    <w:p w14:paraId="125C3EEA" w14:textId="77777777" w:rsidR="00FA25D8" w:rsidRPr="0025066B" w:rsidRDefault="00FA25D8" w:rsidP="00FA25D8">
      <w:pPr>
        <w:pStyle w:val="Sinespaciado"/>
        <w:jc w:val="both"/>
        <w:rPr>
          <w:rFonts w:ascii="Times New Roman" w:hAnsi="Times New Roman" w:cs="Times New Roman"/>
        </w:rPr>
      </w:pPr>
    </w:p>
    <w:p w14:paraId="77E66514" w14:textId="77777777" w:rsidR="00FA25D8" w:rsidRPr="0025066B" w:rsidRDefault="00FA25D8" w:rsidP="00FA25D8">
      <w:pPr>
        <w:pStyle w:val="Sinespaciado"/>
        <w:jc w:val="both"/>
        <w:rPr>
          <w:rFonts w:ascii="Times New Roman" w:hAnsi="Times New Roman" w:cs="Times New Roman"/>
        </w:rPr>
      </w:pPr>
      <w:r w:rsidRPr="0025066B">
        <w:rPr>
          <w:rFonts w:ascii="Times New Roman" w:hAnsi="Times New Roman" w:cs="Times New Roman"/>
        </w:rPr>
        <w:t>Es relevante el caso del Ministerio de Energía y Minas, cuyo presupuesto y nivel de ejecución se ha ido ampliando conforme avanzan los meses y se espera que en octubre nuevamente su presupuesto sea ampliado por Q300 millones por la aprobación de los Decretos 42-2022 y 45-2022 que corresponde al subsidio al diésel y gas propano, respectivamente.</w:t>
      </w:r>
    </w:p>
    <w:p w14:paraId="5CC0BACE" w14:textId="77777777" w:rsidR="00FA25D8" w:rsidRPr="0025066B" w:rsidRDefault="00FA25D8" w:rsidP="00FA25D8">
      <w:pPr>
        <w:pStyle w:val="Sinespaciado"/>
        <w:jc w:val="both"/>
        <w:rPr>
          <w:rFonts w:ascii="Times New Roman" w:hAnsi="Times New Roman" w:cs="Times New Roman"/>
        </w:rPr>
      </w:pPr>
    </w:p>
    <w:p w14:paraId="1B6A4AE1" w14:textId="68CB6B7E" w:rsidR="00FE5E84" w:rsidRPr="00BD5286" w:rsidRDefault="00FA25D8" w:rsidP="00FA25D8">
      <w:pPr>
        <w:pStyle w:val="Sinespaciado"/>
        <w:jc w:val="both"/>
        <w:rPr>
          <w:rFonts w:ascii="Times New Roman" w:hAnsi="Times New Roman" w:cs="Times New Roman"/>
          <w:color w:val="FF0000"/>
        </w:rPr>
      </w:pPr>
      <w:r w:rsidRPr="0025066B">
        <w:rPr>
          <w:rFonts w:ascii="Times New Roman" w:hAnsi="Times New Roman" w:cs="Times New Roman"/>
        </w:rPr>
        <w:t>Por su parte, el resto de las entidades se encuentran por debajo de la ejecución total, el caso más destacado es Cultura y Deportes (53.5%) y Comunicaciones (48.0%).</w:t>
      </w:r>
    </w:p>
    <w:p w14:paraId="3A31BBC9" w14:textId="01DEEF76" w:rsidR="005A2F2F" w:rsidRDefault="005A2F2F" w:rsidP="00A02F83">
      <w:pPr>
        <w:pStyle w:val="Sinespaciado"/>
        <w:jc w:val="both"/>
        <w:rPr>
          <w:rFonts w:ascii="Times New Roman" w:hAnsi="Times New Roman" w:cs="Times New Roman"/>
          <w:color w:val="FF0000"/>
          <w:sz w:val="18"/>
        </w:rPr>
      </w:pPr>
    </w:p>
    <w:p w14:paraId="60953F02" w14:textId="0A593DCF" w:rsidR="00E02D18" w:rsidRDefault="00E02D18" w:rsidP="00A02F83">
      <w:pPr>
        <w:pStyle w:val="Sinespaciado"/>
        <w:jc w:val="both"/>
        <w:rPr>
          <w:rFonts w:ascii="Times New Roman" w:hAnsi="Times New Roman" w:cs="Times New Roman"/>
          <w:color w:val="FF0000"/>
          <w:sz w:val="18"/>
        </w:rPr>
      </w:pPr>
    </w:p>
    <w:p w14:paraId="1CA4D71D" w14:textId="1646C660" w:rsidR="00E02D18" w:rsidRDefault="00E02D18" w:rsidP="00A02F83">
      <w:pPr>
        <w:pStyle w:val="Sinespaciado"/>
        <w:jc w:val="both"/>
        <w:rPr>
          <w:rFonts w:ascii="Times New Roman" w:hAnsi="Times New Roman" w:cs="Times New Roman"/>
          <w:color w:val="FF0000"/>
          <w:sz w:val="18"/>
        </w:rPr>
      </w:pPr>
    </w:p>
    <w:p w14:paraId="3434FD02" w14:textId="3CE139DA" w:rsidR="00E02D18" w:rsidRDefault="00E02D18" w:rsidP="00A02F83">
      <w:pPr>
        <w:pStyle w:val="Sinespaciado"/>
        <w:jc w:val="both"/>
        <w:rPr>
          <w:rFonts w:ascii="Times New Roman" w:hAnsi="Times New Roman" w:cs="Times New Roman"/>
          <w:color w:val="FF0000"/>
          <w:sz w:val="18"/>
        </w:rPr>
      </w:pPr>
    </w:p>
    <w:p w14:paraId="277539E3" w14:textId="77777777" w:rsidR="00E02D18" w:rsidRPr="00BD5286" w:rsidRDefault="00E02D18" w:rsidP="00A02F83">
      <w:pPr>
        <w:pStyle w:val="Sinespaciado"/>
        <w:jc w:val="both"/>
        <w:rPr>
          <w:rFonts w:ascii="Times New Roman" w:hAnsi="Times New Roman" w:cs="Times New Roman"/>
          <w:color w:val="FF0000"/>
          <w:sz w:val="18"/>
        </w:rPr>
      </w:pPr>
    </w:p>
    <w:p w14:paraId="44E55A9E" w14:textId="77777777" w:rsidR="00A02F83" w:rsidRPr="00FA25D8" w:rsidRDefault="00A02F83" w:rsidP="00A02F83">
      <w:pPr>
        <w:spacing w:after="0" w:line="240" w:lineRule="auto"/>
        <w:jc w:val="center"/>
        <w:rPr>
          <w:rFonts w:ascii="Times New Roman" w:hAnsi="Times New Roman" w:cs="Times New Roman"/>
          <w:b/>
          <w:sz w:val="24"/>
          <w:lang w:val="es-MX"/>
        </w:rPr>
      </w:pPr>
      <w:r w:rsidRPr="00FA25D8">
        <w:rPr>
          <w:rFonts w:ascii="Times New Roman" w:hAnsi="Times New Roman" w:cs="Times New Roman"/>
          <w:b/>
          <w:sz w:val="24"/>
          <w:lang w:val="es-MX"/>
        </w:rPr>
        <w:t>Grado de Ejecución por Entidad</w:t>
      </w:r>
    </w:p>
    <w:p w14:paraId="270B412B" w14:textId="77777777" w:rsidR="004F1CB9" w:rsidRPr="00FA25D8" w:rsidRDefault="004F1CB9" w:rsidP="004F1CB9">
      <w:pPr>
        <w:spacing w:after="0" w:line="240" w:lineRule="auto"/>
        <w:jc w:val="center"/>
        <w:rPr>
          <w:rFonts w:ascii="Times New Roman" w:hAnsi="Times New Roman" w:cs="Times New Roman"/>
          <w:szCs w:val="18"/>
          <w:lang w:val="es-MX"/>
        </w:rPr>
      </w:pPr>
      <w:r w:rsidRPr="00FA25D8">
        <w:rPr>
          <w:rFonts w:ascii="Times New Roman" w:hAnsi="Times New Roman" w:cs="Times New Roman"/>
          <w:szCs w:val="18"/>
          <w:lang w:val="es-MX"/>
        </w:rPr>
        <w:t>Al 30 de septiembre del 2022</w:t>
      </w:r>
    </w:p>
    <w:p w14:paraId="73A7496A" w14:textId="6A1F2B1C" w:rsidR="00A02F83" w:rsidRPr="00FA25D8" w:rsidRDefault="00A02F83" w:rsidP="00A02F83">
      <w:pPr>
        <w:spacing w:after="0" w:line="240" w:lineRule="auto"/>
        <w:jc w:val="center"/>
        <w:rPr>
          <w:rFonts w:ascii="Times New Roman" w:hAnsi="Times New Roman" w:cs="Times New Roman"/>
          <w:szCs w:val="18"/>
          <w:lang w:val="es-MX"/>
        </w:rPr>
      </w:pPr>
      <w:r w:rsidRPr="00FA25D8">
        <w:rPr>
          <w:rFonts w:ascii="Times New Roman" w:hAnsi="Times New Roman" w:cs="Times New Roman"/>
          <w:szCs w:val="18"/>
          <w:lang w:val="es-MX"/>
        </w:rPr>
        <w:t>En porcentajes</w:t>
      </w:r>
    </w:p>
    <w:p w14:paraId="48C5BC2B" w14:textId="7928EEC4" w:rsidR="004F1CB9" w:rsidRPr="00FA25D8" w:rsidRDefault="004F1CB9" w:rsidP="00A02F83">
      <w:pPr>
        <w:spacing w:after="0" w:line="240" w:lineRule="auto"/>
        <w:jc w:val="center"/>
        <w:rPr>
          <w:rFonts w:ascii="Times New Roman" w:hAnsi="Times New Roman" w:cs="Times New Roman"/>
          <w:szCs w:val="18"/>
          <w:lang w:val="es-MX"/>
        </w:rPr>
      </w:pPr>
      <w:r w:rsidRPr="00FA25D8">
        <w:rPr>
          <w:noProof/>
          <w:lang w:eastAsia="es-GT"/>
        </w:rPr>
        <w:drawing>
          <wp:anchor distT="0" distB="0" distL="114300" distR="114300" simplePos="0" relativeHeight="251890688" behindDoc="0" locked="0" layoutInCell="1" allowOverlap="1" wp14:anchorId="325CCBD1" wp14:editId="2D03D915">
            <wp:simplePos x="0" y="0"/>
            <wp:positionH relativeFrom="column">
              <wp:posOffset>0</wp:posOffset>
            </wp:positionH>
            <wp:positionV relativeFrom="paragraph">
              <wp:posOffset>-635</wp:posOffset>
            </wp:positionV>
            <wp:extent cx="2581275" cy="3171825"/>
            <wp:effectExtent l="0" t="0" r="0" b="0"/>
            <wp:wrapNone/>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73B86E00" w14:textId="24606E9C" w:rsidR="00A02F83" w:rsidRPr="00FA25D8" w:rsidRDefault="00A02F83" w:rsidP="00A02F83">
      <w:pPr>
        <w:spacing w:after="0" w:line="240" w:lineRule="auto"/>
        <w:jc w:val="center"/>
        <w:rPr>
          <w:rFonts w:ascii="Times New Roman" w:hAnsi="Times New Roman" w:cs="Times New Roman"/>
          <w:szCs w:val="18"/>
          <w:lang w:val="es-MX"/>
        </w:rPr>
      </w:pPr>
    </w:p>
    <w:p w14:paraId="0560F801" w14:textId="77777777" w:rsidR="00A02F83" w:rsidRPr="00FA25D8" w:rsidRDefault="00A02F83" w:rsidP="00A02F83">
      <w:pPr>
        <w:spacing w:after="0" w:line="240" w:lineRule="auto"/>
        <w:jc w:val="center"/>
        <w:rPr>
          <w:rFonts w:ascii="Times New Roman" w:hAnsi="Times New Roman" w:cs="Times New Roman"/>
          <w:szCs w:val="18"/>
          <w:lang w:val="es-MX"/>
        </w:rPr>
      </w:pPr>
    </w:p>
    <w:p w14:paraId="7416F788" w14:textId="77777777" w:rsidR="00A02F83" w:rsidRPr="00FA25D8" w:rsidRDefault="00A02F83" w:rsidP="00A02F83">
      <w:pPr>
        <w:spacing w:after="0" w:line="240" w:lineRule="auto"/>
        <w:jc w:val="center"/>
        <w:rPr>
          <w:rFonts w:ascii="Times New Roman" w:hAnsi="Times New Roman" w:cs="Times New Roman"/>
          <w:szCs w:val="18"/>
          <w:lang w:val="es-MX"/>
        </w:rPr>
      </w:pPr>
    </w:p>
    <w:p w14:paraId="30230CF3" w14:textId="77777777" w:rsidR="00A02F83" w:rsidRPr="00FA25D8" w:rsidRDefault="00A02F83" w:rsidP="00A02F83">
      <w:pPr>
        <w:spacing w:after="0" w:line="240" w:lineRule="auto"/>
        <w:jc w:val="center"/>
        <w:rPr>
          <w:rFonts w:ascii="Times New Roman" w:hAnsi="Times New Roman" w:cs="Times New Roman"/>
          <w:szCs w:val="18"/>
          <w:lang w:val="es-MX"/>
        </w:rPr>
      </w:pPr>
    </w:p>
    <w:p w14:paraId="4BB49986" w14:textId="4B9A1F9B" w:rsidR="00A02F83" w:rsidRPr="00FA25D8" w:rsidRDefault="00A02F83" w:rsidP="00A02F83">
      <w:pPr>
        <w:spacing w:after="0" w:line="240" w:lineRule="auto"/>
        <w:jc w:val="center"/>
        <w:rPr>
          <w:rFonts w:ascii="Times New Roman" w:hAnsi="Times New Roman" w:cs="Times New Roman"/>
          <w:szCs w:val="18"/>
          <w:lang w:val="es-MX"/>
        </w:rPr>
      </w:pPr>
    </w:p>
    <w:p w14:paraId="6A727BF3" w14:textId="77777777" w:rsidR="00A02F83" w:rsidRPr="00FA25D8" w:rsidRDefault="00A02F83" w:rsidP="00A02F83">
      <w:pPr>
        <w:spacing w:after="0" w:line="240" w:lineRule="auto"/>
        <w:jc w:val="center"/>
        <w:rPr>
          <w:rFonts w:ascii="Times New Roman" w:hAnsi="Times New Roman" w:cs="Times New Roman"/>
          <w:szCs w:val="18"/>
          <w:lang w:val="es-MX"/>
        </w:rPr>
      </w:pPr>
    </w:p>
    <w:p w14:paraId="450A040D" w14:textId="1C726423" w:rsidR="00A02F83" w:rsidRPr="00FA25D8" w:rsidRDefault="00A02F83" w:rsidP="00A02F83">
      <w:pPr>
        <w:spacing w:after="0" w:line="240" w:lineRule="auto"/>
        <w:jc w:val="center"/>
        <w:rPr>
          <w:rFonts w:ascii="Times New Roman" w:hAnsi="Times New Roman" w:cs="Times New Roman"/>
          <w:szCs w:val="18"/>
          <w:lang w:val="es-MX"/>
        </w:rPr>
      </w:pPr>
    </w:p>
    <w:p w14:paraId="2C4A3A58" w14:textId="77777777" w:rsidR="00A02F83" w:rsidRPr="00FA25D8" w:rsidRDefault="00A02F83" w:rsidP="00A02F83">
      <w:pPr>
        <w:spacing w:after="0" w:line="240" w:lineRule="auto"/>
        <w:jc w:val="center"/>
        <w:rPr>
          <w:rFonts w:ascii="Times New Roman" w:hAnsi="Times New Roman" w:cs="Times New Roman"/>
          <w:szCs w:val="18"/>
          <w:lang w:val="es-MX"/>
        </w:rPr>
      </w:pPr>
    </w:p>
    <w:p w14:paraId="36AD10B8" w14:textId="77777777" w:rsidR="00A02F83" w:rsidRPr="00FA25D8" w:rsidRDefault="00A02F83" w:rsidP="00A02F83">
      <w:pPr>
        <w:spacing w:after="0" w:line="240" w:lineRule="auto"/>
        <w:jc w:val="center"/>
        <w:rPr>
          <w:rFonts w:ascii="Times New Roman" w:hAnsi="Times New Roman" w:cs="Times New Roman"/>
          <w:szCs w:val="18"/>
          <w:lang w:val="es-MX"/>
        </w:rPr>
      </w:pPr>
    </w:p>
    <w:p w14:paraId="28673903" w14:textId="77777777" w:rsidR="00A02F83" w:rsidRPr="00FA25D8" w:rsidRDefault="00A02F83" w:rsidP="00A02F83">
      <w:pPr>
        <w:spacing w:after="0" w:line="240" w:lineRule="auto"/>
        <w:jc w:val="center"/>
        <w:rPr>
          <w:rFonts w:ascii="Times New Roman" w:hAnsi="Times New Roman" w:cs="Times New Roman"/>
          <w:szCs w:val="18"/>
          <w:lang w:val="es-MX"/>
        </w:rPr>
      </w:pPr>
    </w:p>
    <w:p w14:paraId="1B02FD96" w14:textId="3B32A793" w:rsidR="00A02F83" w:rsidRPr="00FA25D8" w:rsidRDefault="00A02F83" w:rsidP="00A02F83">
      <w:pPr>
        <w:spacing w:after="0" w:line="240" w:lineRule="auto"/>
        <w:jc w:val="center"/>
        <w:rPr>
          <w:rFonts w:ascii="Times New Roman" w:hAnsi="Times New Roman" w:cs="Times New Roman"/>
          <w:szCs w:val="18"/>
          <w:lang w:val="es-MX"/>
        </w:rPr>
      </w:pPr>
    </w:p>
    <w:p w14:paraId="5CC720A2" w14:textId="77777777" w:rsidR="00A02F83" w:rsidRPr="00FA25D8" w:rsidRDefault="00A02F83" w:rsidP="00A02F83">
      <w:pPr>
        <w:spacing w:after="0" w:line="240" w:lineRule="auto"/>
        <w:jc w:val="center"/>
        <w:rPr>
          <w:rFonts w:ascii="Times New Roman" w:hAnsi="Times New Roman" w:cs="Times New Roman"/>
          <w:szCs w:val="18"/>
          <w:lang w:val="es-MX"/>
        </w:rPr>
      </w:pPr>
    </w:p>
    <w:p w14:paraId="5E3BC915" w14:textId="77777777" w:rsidR="00A02F83" w:rsidRPr="00FA25D8" w:rsidRDefault="00A02F83" w:rsidP="00A02F83">
      <w:pPr>
        <w:spacing w:after="0" w:line="240" w:lineRule="auto"/>
        <w:jc w:val="center"/>
        <w:rPr>
          <w:rFonts w:ascii="Times New Roman" w:hAnsi="Times New Roman" w:cs="Times New Roman"/>
          <w:szCs w:val="18"/>
          <w:lang w:val="es-MX"/>
        </w:rPr>
      </w:pPr>
    </w:p>
    <w:p w14:paraId="369E097D" w14:textId="1330B459" w:rsidR="00A02F83" w:rsidRPr="00FA25D8" w:rsidRDefault="00A02F83" w:rsidP="00A02F83">
      <w:pPr>
        <w:spacing w:after="0" w:line="240" w:lineRule="auto"/>
        <w:jc w:val="center"/>
        <w:rPr>
          <w:rFonts w:ascii="Times New Roman" w:hAnsi="Times New Roman" w:cs="Times New Roman"/>
          <w:szCs w:val="18"/>
          <w:lang w:val="es-MX"/>
        </w:rPr>
      </w:pPr>
    </w:p>
    <w:p w14:paraId="67DED899" w14:textId="77777777" w:rsidR="00A02F83" w:rsidRPr="00FA25D8" w:rsidRDefault="00A02F83" w:rsidP="00A02F83">
      <w:pPr>
        <w:spacing w:after="0" w:line="240" w:lineRule="auto"/>
        <w:jc w:val="center"/>
        <w:rPr>
          <w:rFonts w:ascii="Times New Roman" w:hAnsi="Times New Roman" w:cs="Times New Roman"/>
          <w:szCs w:val="18"/>
          <w:lang w:val="es-MX"/>
        </w:rPr>
      </w:pPr>
    </w:p>
    <w:p w14:paraId="6B285DC4" w14:textId="77777777" w:rsidR="00A02F83" w:rsidRPr="00FA25D8" w:rsidRDefault="00A02F83" w:rsidP="00A02F83">
      <w:pPr>
        <w:spacing w:after="0" w:line="240" w:lineRule="auto"/>
        <w:jc w:val="center"/>
        <w:rPr>
          <w:rFonts w:ascii="Times New Roman" w:hAnsi="Times New Roman" w:cs="Times New Roman"/>
          <w:szCs w:val="18"/>
          <w:lang w:val="es-MX"/>
        </w:rPr>
      </w:pPr>
    </w:p>
    <w:p w14:paraId="06A20F88" w14:textId="77777777" w:rsidR="00A02F83" w:rsidRPr="00FA25D8" w:rsidRDefault="00A02F83" w:rsidP="00A02F83">
      <w:pPr>
        <w:spacing w:after="0" w:line="240" w:lineRule="auto"/>
        <w:jc w:val="center"/>
        <w:rPr>
          <w:rFonts w:ascii="Times New Roman" w:hAnsi="Times New Roman" w:cs="Times New Roman"/>
          <w:szCs w:val="18"/>
          <w:lang w:val="es-MX"/>
        </w:rPr>
      </w:pPr>
    </w:p>
    <w:p w14:paraId="123A9A78" w14:textId="685961EC" w:rsidR="00A02F83" w:rsidRPr="00FA25D8" w:rsidRDefault="00A02F83" w:rsidP="00A02F83">
      <w:pPr>
        <w:spacing w:after="0" w:line="240" w:lineRule="auto"/>
        <w:jc w:val="both"/>
        <w:rPr>
          <w:rFonts w:ascii="Times New Roman" w:hAnsi="Times New Roman" w:cs="Times New Roman"/>
          <w:sz w:val="16"/>
          <w:szCs w:val="16"/>
        </w:rPr>
      </w:pPr>
    </w:p>
    <w:p w14:paraId="480E8AD4" w14:textId="1A2C3CB8" w:rsidR="0019075F" w:rsidRPr="00FA25D8" w:rsidRDefault="0019075F" w:rsidP="00A02F83">
      <w:pPr>
        <w:spacing w:after="0" w:line="240" w:lineRule="auto"/>
        <w:jc w:val="both"/>
        <w:rPr>
          <w:rFonts w:ascii="Times New Roman" w:hAnsi="Times New Roman" w:cs="Times New Roman"/>
          <w:sz w:val="16"/>
          <w:szCs w:val="16"/>
        </w:rPr>
      </w:pPr>
    </w:p>
    <w:p w14:paraId="2E2221D5" w14:textId="446848F7" w:rsidR="0019075F" w:rsidRPr="00FA25D8" w:rsidRDefault="0019075F" w:rsidP="00A02F83">
      <w:pPr>
        <w:spacing w:after="0" w:line="240" w:lineRule="auto"/>
        <w:jc w:val="both"/>
        <w:rPr>
          <w:rFonts w:ascii="Times New Roman" w:hAnsi="Times New Roman" w:cs="Times New Roman"/>
          <w:sz w:val="16"/>
          <w:szCs w:val="16"/>
        </w:rPr>
      </w:pPr>
    </w:p>
    <w:p w14:paraId="6D449AB3" w14:textId="28663902" w:rsidR="00A02F83" w:rsidRPr="00FA25D8" w:rsidRDefault="00A02F83" w:rsidP="00A02F83">
      <w:pPr>
        <w:spacing w:after="0" w:line="240" w:lineRule="auto"/>
        <w:jc w:val="both"/>
        <w:rPr>
          <w:rFonts w:ascii="Times New Roman" w:hAnsi="Times New Roman" w:cs="Times New Roman"/>
          <w:sz w:val="16"/>
          <w:szCs w:val="16"/>
        </w:rPr>
      </w:pPr>
      <w:r w:rsidRPr="00FA25D8">
        <w:rPr>
          <w:rFonts w:ascii="Times New Roman" w:hAnsi="Times New Roman" w:cs="Times New Roman"/>
          <w:sz w:val="16"/>
          <w:szCs w:val="16"/>
        </w:rPr>
        <w:t>Fuente: Dirección de Análisis y Política Fiscal.</w:t>
      </w:r>
    </w:p>
    <w:p w14:paraId="7BEFAC33" w14:textId="6FE9278D" w:rsidR="00A02F83" w:rsidRPr="00BD5286" w:rsidRDefault="00A02F83" w:rsidP="00A02F83">
      <w:pPr>
        <w:pStyle w:val="Sinespaciado"/>
        <w:jc w:val="both"/>
        <w:rPr>
          <w:rFonts w:ascii="Times New Roman" w:hAnsi="Times New Roman" w:cs="Times New Roman"/>
          <w:color w:val="FF0000"/>
          <w:lang w:val="es-MX"/>
        </w:rPr>
      </w:pPr>
    </w:p>
    <w:p w14:paraId="6008CDB7" w14:textId="50A1669C" w:rsidR="00A02F83" w:rsidRPr="00BD5286" w:rsidRDefault="00FA25D8" w:rsidP="00A02F83">
      <w:pPr>
        <w:pStyle w:val="Sinespaciado"/>
        <w:jc w:val="both"/>
        <w:rPr>
          <w:rFonts w:ascii="Times New Roman" w:hAnsi="Times New Roman" w:cs="Times New Roman"/>
          <w:color w:val="FF0000"/>
          <w:sz w:val="16"/>
          <w:lang w:val="es-MX"/>
        </w:rPr>
      </w:pPr>
      <w:r w:rsidRPr="0025066B">
        <w:rPr>
          <w:rFonts w:ascii="Times New Roman" w:hAnsi="Times New Roman" w:cs="Times New Roman"/>
          <w:lang w:val="es-MX"/>
        </w:rPr>
        <w:t>En cuanto a la cuota aprobada para septiembre por parte del Comité de Programación de la Ejecución Presupuestaria (COPEP), esta ascendió a Q9,336.1 millones, de los cuales se ejecutaron Q8,883.9 millones, siendo el nivel de ejecución de 95.2%, quedando sin ejecutar Q452.2 millones. El Ministerio de Agricultura, Ganadería y Alimentación, es la entidad que reporta la menor ejecución respecto a su cuota aprobada (34.6%).</w:t>
      </w:r>
    </w:p>
    <w:p w14:paraId="469D3473" w14:textId="3AB325AD" w:rsidR="0019075F" w:rsidRPr="00BD5286" w:rsidRDefault="0019075F" w:rsidP="00A02F83">
      <w:pPr>
        <w:pStyle w:val="Sinespaciado"/>
        <w:jc w:val="both"/>
        <w:rPr>
          <w:rFonts w:ascii="Times New Roman" w:hAnsi="Times New Roman" w:cs="Times New Roman"/>
          <w:color w:val="FF0000"/>
          <w:lang w:val="es-MX"/>
        </w:rPr>
      </w:pPr>
    </w:p>
    <w:p w14:paraId="40600FD6" w14:textId="7C354BA8" w:rsidR="0019075F" w:rsidRPr="00BD5286" w:rsidRDefault="0019075F" w:rsidP="00A02F83">
      <w:pPr>
        <w:pStyle w:val="Sinespaciado"/>
        <w:jc w:val="both"/>
        <w:rPr>
          <w:rFonts w:ascii="Times New Roman" w:hAnsi="Times New Roman" w:cs="Times New Roman"/>
          <w:color w:val="FF0000"/>
          <w:sz w:val="4"/>
          <w:lang w:val="es-MX"/>
        </w:rPr>
      </w:pPr>
    </w:p>
    <w:p w14:paraId="4CC8BD72" w14:textId="54A4E995" w:rsidR="00A02F83" w:rsidRPr="00FA25D8" w:rsidRDefault="00A02F83" w:rsidP="00A02F83">
      <w:pPr>
        <w:pStyle w:val="Sinespaciado"/>
        <w:jc w:val="center"/>
        <w:rPr>
          <w:rFonts w:ascii="Times New Roman" w:hAnsi="Times New Roman" w:cs="Times New Roman"/>
          <w:b/>
          <w:sz w:val="24"/>
          <w:lang w:val="es-MX"/>
        </w:rPr>
      </w:pPr>
      <w:r w:rsidRPr="00FA25D8">
        <w:rPr>
          <w:rFonts w:ascii="Times New Roman" w:hAnsi="Times New Roman" w:cs="Times New Roman"/>
          <w:b/>
          <w:sz w:val="24"/>
          <w:lang w:val="es-MX"/>
        </w:rPr>
        <w:t xml:space="preserve">Cuota Financiera y Ejecución </w:t>
      </w:r>
    </w:p>
    <w:p w14:paraId="330ADF02" w14:textId="77777777" w:rsidR="00FA3475" w:rsidRPr="00FA25D8" w:rsidRDefault="00FA3475" w:rsidP="00FA3475">
      <w:pPr>
        <w:pStyle w:val="Sinespaciado"/>
        <w:jc w:val="center"/>
        <w:rPr>
          <w:rFonts w:ascii="Times New Roman" w:hAnsi="Times New Roman" w:cs="Times New Roman"/>
          <w:szCs w:val="18"/>
          <w:lang w:val="es-MX"/>
        </w:rPr>
      </w:pPr>
      <w:r w:rsidRPr="00FA25D8">
        <w:rPr>
          <w:rFonts w:ascii="Times New Roman" w:hAnsi="Times New Roman" w:cs="Times New Roman"/>
          <w:szCs w:val="18"/>
          <w:lang w:val="es-MX"/>
        </w:rPr>
        <w:t xml:space="preserve">A septiembre de cada año </w:t>
      </w:r>
    </w:p>
    <w:p w14:paraId="532465DC" w14:textId="3420882C" w:rsidR="00A02F83" w:rsidRPr="00FA25D8" w:rsidRDefault="00A02F83" w:rsidP="0019075F">
      <w:pPr>
        <w:pStyle w:val="Sinespaciado"/>
        <w:jc w:val="center"/>
        <w:rPr>
          <w:rFonts w:ascii="Times New Roman" w:hAnsi="Times New Roman" w:cs="Times New Roman"/>
          <w:sz w:val="18"/>
          <w:szCs w:val="18"/>
          <w:lang w:val="es-MX"/>
        </w:rPr>
      </w:pPr>
      <w:r w:rsidRPr="00FA25D8">
        <w:rPr>
          <w:rFonts w:ascii="Times New Roman" w:hAnsi="Times New Roman" w:cs="Times New Roman"/>
          <w:sz w:val="18"/>
          <w:szCs w:val="18"/>
          <w:lang w:val="es-MX"/>
        </w:rPr>
        <w:t>Cifras en millones de quetzales</w:t>
      </w:r>
      <w:r w:rsidRPr="00FA25D8">
        <w:t xml:space="preserve"> </w:t>
      </w:r>
      <w:r w:rsidRPr="00FA25D8">
        <w:rPr>
          <w:rFonts w:ascii="Times New Roman" w:hAnsi="Times New Roman" w:cs="Times New Roman"/>
          <w:sz w:val="18"/>
          <w:szCs w:val="18"/>
          <w:lang w:val="es-MX"/>
        </w:rPr>
        <w:t>y porcentajes</w:t>
      </w:r>
    </w:p>
    <w:p w14:paraId="5F14E18A" w14:textId="6FDEDFD9" w:rsidR="00FA3475" w:rsidRPr="00FA25D8" w:rsidRDefault="00FA3475" w:rsidP="0019075F">
      <w:pPr>
        <w:pStyle w:val="Sinespaciado"/>
        <w:jc w:val="center"/>
        <w:rPr>
          <w:rFonts w:ascii="Times New Roman" w:hAnsi="Times New Roman" w:cs="Times New Roman"/>
          <w:sz w:val="18"/>
          <w:szCs w:val="18"/>
          <w:lang w:val="es-MX"/>
        </w:rPr>
      </w:pPr>
      <w:r w:rsidRPr="00FA25D8">
        <w:rPr>
          <w:noProof/>
          <w:lang w:eastAsia="es-GT"/>
        </w:rPr>
        <w:drawing>
          <wp:anchor distT="0" distB="0" distL="114300" distR="114300" simplePos="0" relativeHeight="251892736" behindDoc="0" locked="0" layoutInCell="1" allowOverlap="1" wp14:anchorId="2B43BD28" wp14:editId="5E4B2000">
            <wp:simplePos x="0" y="0"/>
            <wp:positionH relativeFrom="column">
              <wp:posOffset>1242</wp:posOffset>
            </wp:positionH>
            <wp:positionV relativeFrom="paragraph">
              <wp:posOffset>48177</wp:posOffset>
            </wp:positionV>
            <wp:extent cx="2581275" cy="1622066"/>
            <wp:effectExtent l="0" t="0" r="0" b="0"/>
            <wp:wrapNone/>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363FCC29" w14:textId="5B32964D" w:rsidR="00FA3475" w:rsidRPr="00FA25D8" w:rsidRDefault="00FA3475" w:rsidP="0019075F">
      <w:pPr>
        <w:pStyle w:val="Sinespaciado"/>
        <w:jc w:val="center"/>
        <w:rPr>
          <w:rFonts w:ascii="Times New Roman" w:hAnsi="Times New Roman" w:cs="Times New Roman"/>
          <w:sz w:val="18"/>
          <w:szCs w:val="18"/>
          <w:lang w:val="es-MX"/>
        </w:rPr>
      </w:pPr>
    </w:p>
    <w:p w14:paraId="0624A55C" w14:textId="13CB0DD8" w:rsidR="0019075F" w:rsidRPr="00FA25D8" w:rsidRDefault="0019075F" w:rsidP="0019075F">
      <w:pPr>
        <w:pStyle w:val="Sinespaciado"/>
        <w:jc w:val="center"/>
        <w:rPr>
          <w:rFonts w:ascii="Times New Roman" w:hAnsi="Times New Roman" w:cs="Times New Roman"/>
          <w:sz w:val="18"/>
          <w:szCs w:val="18"/>
          <w:lang w:val="es-MX"/>
        </w:rPr>
      </w:pPr>
    </w:p>
    <w:p w14:paraId="67F3D16B" w14:textId="1674CADF" w:rsidR="0019075F" w:rsidRPr="00FA25D8" w:rsidRDefault="0019075F" w:rsidP="0019075F">
      <w:pPr>
        <w:pStyle w:val="Sinespaciado"/>
        <w:jc w:val="center"/>
        <w:rPr>
          <w:rFonts w:ascii="Times New Roman" w:hAnsi="Times New Roman" w:cs="Times New Roman"/>
          <w:sz w:val="18"/>
          <w:szCs w:val="18"/>
          <w:lang w:val="es-MX"/>
        </w:rPr>
      </w:pPr>
    </w:p>
    <w:p w14:paraId="199799AB" w14:textId="73E1B5C1" w:rsidR="0019075F" w:rsidRPr="00FA25D8" w:rsidRDefault="0019075F" w:rsidP="0019075F">
      <w:pPr>
        <w:pStyle w:val="Sinespaciado"/>
        <w:jc w:val="center"/>
        <w:rPr>
          <w:rFonts w:ascii="Times New Roman" w:hAnsi="Times New Roman" w:cs="Times New Roman"/>
          <w:sz w:val="18"/>
          <w:szCs w:val="18"/>
          <w:lang w:val="es-MX"/>
        </w:rPr>
      </w:pPr>
    </w:p>
    <w:p w14:paraId="3506A945" w14:textId="77777777" w:rsidR="0019075F" w:rsidRPr="00FA25D8" w:rsidRDefault="0019075F" w:rsidP="0019075F">
      <w:pPr>
        <w:pStyle w:val="Sinespaciado"/>
        <w:jc w:val="center"/>
        <w:rPr>
          <w:rFonts w:ascii="Times New Roman" w:hAnsi="Times New Roman" w:cs="Times New Roman"/>
          <w:sz w:val="18"/>
          <w:szCs w:val="18"/>
          <w:lang w:val="es-MX"/>
        </w:rPr>
      </w:pPr>
    </w:p>
    <w:p w14:paraId="7DB0E544" w14:textId="3DF280F0" w:rsidR="0019075F" w:rsidRPr="00FA25D8" w:rsidRDefault="0019075F" w:rsidP="0019075F">
      <w:pPr>
        <w:pStyle w:val="Sinespaciado"/>
        <w:jc w:val="center"/>
        <w:rPr>
          <w:rFonts w:ascii="Times New Roman" w:hAnsi="Times New Roman" w:cs="Times New Roman"/>
          <w:sz w:val="18"/>
          <w:szCs w:val="18"/>
          <w:lang w:val="es-MX"/>
        </w:rPr>
      </w:pPr>
    </w:p>
    <w:p w14:paraId="1B493EBF" w14:textId="2F36BE6A" w:rsidR="0019075F" w:rsidRPr="00FA25D8" w:rsidRDefault="0019075F" w:rsidP="0019075F">
      <w:pPr>
        <w:pStyle w:val="Sinespaciado"/>
        <w:jc w:val="center"/>
        <w:rPr>
          <w:rFonts w:ascii="Times New Roman" w:hAnsi="Times New Roman" w:cs="Times New Roman"/>
          <w:sz w:val="18"/>
          <w:szCs w:val="18"/>
          <w:lang w:val="es-MX"/>
        </w:rPr>
      </w:pPr>
    </w:p>
    <w:p w14:paraId="6233A533" w14:textId="7CEB25F4" w:rsidR="0019075F" w:rsidRPr="00FA25D8" w:rsidRDefault="0019075F" w:rsidP="0019075F">
      <w:pPr>
        <w:pStyle w:val="Sinespaciado"/>
        <w:jc w:val="center"/>
        <w:rPr>
          <w:rFonts w:ascii="Times New Roman" w:hAnsi="Times New Roman" w:cs="Times New Roman"/>
          <w:sz w:val="18"/>
          <w:szCs w:val="18"/>
          <w:lang w:val="es-MX"/>
        </w:rPr>
      </w:pPr>
    </w:p>
    <w:p w14:paraId="641BF062" w14:textId="4D8992C8" w:rsidR="0019075F" w:rsidRPr="00FA25D8" w:rsidRDefault="0019075F" w:rsidP="0019075F">
      <w:pPr>
        <w:pStyle w:val="Sinespaciado"/>
        <w:jc w:val="center"/>
        <w:rPr>
          <w:rFonts w:ascii="Times New Roman" w:hAnsi="Times New Roman" w:cs="Times New Roman"/>
          <w:sz w:val="18"/>
          <w:szCs w:val="18"/>
          <w:lang w:val="es-MX"/>
        </w:rPr>
      </w:pPr>
    </w:p>
    <w:p w14:paraId="31D0F11A" w14:textId="70105B83" w:rsidR="0019075F" w:rsidRPr="00FA25D8" w:rsidRDefault="0019075F" w:rsidP="0019075F">
      <w:pPr>
        <w:pStyle w:val="Sinespaciado"/>
        <w:jc w:val="center"/>
        <w:rPr>
          <w:rFonts w:ascii="Times New Roman" w:hAnsi="Times New Roman" w:cs="Times New Roman"/>
          <w:sz w:val="18"/>
          <w:szCs w:val="18"/>
          <w:lang w:val="es-MX"/>
        </w:rPr>
      </w:pPr>
    </w:p>
    <w:p w14:paraId="3E93AB2C" w14:textId="76ED91B5" w:rsidR="0019075F" w:rsidRPr="00FA25D8" w:rsidRDefault="0019075F" w:rsidP="0019075F">
      <w:pPr>
        <w:pStyle w:val="Sinespaciado"/>
        <w:jc w:val="center"/>
        <w:rPr>
          <w:rFonts w:ascii="Times New Roman" w:hAnsi="Times New Roman" w:cs="Times New Roman"/>
          <w:sz w:val="18"/>
          <w:szCs w:val="18"/>
          <w:lang w:val="es-MX"/>
        </w:rPr>
      </w:pPr>
    </w:p>
    <w:p w14:paraId="0A008EDD" w14:textId="4840406D" w:rsidR="0019075F" w:rsidRPr="00FA25D8" w:rsidRDefault="0019075F" w:rsidP="0019075F">
      <w:pPr>
        <w:pStyle w:val="Sinespaciado"/>
        <w:rPr>
          <w:rFonts w:ascii="Times New Roman" w:hAnsi="Times New Roman" w:cs="Times New Roman"/>
          <w:sz w:val="18"/>
          <w:szCs w:val="18"/>
          <w:lang w:val="es-MX"/>
        </w:rPr>
      </w:pPr>
    </w:p>
    <w:p w14:paraId="3664969E" w14:textId="302F3BEB" w:rsidR="00A02F83" w:rsidRPr="00FA25D8" w:rsidRDefault="00A02F83" w:rsidP="00A02F83">
      <w:pPr>
        <w:pStyle w:val="Sinespaciado"/>
        <w:jc w:val="both"/>
        <w:rPr>
          <w:rFonts w:ascii="Times New Roman" w:hAnsi="Times New Roman" w:cs="Times New Roman"/>
          <w:sz w:val="16"/>
          <w:szCs w:val="16"/>
        </w:rPr>
      </w:pPr>
      <w:r w:rsidRPr="00FA25D8">
        <w:rPr>
          <w:rFonts w:ascii="Times New Roman" w:hAnsi="Times New Roman" w:cs="Times New Roman"/>
          <w:sz w:val="16"/>
          <w:szCs w:val="16"/>
        </w:rPr>
        <w:t>Fuente: Dirección de Análisis y Política Fiscal.</w:t>
      </w:r>
    </w:p>
    <w:p w14:paraId="4BF3023D" w14:textId="77777777" w:rsidR="00A02F83" w:rsidRPr="00BD5286" w:rsidRDefault="00A02F83" w:rsidP="00A02F83">
      <w:pPr>
        <w:pStyle w:val="Sinespaciado"/>
        <w:jc w:val="both"/>
        <w:rPr>
          <w:rFonts w:ascii="Times New Roman" w:hAnsi="Times New Roman" w:cs="Times New Roman"/>
          <w:color w:val="FF0000"/>
          <w:sz w:val="20"/>
        </w:rPr>
      </w:pPr>
    </w:p>
    <w:p w14:paraId="7981E870" w14:textId="2A922865" w:rsidR="00FA25D8" w:rsidRPr="0025066B" w:rsidRDefault="00FA25D8" w:rsidP="00FA25D8">
      <w:pPr>
        <w:pStyle w:val="Sinespaciado"/>
        <w:jc w:val="both"/>
        <w:rPr>
          <w:rFonts w:ascii="Times New Roman" w:hAnsi="Times New Roman" w:cs="Times New Roman"/>
          <w:lang w:val="es-MX"/>
        </w:rPr>
      </w:pPr>
      <w:r w:rsidRPr="0025066B">
        <w:rPr>
          <w:rFonts w:ascii="Times New Roman" w:hAnsi="Times New Roman" w:cs="Times New Roman"/>
          <w:lang w:val="es-MX"/>
        </w:rPr>
        <w:lastRenderedPageBreak/>
        <w:t>Un componente importante del gasto es la ejecución del gasto social, este reporta un desempeño dinámico respecto a septiembre del año previo, con un crecimiento interanual de 15.0%, equivalente a Q4,836.6 millones. A excepción del sector vivienda, el resto de los sectores del gasto social se encuentran creciendo en términos interanuales.</w:t>
      </w:r>
    </w:p>
    <w:p w14:paraId="07BF04D5" w14:textId="77777777" w:rsidR="00FA25D8" w:rsidRPr="0025066B" w:rsidRDefault="00FA25D8" w:rsidP="00FA25D8">
      <w:pPr>
        <w:pStyle w:val="Sinespaciado"/>
        <w:jc w:val="both"/>
        <w:rPr>
          <w:rFonts w:ascii="Times New Roman" w:hAnsi="Times New Roman" w:cs="Times New Roman"/>
          <w:sz w:val="14"/>
          <w:lang w:val="es-MX"/>
        </w:rPr>
      </w:pPr>
    </w:p>
    <w:p w14:paraId="33B9F4E1" w14:textId="46290179" w:rsidR="0019075F" w:rsidRPr="00BD5286" w:rsidRDefault="00FA25D8" w:rsidP="00FA25D8">
      <w:pPr>
        <w:pStyle w:val="Sinespaciado"/>
        <w:jc w:val="both"/>
        <w:rPr>
          <w:rFonts w:ascii="Times New Roman" w:hAnsi="Times New Roman" w:cs="Times New Roman"/>
          <w:color w:val="FF0000"/>
          <w:lang w:val="es-MX"/>
        </w:rPr>
      </w:pPr>
      <w:r w:rsidRPr="0025066B">
        <w:rPr>
          <w:rFonts w:ascii="Times New Roman" w:hAnsi="Times New Roman" w:cs="Times New Roman"/>
          <w:lang w:val="es-MX"/>
        </w:rPr>
        <w:t xml:space="preserve">El aporte que se le entrega al Ministerio Público mostró un mayor crecimiento, siendo de 52.0%, equivalente a Q646.8 millones, derivado que el presupuesto de dicha entidad aumentó de forma importante para el ejercicio </w:t>
      </w:r>
      <w:r w:rsidRPr="0025066B">
        <w:rPr>
          <w:rFonts w:ascii="Times New Roman" w:hAnsi="Times New Roman" w:cs="Times New Roman"/>
          <w:lang w:val="es-MX"/>
        </w:rPr>
        <w:t>2022. Mientras que el sector vivienda reporta una reducción interanual de Q73.7 millones.</w:t>
      </w:r>
      <w:r w:rsidR="0019075F" w:rsidRPr="00BD5286">
        <w:rPr>
          <w:rFonts w:ascii="Times New Roman" w:hAnsi="Times New Roman" w:cs="Times New Roman"/>
          <w:color w:val="FF0000"/>
          <w:lang w:val="es-MX"/>
        </w:rPr>
        <w:t xml:space="preserve"> </w:t>
      </w:r>
    </w:p>
    <w:p w14:paraId="7FF42803" w14:textId="77777777" w:rsidR="0019075F" w:rsidRPr="00BD5286" w:rsidRDefault="0019075F" w:rsidP="0019075F">
      <w:pPr>
        <w:pStyle w:val="Sinespaciado"/>
        <w:jc w:val="both"/>
        <w:rPr>
          <w:rFonts w:ascii="Times New Roman" w:hAnsi="Times New Roman" w:cs="Times New Roman"/>
          <w:color w:val="FF0000"/>
          <w:sz w:val="14"/>
          <w:lang w:val="es-MX"/>
        </w:rPr>
      </w:pPr>
    </w:p>
    <w:p w14:paraId="54AFF7D8" w14:textId="77777777" w:rsidR="0019075F" w:rsidRPr="00FA25D8" w:rsidRDefault="0019075F" w:rsidP="0019075F">
      <w:pPr>
        <w:pStyle w:val="Sinespaciado"/>
        <w:jc w:val="center"/>
        <w:rPr>
          <w:rFonts w:ascii="Times New Roman" w:hAnsi="Times New Roman" w:cs="Times New Roman"/>
          <w:b/>
          <w:sz w:val="23"/>
          <w:szCs w:val="23"/>
          <w:lang w:val="es-MX"/>
        </w:rPr>
      </w:pPr>
      <w:r w:rsidRPr="00FA25D8">
        <w:rPr>
          <w:rFonts w:ascii="Times New Roman" w:hAnsi="Times New Roman" w:cs="Times New Roman"/>
          <w:b/>
          <w:sz w:val="23"/>
          <w:szCs w:val="23"/>
          <w:lang w:val="es-MX"/>
        </w:rPr>
        <w:t>Ejecución y crecimiento del Gasto Social</w:t>
      </w:r>
    </w:p>
    <w:p w14:paraId="6C7C0FA0" w14:textId="26F8A393" w:rsidR="00FA3475" w:rsidRPr="00FA25D8" w:rsidRDefault="00FA3475" w:rsidP="00FA3475">
      <w:pPr>
        <w:pStyle w:val="Sinespaciado"/>
        <w:jc w:val="center"/>
        <w:rPr>
          <w:rFonts w:ascii="Times New Roman" w:hAnsi="Times New Roman" w:cs="Times New Roman"/>
          <w:sz w:val="20"/>
          <w:szCs w:val="18"/>
          <w:lang w:val="es-MX"/>
        </w:rPr>
      </w:pPr>
      <w:r w:rsidRPr="00FA25D8">
        <w:rPr>
          <w:rFonts w:ascii="Times New Roman" w:hAnsi="Times New Roman" w:cs="Times New Roman"/>
          <w:sz w:val="20"/>
          <w:szCs w:val="18"/>
          <w:lang w:val="es-MX"/>
        </w:rPr>
        <w:t>Al 30 de septiembre 2022</w:t>
      </w:r>
    </w:p>
    <w:p w14:paraId="63D812A9" w14:textId="2BA7FE8B" w:rsidR="0019075F" w:rsidRPr="00FA25D8" w:rsidRDefault="00FA25D8" w:rsidP="0019075F">
      <w:pPr>
        <w:pStyle w:val="Sinespaciado"/>
        <w:jc w:val="center"/>
        <w:rPr>
          <w:rFonts w:ascii="Times New Roman" w:hAnsi="Times New Roman" w:cs="Times New Roman"/>
          <w:sz w:val="20"/>
          <w:szCs w:val="18"/>
          <w:lang w:val="es-MX"/>
        </w:rPr>
      </w:pPr>
      <w:r w:rsidRPr="00FA25D8">
        <w:rPr>
          <w:noProof/>
          <w:lang w:eastAsia="es-GT"/>
        </w:rPr>
        <w:drawing>
          <wp:anchor distT="0" distB="0" distL="114300" distR="114300" simplePos="0" relativeHeight="251917312" behindDoc="0" locked="0" layoutInCell="1" allowOverlap="1" wp14:anchorId="23B0DE4F" wp14:editId="429F7B0E">
            <wp:simplePos x="0" y="0"/>
            <wp:positionH relativeFrom="column">
              <wp:posOffset>7620</wp:posOffset>
            </wp:positionH>
            <wp:positionV relativeFrom="paragraph">
              <wp:posOffset>163830</wp:posOffset>
            </wp:positionV>
            <wp:extent cx="2639060" cy="1261110"/>
            <wp:effectExtent l="0" t="0" r="8890" b="0"/>
            <wp:wrapSquare wrapText="bothSides"/>
            <wp:docPr id="241" name="Imagen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39060" cy="126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75F" w:rsidRPr="00FA25D8">
        <w:rPr>
          <w:sz w:val="24"/>
        </w:rPr>
        <w:t xml:space="preserve"> </w:t>
      </w:r>
      <w:r w:rsidR="0019075F" w:rsidRPr="00FA25D8">
        <w:rPr>
          <w:rFonts w:ascii="Times New Roman" w:hAnsi="Times New Roman" w:cs="Times New Roman"/>
          <w:sz w:val="20"/>
          <w:szCs w:val="18"/>
          <w:lang w:val="es-MX"/>
        </w:rPr>
        <w:t>Cifras en porcentajes y en millones de quetzales</w:t>
      </w:r>
    </w:p>
    <w:p w14:paraId="0F56578C" w14:textId="73FB9A49" w:rsidR="00503B5E" w:rsidRPr="000468DA" w:rsidRDefault="0019075F" w:rsidP="0019075F">
      <w:pPr>
        <w:pStyle w:val="Sinespaciado"/>
        <w:rPr>
          <w:rFonts w:ascii="Times New Roman" w:hAnsi="Times New Roman" w:cs="Times New Roman"/>
          <w:sz w:val="16"/>
          <w:szCs w:val="16"/>
        </w:rPr>
      </w:pPr>
      <w:r w:rsidRPr="00FA25D8">
        <w:rPr>
          <w:rFonts w:ascii="Times New Roman" w:hAnsi="Times New Roman" w:cs="Times New Roman"/>
          <w:sz w:val="16"/>
          <w:szCs w:val="16"/>
        </w:rPr>
        <w:t>Fuente: Dirección de Análisis y Política Fiscal</w:t>
      </w:r>
    </w:p>
    <w:p w14:paraId="49AAC1F7" w14:textId="738EC075" w:rsidR="001E0B46" w:rsidRPr="00BD5286" w:rsidRDefault="001E0B46" w:rsidP="0019075F">
      <w:pPr>
        <w:pStyle w:val="Sinespaciado"/>
        <w:rPr>
          <w:rFonts w:ascii="Times New Roman" w:hAnsi="Times New Roman" w:cs="Times New Roman"/>
          <w:color w:val="FF0000"/>
          <w:sz w:val="12"/>
          <w:szCs w:val="16"/>
        </w:rPr>
      </w:pPr>
    </w:p>
    <w:p w14:paraId="467A2EB5" w14:textId="77777777" w:rsidR="001E0B46" w:rsidRPr="00BD5286" w:rsidRDefault="001E0B46" w:rsidP="0019075F">
      <w:pPr>
        <w:pStyle w:val="Sinespaciado"/>
        <w:rPr>
          <w:rFonts w:ascii="Times New Roman" w:hAnsi="Times New Roman" w:cs="Times New Roman"/>
          <w:color w:val="FF0000"/>
          <w:sz w:val="12"/>
          <w:szCs w:val="16"/>
        </w:rPr>
        <w:sectPr w:rsidR="001E0B46" w:rsidRPr="00BD5286" w:rsidSect="00F23E3F">
          <w:type w:val="continuous"/>
          <w:pgSz w:w="12240" w:h="15840"/>
          <w:pgMar w:top="1417" w:right="1701" w:bottom="1417" w:left="1701" w:header="708" w:footer="708" w:gutter="0"/>
          <w:cols w:num="2" w:space="708"/>
          <w:docGrid w:linePitch="360"/>
        </w:sectPr>
      </w:pPr>
    </w:p>
    <w:p w14:paraId="19AA4E07" w14:textId="703C66E2" w:rsidR="00F23E3F" w:rsidRPr="00475265" w:rsidRDefault="00E21B05"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lang w:val="es-MX"/>
        </w:rPr>
      </w:pPr>
      <w:r w:rsidRPr="00475265">
        <w:rPr>
          <w:rFonts w:ascii="Times New Roman" w:hAnsi="Times New Roman" w:cs="Times New Roman"/>
          <w:b/>
          <w:color w:val="FFFFFF" w:themeColor="background1"/>
          <w:sz w:val="24"/>
          <w:szCs w:val="24"/>
          <w:lang w:val="es-MX"/>
        </w:rPr>
        <w:t>C</w:t>
      </w:r>
      <w:r w:rsidR="006765A4" w:rsidRPr="00475265">
        <w:rPr>
          <w:rFonts w:ascii="Times New Roman" w:hAnsi="Times New Roman" w:cs="Times New Roman"/>
          <w:b/>
          <w:color w:val="FFFFFF" w:themeColor="background1"/>
          <w:sz w:val="24"/>
          <w:szCs w:val="24"/>
          <w:lang w:val="es-MX"/>
        </w:rPr>
        <w:t>olocación de b</w:t>
      </w:r>
      <w:r w:rsidR="0089134E" w:rsidRPr="00475265">
        <w:rPr>
          <w:rFonts w:ascii="Times New Roman" w:hAnsi="Times New Roman" w:cs="Times New Roman"/>
          <w:b/>
          <w:color w:val="FFFFFF" w:themeColor="background1"/>
          <w:sz w:val="24"/>
          <w:szCs w:val="24"/>
          <w:lang w:val="es-MX"/>
        </w:rPr>
        <w:t>ono</w:t>
      </w:r>
      <w:r w:rsidR="006765A4" w:rsidRPr="00475265">
        <w:rPr>
          <w:rFonts w:ascii="Times New Roman" w:hAnsi="Times New Roman" w:cs="Times New Roman"/>
          <w:b/>
          <w:color w:val="FFFFFF" w:themeColor="background1"/>
          <w:sz w:val="24"/>
          <w:szCs w:val="24"/>
          <w:lang w:val="es-MX"/>
        </w:rPr>
        <w:t>s i</w:t>
      </w:r>
      <w:r w:rsidR="00907BD2" w:rsidRPr="00475265">
        <w:rPr>
          <w:rFonts w:ascii="Times New Roman" w:hAnsi="Times New Roman" w:cs="Times New Roman"/>
          <w:b/>
          <w:color w:val="FFFFFF" w:themeColor="background1"/>
          <w:sz w:val="24"/>
          <w:szCs w:val="24"/>
          <w:lang w:val="es-MX"/>
        </w:rPr>
        <w:t>nternos se ralentiza</w:t>
      </w:r>
      <w:r w:rsidR="006765A4" w:rsidRPr="00475265">
        <w:rPr>
          <w:rFonts w:ascii="Times New Roman" w:hAnsi="Times New Roman" w:cs="Times New Roman"/>
          <w:b/>
          <w:color w:val="FFFFFF" w:themeColor="background1"/>
          <w:sz w:val="24"/>
          <w:szCs w:val="24"/>
          <w:lang w:val="es-MX"/>
        </w:rPr>
        <w:t xml:space="preserve"> en septiembre</w:t>
      </w:r>
    </w:p>
    <w:p w14:paraId="35802F58" w14:textId="77777777" w:rsidR="00C76B98" w:rsidRPr="00475265" w:rsidRDefault="00C76B98" w:rsidP="00E02DD8">
      <w:pPr>
        <w:pStyle w:val="Sinespaciado"/>
        <w:rPr>
          <w:rFonts w:ascii="Times New Roman" w:hAnsi="Times New Roman" w:cs="Times New Roman"/>
          <w:color w:val="FFFFFF" w:themeColor="background1"/>
          <w:sz w:val="18"/>
          <w:szCs w:val="18"/>
          <w:lang w:val="es-MX"/>
        </w:rPr>
      </w:pPr>
    </w:p>
    <w:p w14:paraId="11A523C7" w14:textId="77777777" w:rsidR="00C76B98" w:rsidRPr="00BD5286" w:rsidRDefault="00C76B98" w:rsidP="00C76B98">
      <w:pPr>
        <w:spacing w:after="0"/>
        <w:rPr>
          <w:rFonts w:ascii="Times New Roman" w:hAnsi="Times New Roman" w:cs="Times New Roman"/>
          <w:color w:val="FF0000"/>
          <w:sz w:val="14"/>
        </w:rPr>
        <w:sectPr w:rsidR="00C76B98" w:rsidRPr="00BD5286" w:rsidSect="00960BE9">
          <w:headerReference w:type="default" r:id="rId32"/>
          <w:footerReference w:type="default" r:id="rId33"/>
          <w:type w:val="continuous"/>
          <w:pgSz w:w="12240" w:h="15840"/>
          <w:pgMar w:top="1417" w:right="1701" w:bottom="1417" w:left="1701" w:header="708" w:footer="708" w:gutter="0"/>
          <w:cols w:space="708"/>
          <w:docGrid w:linePitch="360"/>
        </w:sectPr>
      </w:pPr>
    </w:p>
    <w:p w14:paraId="667380AE" w14:textId="0AF10015" w:rsidR="00475265" w:rsidRPr="0025066B" w:rsidRDefault="00475265" w:rsidP="00475265">
      <w:pPr>
        <w:pStyle w:val="Sinespaciado"/>
        <w:spacing w:after="240"/>
        <w:ind w:right="95"/>
        <w:jc w:val="both"/>
        <w:rPr>
          <w:rFonts w:ascii="Times New Roman" w:hAnsi="Times New Roman" w:cs="Times New Roman"/>
        </w:rPr>
      </w:pPr>
      <w:r w:rsidRPr="0025066B">
        <w:rPr>
          <w:rFonts w:ascii="Times New Roman" w:hAnsi="Times New Roman" w:cs="Times New Roman"/>
        </w:rPr>
        <w:t xml:space="preserve">Las colocaciones de bonos del tesoro ascienden a Q12,750.0 millones, de las cuales el 91.5% corresponden a nuevo endeudamiento y 8.5% a roll </w:t>
      </w:r>
      <w:proofErr w:type="spellStart"/>
      <w:r w:rsidRPr="0025066B">
        <w:rPr>
          <w:rFonts w:ascii="Times New Roman" w:hAnsi="Times New Roman" w:cs="Times New Roman"/>
        </w:rPr>
        <w:t>over</w:t>
      </w:r>
      <w:proofErr w:type="spellEnd"/>
      <w:r w:rsidRPr="0025066B">
        <w:rPr>
          <w:rFonts w:ascii="Times New Roman" w:hAnsi="Times New Roman" w:cs="Times New Roman"/>
        </w:rPr>
        <w:t xml:space="preserve"> o recolocaciones por vencimientos. Con esto, la disponibilidad pendiente de colocar descendió hasta ubicarse en Q5,239.8 millones. El monto colocado a la fecha incluye Q134.4 millones para el segmento de pequeños inversionistas de un cupo aprobado de Q500 millones.</w:t>
      </w:r>
    </w:p>
    <w:p w14:paraId="36FDC514" w14:textId="781C9161" w:rsidR="0019075F" w:rsidRPr="00475265" w:rsidRDefault="00475265" w:rsidP="00475265">
      <w:pPr>
        <w:pStyle w:val="Sinespaciado"/>
        <w:spacing w:after="240"/>
        <w:ind w:right="95"/>
        <w:jc w:val="both"/>
        <w:rPr>
          <w:rFonts w:ascii="Times New Roman" w:hAnsi="Times New Roman" w:cs="Times New Roman"/>
        </w:rPr>
      </w:pPr>
      <w:r w:rsidRPr="0025066B">
        <w:rPr>
          <w:rFonts w:ascii="Times New Roman" w:hAnsi="Times New Roman" w:cs="Times New Roman"/>
        </w:rPr>
        <w:t xml:space="preserve">La colocación de bonos internos se ralentizó en septiembre, derivado que las posturas por parte de los inversionistas fueron con descuento, lo cual incrementa la tasa de rendimiento efectiva, derivado de ello las autoridades consideraron que, dado que no había presiones importantes de gasto y dada la disponibilidad de recursos, no se procediera a adjudicar posturas que no fueran </w:t>
      </w:r>
      <w:r w:rsidRPr="0025066B">
        <w:rPr>
          <w:rFonts w:ascii="Times New Roman" w:hAnsi="Times New Roman" w:cs="Times New Roman"/>
        </w:rPr>
        <w:t xml:space="preserve">al menos a la par. Asimismo, es relevante comentar que se dio una nueva alza en la tasa líder de política monetaria aplicada por el Banco de Guatemala, situándola en 3.0% desde el 2.75% anterior, con el fin de aplacar las expectativas inflacionarias, afectando con </w:t>
      </w:r>
      <w:r w:rsidRPr="00475265">
        <w:rPr>
          <w:rFonts w:ascii="Times New Roman" w:hAnsi="Times New Roman" w:cs="Times New Roman"/>
        </w:rPr>
        <w:t>ello las condiciones financieras del mercado.</w:t>
      </w:r>
    </w:p>
    <w:p w14:paraId="0D9E76FD" w14:textId="77777777" w:rsidR="00907BD2" w:rsidRPr="00475265" w:rsidRDefault="00907BD2" w:rsidP="00907BD2">
      <w:pPr>
        <w:pStyle w:val="Sinespaciado"/>
        <w:ind w:right="95"/>
        <w:jc w:val="center"/>
        <w:rPr>
          <w:rFonts w:ascii="Times New Roman" w:hAnsi="Times New Roman" w:cs="Times New Roman"/>
          <w:b/>
          <w:sz w:val="23"/>
          <w:szCs w:val="23"/>
          <w:lang w:val="es-MX"/>
        </w:rPr>
      </w:pPr>
      <w:r w:rsidRPr="00475265">
        <w:rPr>
          <w:rFonts w:ascii="Times New Roman" w:hAnsi="Times New Roman" w:cs="Times New Roman"/>
          <w:b/>
          <w:sz w:val="23"/>
          <w:szCs w:val="23"/>
          <w:lang w:val="es-MX"/>
        </w:rPr>
        <w:t>Colocación de Bonos del Tesoro</w:t>
      </w:r>
    </w:p>
    <w:p w14:paraId="128B326C" w14:textId="2A80ECD7" w:rsidR="006765A4" w:rsidRPr="00475265" w:rsidRDefault="00475265" w:rsidP="001E0B46">
      <w:pPr>
        <w:pStyle w:val="Sinespaciado"/>
        <w:jc w:val="center"/>
        <w:rPr>
          <w:rFonts w:ascii="Times New Roman" w:hAnsi="Times New Roman" w:cs="Times New Roman"/>
          <w:sz w:val="20"/>
          <w:szCs w:val="18"/>
          <w:lang w:val="es-MX"/>
        </w:rPr>
      </w:pPr>
      <w:r w:rsidRPr="00475265">
        <w:rPr>
          <w:noProof/>
          <w:lang w:eastAsia="es-GT"/>
        </w:rPr>
        <w:drawing>
          <wp:anchor distT="0" distB="0" distL="114300" distR="114300" simplePos="0" relativeHeight="251919360" behindDoc="1" locked="0" layoutInCell="1" allowOverlap="1" wp14:anchorId="0F163F11" wp14:editId="1A559352">
            <wp:simplePos x="0" y="0"/>
            <wp:positionH relativeFrom="column">
              <wp:posOffset>0</wp:posOffset>
            </wp:positionH>
            <wp:positionV relativeFrom="paragraph">
              <wp:posOffset>212366</wp:posOffset>
            </wp:positionV>
            <wp:extent cx="2733675" cy="1509395"/>
            <wp:effectExtent l="0" t="0" r="0" b="0"/>
            <wp:wrapSquare wrapText="bothSides"/>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6765A4" w:rsidRPr="00475265">
        <w:rPr>
          <w:rFonts w:ascii="Times New Roman" w:hAnsi="Times New Roman" w:cs="Times New Roman"/>
          <w:sz w:val="20"/>
          <w:szCs w:val="18"/>
          <w:lang w:val="es-MX"/>
        </w:rPr>
        <w:t xml:space="preserve"> Al 30 de septiembre 2022</w:t>
      </w:r>
    </w:p>
    <w:p w14:paraId="390D4E5C" w14:textId="01AB7A56" w:rsidR="00907BD2" w:rsidRPr="00475265" w:rsidRDefault="00907BD2" w:rsidP="00907BD2">
      <w:pPr>
        <w:pStyle w:val="Sinespaciado"/>
        <w:jc w:val="both"/>
        <w:rPr>
          <w:rFonts w:ascii="Times New Roman" w:hAnsi="Times New Roman" w:cs="Times New Roman"/>
          <w:sz w:val="16"/>
          <w:szCs w:val="16"/>
        </w:rPr>
      </w:pPr>
      <w:r w:rsidRPr="00475265">
        <w:rPr>
          <w:rFonts w:ascii="Times New Roman" w:hAnsi="Times New Roman" w:cs="Times New Roman"/>
          <w:sz w:val="16"/>
          <w:szCs w:val="16"/>
        </w:rPr>
        <w:t>Fuente: Dirección de Análisis y Política Fiscal.</w:t>
      </w:r>
    </w:p>
    <w:p w14:paraId="7A5A9820" w14:textId="5020D50A" w:rsidR="00C76B98" w:rsidRPr="00BD5286" w:rsidRDefault="00C76B98" w:rsidP="00B77BCA">
      <w:pPr>
        <w:pStyle w:val="Sinespaciado"/>
        <w:jc w:val="both"/>
        <w:rPr>
          <w:rFonts w:ascii="Times New Roman" w:hAnsi="Times New Roman" w:cs="Times New Roman"/>
          <w:color w:val="FF0000"/>
          <w:sz w:val="2"/>
        </w:rPr>
        <w:sectPr w:rsidR="00C76B98" w:rsidRPr="00BD5286" w:rsidSect="00C76B98">
          <w:type w:val="continuous"/>
          <w:pgSz w:w="12240" w:h="15840"/>
          <w:pgMar w:top="1417" w:right="1701" w:bottom="1417" w:left="1701" w:header="708" w:footer="708" w:gutter="0"/>
          <w:cols w:num="2" w:space="708"/>
          <w:docGrid w:linePitch="360"/>
        </w:sectPr>
      </w:pPr>
    </w:p>
    <w:p w14:paraId="008AFA64" w14:textId="77777777" w:rsidR="00C76B98" w:rsidRPr="00BD5286" w:rsidRDefault="00C76B98" w:rsidP="00C76B98">
      <w:pPr>
        <w:spacing w:after="0"/>
        <w:rPr>
          <w:rFonts w:ascii="Times New Roman" w:hAnsi="Times New Roman" w:cs="Times New Roman"/>
          <w:color w:val="FF0000"/>
          <w:sz w:val="12"/>
          <w:szCs w:val="24"/>
        </w:rPr>
        <w:sectPr w:rsidR="00C76B98" w:rsidRPr="00BD5286" w:rsidSect="00960BE9">
          <w:headerReference w:type="default" r:id="rId35"/>
          <w:footerReference w:type="default" r:id="rId36"/>
          <w:type w:val="continuous"/>
          <w:pgSz w:w="12240" w:h="15840"/>
          <w:pgMar w:top="1417" w:right="1701" w:bottom="1417" w:left="1701" w:header="708" w:footer="708" w:gutter="0"/>
          <w:cols w:space="708"/>
          <w:docGrid w:linePitch="360"/>
        </w:sectPr>
      </w:pPr>
    </w:p>
    <w:p w14:paraId="51BA6055" w14:textId="535FD3BE" w:rsidR="008E00B7" w:rsidRPr="00475265" w:rsidRDefault="004146ED"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475265">
        <w:rPr>
          <w:rFonts w:ascii="Times New Roman" w:hAnsi="Times New Roman" w:cs="Times New Roman"/>
          <w:b/>
          <w:color w:val="FFFFFF" w:themeColor="background1"/>
          <w:sz w:val="24"/>
          <w:szCs w:val="24"/>
        </w:rPr>
        <w:t>Ejecución de gasto relacionado</w:t>
      </w:r>
      <w:r w:rsidR="008E00B7" w:rsidRPr="00475265">
        <w:rPr>
          <w:rFonts w:ascii="Times New Roman" w:hAnsi="Times New Roman" w:cs="Times New Roman"/>
          <w:b/>
          <w:color w:val="FFFFFF" w:themeColor="background1"/>
          <w:sz w:val="24"/>
          <w:szCs w:val="24"/>
        </w:rPr>
        <w:t xml:space="preserve"> </w:t>
      </w:r>
      <w:r w:rsidR="004A0389" w:rsidRPr="00475265">
        <w:rPr>
          <w:rFonts w:ascii="Times New Roman" w:hAnsi="Times New Roman" w:cs="Times New Roman"/>
          <w:b/>
          <w:color w:val="FFFFFF" w:themeColor="background1"/>
          <w:sz w:val="24"/>
          <w:szCs w:val="24"/>
        </w:rPr>
        <w:t>a emergencias y calamidades públicas</w:t>
      </w:r>
    </w:p>
    <w:p w14:paraId="760E6CD3" w14:textId="77777777" w:rsidR="008E00B7" w:rsidRPr="00BD5286" w:rsidRDefault="008E00B7" w:rsidP="00C76B98">
      <w:pPr>
        <w:pStyle w:val="Sinespaciado"/>
        <w:rPr>
          <w:rFonts w:ascii="Times New Roman" w:hAnsi="Times New Roman" w:cs="Times New Roman"/>
          <w:color w:val="FF0000"/>
          <w:sz w:val="18"/>
          <w:szCs w:val="18"/>
        </w:rPr>
      </w:pPr>
    </w:p>
    <w:p w14:paraId="2271D397" w14:textId="77777777" w:rsidR="008E00B7" w:rsidRPr="00BD5286" w:rsidRDefault="008E00B7" w:rsidP="008E00B7">
      <w:pPr>
        <w:spacing w:after="0"/>
        <w:rPr>
          <w:rFonts w:ascii="Times New Roman" w:hAnsi="Times New Roman" w:cs="Times New Roman"/>
          <w:color w:val="FF0000"/>
        </w:rPr>
        <w:sectPr w:rsidR="008E00B7" w:rsidRPr="00BD5286" w:rsidSect="00960BE9">
          <w:headerReference w:type="default" r:id="rId37"/>
          <w:footerReference w:type="default" r:id="rId38"/>
          <w:type w:val="continuous"/>
          <w:pgSz w:w="12240" w:h="15840"/>
          <w:pgMar w:top="1417" w:right="1701" w:bottom="1417" w:left="1701" w:header="708" w:footer="708" w:gutter="0"/>
          <w:cols w:space="708"/>
          <w:docGrid w:linePitch="360"/>
        </w:sectPr>
      </w:pPr>
    </w:p>
    <w:p w14:paraId="238E8F9E" w14:textId="5D314C90" w:rsidR="00475265" w:rsidRPr="0025066B" w:rsidRDefault="00475265" w:rsidP="00475265">
      <w:pPr>
        <w:pStyle w:val="Sinespaciado"/>
        <w:jc w:val="both"/>
        <w:rPr>
          <w:rFonts w:ascii="Times New Roman" w:hAnsi="Times New Roman" w:cs="Times New Roman"/>
        </w:rPr>
      </w:pPr>
      <w:r w:rsidRPr="0025066B">
        <w:rPr>
          <w:rFonts w:ascii="Times New Roman" w:hAnsi="Times New Roman" w:cs="Times New Roman"/>
          <w:lang w:val="es-MX"/>
        </w:rPr>
        <w:t xml:space="preserve">Del </w:t>
      </w:r>
      <w:r w:rsidRPr="0025066B">
        <w:rPr>
          <w:rFonts w:ascii="Times New Roman" w:hAnsi="Times New Roman" w:cs="Times New Roman"/>
        </w:rPr>
        <w:t>seguimiento a la ejecución del programa de gasto relacionado directamente a la pandemia COVID-19, se tiene que se han ejecutado Q1,011.6 millones, correspondientes casi en su totalidad al Ministerio de Salud Pública y Asistencia Social y en una menor medida al Ministerio de Desarrollo Social.</w:t>
      </w:r>
    </w:p>
    <w:p w14:paraId="2F28681B" w14:textId="77777777" w:rsidR="00475265" w:rsidRPr="0025066B" w:rsidRDefault="00475265" w:rsidP="00475265">
      <w:pPr>
        <w:pStyle w:val="Sinespaciado"/>
        <w:jc w:val="both"/>
        <w:rPr>
          <w:rFonts w:ascii="Times New Roman" w:hAnsi="Times New Roman" w:cs="Times New Roman"/>
          <w:sz w:val="18"/>
        </w:rPr>
      </w:pPr>
      <w:r w:rsidRPr="0025066B">
        <w:rPr>
          <w:rFonts w:ascii="Times New Roman" w:hAnsi="Times New Roman" w:cs="Times New Roman"/>
        </w:rPr>
        <w:t xml:space="preserve"> </w:t>
      </w:r>
    </w:p>
    <w:p w14:paraId="3C2EA721" w14:textId="77777777" w:rsidR="00475265" w:rsidRPr="0025066B" w:rsidRDefault="00475265" w:rsidP="00475265">
      <w:pPr>
        <w:pStyle w:val="Sinespaciado"/>
        <w:jc w:val="both"/>
        <w:rPr>
          <w:rFonts w:ascii="Times New Roman" w:hAnsi="Times New Roman" w:cs="Times New Roman"/>
        </w:rPr>
      </w:pPr>
      <w:r w:rsidRPr="0025066B">
        <w:rPr>
          <w:rFonts w:ascii="Times New Roman" w:hAnsi="Times New Roman" w:cs="Times New Roman"/>
        </w:rPr>
        <w:t xml:space="preserve">Dentro de los gastos, se encuentran la adquisición de la vacuna COVID-19 con </w:t>
      </w:r>
      <w:r w:rsidRPr="0025066B">
        <w:rPr>
          <w:rFonts w:ascii="Times New Roman" w:hAnsi="Times New Roman" w:cs="Times New Roman"/>
        </w:rPr>
        <w:t xml:space="preserve">Q170.1 millones y los servicios de prevención y tratamiento de COVID-19 con Q838.1 millones. </w:t>
      </w:r>
    </w:p>
    <w:p w14:paraId="64CE763A" w14:textId="77777777" w:rsidR="00475265" w:rsidRPr="0025066B" w:rsidRDefault="00475265" w:rsidP="00475265">
      <w:pPr>
        <w:pStyle w:val="Sinespaciado"/>
        <w:jc w:val="both"/>
        <w:rPr>
          <w:rFonts w:ascii="Times New Roman" w:hAnsi="Times New Roman" w:cs="Times New Roman"/>
          <w:sz w:val="18"/>
        </w:rPr>
      </w:pPr>
    </w:p>
    <w:p w14:paraId="5F9A75B8" w14:textId="77777777" w:rsidR="00475265" w:rsidRPr="0025066B" w:rsidRDefault="00475265" w:rsidP="00475265">
      <w:pPr>
        <w:pStyle w:val="Sinespaciado"/>
        <w:jc w:val="both"/>
        <w:rPr>
          <w:rFonts w:ascii="Times New Roman" w:hAnsi="Times New Roman" w:cs="Times New Roman"/>
        </w:rPr>
      </w:pPr>
      <w:r w:rsidRPr="0025066B">
        <w:rPr>
          <w:rFonts w:ascii="Times New Roman" w:hAnsi="Times New Roman" w:cs="Times New Roman"/>
        </w:rPr>
        <w:t xml:space="preserve">Con el objeto de fortalecer la conformación del Fondo Emergente, el Ministerio de Salud Pública y Asistencia Social, puso a disposición Q600 millones de su presupuesto que correspondía a la adquisición de vacunas contra el virus COVID-19. Por lo cual, el </w:t>
      </w:r>
      <w:r w:rsidRPr="0025066B">
        <w:rPr>
          <w:rFonts w:ascii="Times New Roman" w:hAnsi="Times New Roman" w:cs="Times New Roman"/>
        </w:rPr>
        <w:lastRenderedPageBreak/>
        <w:t>presupuesto para la vacuna contra el COVID-19 experimentó una disminución.</w:t>
      </w:r>
    </w:p>
    <w:p w14:paraId="43A30E34" w14:textId="77777777" w:rsidR="00475265" w:rsidRPr="0025066B" w:rsidRDefault="00475265" w:rsidP="00475265">
      <w:pPr>
        <w:spacing w:after="0" w:line="240" w:lineRule="auto"/>
        <w:ind w:right="213"/>
        <w:jc w:val="both"/>
        <w:rPr>
          <w:rFonts w:ascii="Times New Roman" w:hAnsi="Times New Roman" w:cs="Times New Roman"/>
          <w:sz w:val="18"/>
        </w:rPr>
      </w:pPr>
      <w:r w:rsidRPr="0025066B">
        <w:rPr>
          <w:rFonts w:ascii="Times New Roman" w:hAnsi="Times New Roman" w:cs="Times New Roman"/>
        </w:rPr>
        <w:t xml:space="preserve">  </w:t>
      </w:r>
    </w:p>
    <w:p w14:paraId="672A2056" w14:textId="6164AC1E" w:rsidR="00B31260" w:rsidRPr="00BD5286" w:rsidRDefault="00475265" w:rsidP="00475265">
      <w:pPr>
        <w:pStyle w:val="Sinespaciado"/>
        <w:jc w:val="both"/>
        <w:rPr>
          <w:rFonts w:ascii="Times New Roman" w:hAnsi="Times New Roman" w:cs="Times New Roman"/>
          <w:color w:val="FF0000"/>
        </w:rPr>
      </w:pPr>
      <w:r w:rsidRPr="0025066B">
        <w:rPr>
          <w:rFonts w:ascii="Times New Roman" w:hAnsi="Times New Roman" w:cs="Times New Roman"/>
        </w:rPr>
        <w:t>Por su parte, el Ministerio de Desarrollo Social cuenta con un presupuesto de Q3.9 millones por intervenciones diversas por COVID-19, de las cuales se reporta una ejecución de Q3.4 millones.</w:t>
      </w:r>
    </w:p>
    <w:p w14:paraId="3AF857C8" w14:textId="0A6CA2CE" w:rsidR="00154800" w:rsidRPr="00475265" w:rsidRDefault="00154800" w:rsidP="00B31260">
      <w:pPr>
        <w:pStyle w:val="Sinespaciado"/>
        <w:jc w:val="both"/>
        <w:rPr>
          <w:rFonts w:ascii="Times New Roman" w:hAnsi="Times New Roman" w:cs="Times New Roman"/>
          <w:sz w:val="18"/>
        </w:rPr>
      </w:pPr>
    </w:p>
    <w:p w14:paraId="7F562C9E" w14:textId="77777777" w:rsidR="00B31260" w:rsidRPr="00475265" w:rsidRDefault="00B31260" w:rsidP="00B31260">
      <w:pPr>
        <w:pStyle w:val="Sinespaciado"/>
        <w:jc w:val="center"/>
        <w:rPr>
          <w:rFonts w:ascii="Times New Roman" w:hAnsi="Times New Roman" w:cs="Times New Roman"/>
          <w:b/>
        </w:rPr>
      </w:pPr>
      <w:r w:rsidRPr="00475265">
        <w:rPr>
          <w:rFonts w:ascii="Times New Roman" w:hAnsi="Times New Roman" w:cs="Times New Roman"/>
          <w:b/>
        </w:rPr>
        <w:t>Ejecución de gastos por COVID-19</w:t>
      </w:r>
    </w:p>
    <w:p w14:paraId="588A6F53" w14:textId="77777777" w:rsidR="00154800" w:rsidRPr="00475265" w:rsidRDefault="00154800" w:rsidP="00154800">
      <w:pPr>
        <w:pStyle w:val="Sinespaciado"/>
        <w:jc w:val="center"/>
        <w:rPr>
          <w:rFonts w:ascii="Times New Roman" w:hAnsi="Times New Roman" w:cs="Times New Roman"/>
          <w:sz w:val="18"/>
          <w:szCs w:val="18"/>
        </w:rPr>
      </w:pPr>
      <w:r w:rsidRPr="00475265">
        <w:rPr>
          <w:rFonts w:ascii="Times New Roman" w:hAnsi="Times New Roman" w:cs="Times New Roman"/>
          <w:sz w:val="18"/>
          <w:szCs w:val="18"/>
        </w:rPr>
        <w:t>Al 30 de septiembre 2021-2022</w:t>
      </w:r>
    </w:p>
    <w:p w14:paraId="54B9BC98" w14:textId="421EEB50" w:rsidR="00B31260" w:rsidRPr="00475265" w:rsidRDefault="00154800" w:rsidP="00B31260">
      <w:pPr>
        <w:spacing w:after="0" w:line="240" w:lineRule="auto"/>
        <w:ind w:right="213"/>
        <w:jc w:val="both"/>
        <w:rPr>
          <w:rFonts w:ascii="Times New Roman" w:hAnsi="Times New Roman" w:cs="Times New Roman"/>
        </w:rPr>
      </w:pPr>
      <w:r w:rsidRPr="00475265">
        <w:rPr>
          <w:rFonts w:ascii="Times New Roman" w:hAnsi="Times New Roman" w:cs="Times New Roman"/>
          <w:noProof/>
          <w:lang w:eastAsia="es-GT"/>
        </w:rPr>
        <w:drawing>
          <wp:inline distT="0" distB="0" distL="0" distR="0" wp14:anchorId="37363C32" wp14:editId="76906D2C">
            <wp:extent cx="2630805" cy="2030818"/>
            <wp:effectExtent l="0" t="0" r="0" b="7620"/>
            <wp:docPr id="31" name="Chart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484E9FC" w14:textId="77777777" w:rsidR="00B31260" w:rsidRPr="00475265" w:rsidRDefault="00B31260" w:rsidP="00B31260">
      <w:pPr>
        <w:spacing w:after="0" w:line="240" w:lineRule="auto"/>
        <w:jc w:val="both"/>
        <w:rPr>
          <w:rFonts w:ascii="Times New Roman" w:hAnsi="Times New Roman" w:cs="Times New Roman"/>
          <w:sz w:val="16"/>
        </w:rPr>
      </w:pPr>
      <w:r w:rsidRPr="00475265">
        <w:rPr>
          <w:rFonts w:ascii="Times New Roman" w:hAnsi="Times New Roman" w:cs="Times New Roman"/>
          <w:sz w:val="14"/>
        </w:rPr>
        <w:t xml:space="preserve">Fuente: </w:t>
      </w:r>
      <w:r w:rsidRPr="00475265">
        <w:rPr>
          <w:rFonts w:ascii="Times New Roman" w:hAnsi="Times New Roman" w:cs="Times New Roman"/>
          <w:sz w:val="16"/>
        </w:rPr>
        <w:t>Dirección de Análisis y Política Fiscal.</w:t>
      </w:r>
    </w:p>
    <w:p w14:paraId="090AFD0D" w14:textId="28ABF652" w:rsidR="001E0B46" w:rsidRPr="00BD5286" w:rsidRDefault="00B31260" w:rsidP="001E0B46">
      <w:pPr>
        <w:pStyle w:val="Sinespaciado"/>
        <w:jc w:val="both"/>
        <w:rPr>
          <w:rFonts w:ascii="Times New Roman" w:hAnsi="Times New Roman" w:cs="Times New Roman"/>
          <w:color w:val="FF0000"/>
          <w:sz w:val="14"/>
        </w:rPr>
      </w:pPr>
      <w:r w:rsidRPr="00BD5286">
        <w:rPr>
          <w:rFonts w:ascii="Times New Roman" w:hAnsi="Times New Roman" w:cs="Times New Roman"/>
          <w:color w:val="FF0000"/>
          <w:sz w:val="14"/>
        </w:rPr>
        <w:t xml:space="preserve"> </w:t>
      </w:r>
    </w:p>
    <w:p w14:paraId="6B5FE6AF" w14:textId="4A72C4A3" w:rsidR="00475265" w:rsidRPr="0025066B" w:rsidRDefault="00475265" w:rsidP="00475265">
      <w:pPr>
        <w:pStyle w:val="Sinespaciado"/>
        <w:ind w:right="-46"/>
        <w:jc w:val="both"/>
        <w:rPr>
          <w:rFonts w:ascii="Times New Roman" w:hAnsi="Times New Roman" w:cs="Times New Roman"/>
        </w:rPr>
      </w:pPr>
      <w:r w:rsidRPr="0025066B">
        <w:rPr>
          <w:rFonts w:ascii="Times New Roman" w:hAnsi="Times New Roman" w:cs="Times New Roman"/>
        </w:rPr>
        <w:t>Asimismo, también se le da seguimiento a la ejecución del gasto relacionado al Estado de Calamidad Pública por la depresión tropical ETA. Durante el año se han ejecutado Q439.9 millones, correspondientes en su totalidad al Ministerio de Comunicaciones, Infraestructura y Vivienda.  Se resalta que este subprograma no contaba con presupuesto inicial y debido a reprogramaciones que se llevaron a cabo, cuenta ahora con un presupuesto vigente de Q542.3 millones, el cual corresponde a intervenciones para el mantenimiento y reparación de bienes nacionales, arrendamiento de maquinaria y equipo y de medios de transporte.</w:t>
      </w:r>
    </w:p>
    <w:p w14:paraId="5921AAB4" w14:textId="77777777" w:rsidR="00475265" w:rsidRPr="0025066B" w:rsidRDefault="00475265" w:rsidP="00475265">
      <w:pPr>
        <w:pStyle w:val="Sinespaciado"/>
        <w:ind w:right="213"/>
        <w:rPr>
          <w:rFonts w:ascii="Times New Roman" w:hAnsi="Times New Roman" w:cs="Times New Roman"/>
          <w:sz w:val="18"/>
          <w:szCs w:val="18"/>
        </w:rPr>
      </w:pPr>
    </w:p>
    <w:p w14:paraId="7B9EA137" w14:textId="77777777" w:rsidR="00475265" w:rsidRPr="0025066B" w:rsidRDefault="00475265" w:rsidP="00475265">
      <w:pPr>
        <w:pStyle w:val="Sinespaciado"/>
        <w:jc w:val="both"/>
        <w:rPr>
          <w:rFonts w:ascii="Times New Roman" w:hAnsi="Times New Roman" w:cs="Times New Roman"/>
        </w:rPr>
      </w:pPr>
      <w:r w:rsidRPr="0025066B">
        <w:rPr>
          <w:rFonts w:ascii="Times New Roman" w:hAnsi="Times New Roman" w:cs="Times New Roman"/>
        </w:rPr>
        <w:t xml:space="preserve">Respecto al </w:t>
      </w:r>
      <w:bookmarkStart w:id="3" w:name="_Hlk113289528"/>
      <w:r w:rsidRPr="0025066B">
        <w:rPr>
          <w:rFonts w:ascii="Times New Roman" w:hAnsi="Times New Roman" w:cs="Times New Roman"/>
        </w:rPr>
        <w:t>Estado de Calamidad Pública por época lluviosa, temporada ciclónica y sistemas de baja presión,</w:t>
      </w:r>
      <w:bookmarkEnd w:id="3"/>
      <w:r w:rsidRPr="0025066B">
        <w:rPr>
          <w:rFonts w:ascii="Times New Roman" w:hAnsi="Times New Roman" w:cs="Times New Roman"/>
        </w:rPr>
        <w:t xml:space="preserve"> derivado de las reorientaciones presupuestarias realizadas, este subprograma cuenta con un presupuesto de Q963.9 millones y una ejecución de Q420.0 millones, siendo el Ministerio de Comunicaciones, Infraestructura y Vivienda el que reporta la mayor intervención con Q228.1 millones, seguido del Ministerio de la Defensa Nacional con Q139.3 millones y el Ministerio de Desarrollo Social con Q42.3 millones.  </w:t>
      </w:r>
    </w:p>
    <w:p w14:paraId="0F9BB56B" w14:textId="77777777" w:rsidR="00475265" w:rsidRPr="0025066B" w:rsidRDefault="00475265" w:rsidP="00475265">
      <w:pPr>
        <w:pStyle w:val="Sinespaciado"/>
        <w:jc w:val="both"/>
        <w:rPr>
          <w:rFonts w:ascii="Times New Roman" w:hAnsi="Times New Roman" w:cs="Times New Roman"/>
          <w:sz w:val="18"/>
          <w:szCs w:val="18"/>
        </w:rPr>
      </w:pPr>
    </w:p>
    <w:p w14:paraId="4B1B9E84" w14:textId="638B75DA" w:rsidR="00776700" w:rsidRPr="00BD5286" w:rsidRDefault="00475265" w:rsidP="00475265">
      <w:pPr>
        <w:pStyle w:val="Sinespaciado"/>
        <w:ind w:right="-46"/>
        <w:jc w:val="both"/>
        <w:rPr>
          <w:rFonts w:ascii="Times New Roman" w:hAnsi="Times New Roman" w:cs="Times New Roman"/>
          <w:color w:val="FF0000"/>
        </w:rPr>
      </w:pPr>
      <w:r w:rsidRPr="0025066B">
        <w:rPr>
          <w:rFonts w:ascii="Times New Roman" w:hAnsi="Times New Roman" w:cs="Times New Roman"/>
        </w:rPr>
        <w:t>Las intervenciones se han concentrado en el mantenimiento de bienes nacionales como carreteras y puentes afectados por un invierno más copioso con daños en la infraestructura nacional, en el mantenimiento y reparación de edificios, servicios de ingeniería, arquitectura y supervisión de obras, otras maquinarias y equipos y alimento para personas.</w:t>
      </w:r>
    </w:p>
    <w:p w14:paraId="7D9D1221" w14:textId="5B313831" w:rsidR="00FA0E54" w:rsidRPr="00BD5286" w:rsidRDefault="00FA0E54" w:rsidP="00776700">
      <w:pPr>
        <w:pStyle w:val="Sinespaciado"/>
        <w:ind w:right="213"/>
        <w:rPr>
          <w:rFonts w:ascii="Times New Roman" w:hAnsi="Times New Roman" w:cs="Times New Roman"/>
          <w:color w:val="FF0000"/>
          <w:sz w:val="18"/>
          <w:szCs w:val="24"/>
        </w:rPr>
      </w:pPr>
    </w:p>
    <w:p w14:paraId="0E1B8A1D" w14:textId="77777777" w:rsidR="001F0689" w:rsidRPr="00475265" w:rsidRDefault="001F0689" w:rsidP="001F0689">
      <w:pPr>
        <w:pStyle w:val="Sinespaciado"/>
        <w:jc w:val="center"/>
        <w:rPr>
          <w:rFonts w:ascii="Times New Roman" w:hAnsi="Times New Roman" w:cs="Times New Roman"/>
          <w:b/>
        </w:rPr>
      </w:pPr>
      <w:r w:rsidRPr="00475265">
        <w:rPr>
          <w:rFonts w:ascii="Times New Roman" w:hAnsi="Times New Roman" w:cs="Times New Roman"/>
          <w:b/>
        </w:rPr>
        <w:t>Entidades con intervenciones por época lluviosa, temporada ciclónica y sistemas de baja presión</w:t>
      </w:r>
    </w:p>
    <w:p w14:paraId="518E3E32" w14:textId="77777777" w:rsidR="001F0689" w:rsidRPr="00475265" w:rsidRDefault="001F0689" w:rsidP="001F0689">
      <w:pPr>
        <w:pStyle w:val="Sinespaciado"/>
        <w:jc w:val="center"/>
        <w:rPr>
          <w:rFonts w:ascii="Times New Roman" w:hAnsi="Times New Roman" w:cs="Times New Roman"/>
        </w:rPr>
      </w:pPr>
      <w:r w:rsidRPr="00475265">
        <w:rPr>
          <w:rFonts w:ascii="Times New Roman" w:hAnsi="Times New Roman" w:cs="Times New Roman"/>
          <w:sz w:val="18"/>
          <w:szCs w:val="18"/>
        </w:rPr>
        <w:t>Al 30 de septiembre 2021-2022</w:t>
      </w:r>
    </w:p>
    <w:p w14:paraId="58F4DED3" w14:textId="77777777" w:rsidR="001F0689" w:rsidRPr="00475265" w:rsidRDefault="001F0689" w:rsidP="001F0689">
      <w:pPr>
        <w:pStyle w:val="Sinespaciado"/>
        <w:jc w:val="both"/>
        <w:rPr>
          <w:rFonts w:ascii="Times New Roman" w:hAnsi="Times New Roman" w:cs="Times New Roman"/>
        </w:rPr>
      </w:pPr>
      <w:r w:rsidRPr="00475265">
        <w:rPr>
          <w:rFonts w:ascii="Times New Roman" w:hAnsi="Times New Roman" w:cs="Times New Roman"/>
          <w:noProof/>
          <w:lang w:eastAsia="es-GT"/>
        </w:rPr>
        <w:drawing>
          <wp:inline distT="0" distB="0" distL="0" distR="0" wp14:anchorId="5AC32574" wp14:editId="08CDCEC5">
            <wp:extent cx="2860158" cy="2328530"/>
            <wp:effectExtent l="0" t="0" r="0" b="0"/>
            <wp:docPr id="243" name="Gráfico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7744508" w14:textId="156E3835" w:rsidR="001F0689" w:rsidRPr="00475265" w:rsidRDefault="001F0689" w:rsidP="001F0689">
      <w:pPr>
        <w:spacing w:after="0" w:line="240" w:lineRule="auto"/>
        <w:jc w:val="both"/>
        <w:rPr>
          <w:rFonts w:ascii="Times New Roman" w:hAnsi="Times New Roman" w:cs="Times New Roman"/>
          <w:sz w:val="16"/>
          <w:szCs w:val="16"/>
        </w:rPr>
      </w:pPr>
      <w:r w:rsidRPr="00475265">
        <w:rPr>
          <w:rFonts w:ascii="Times New Roman" w:hAnsi="Times New Roman" w:cs="Times New Roman"/>
          <w:sz w:val="16"/>
          <w:szCs w:val="16"/>
        </w:rPr>
        <w:t>Fuente: Dirección de Análisis y Política Fiscal</w:t>
      </w:r>
    </w:p>
    <w:p w14:paraId="1FE26FE3" w14:textId="77777777" w:rsidR="001F0689" w:rsidRPr="00BD5286" w:rsidRDefault="001F0689" w:rsidP="00776700">
      <w:pPr>
        <w:pStyle w:val="Sinespaciado"/>
        <w:ind w:right="213"/>
        <w:rPr>
          <w:rFonts w:ascii="Times New Roman" w:hAnsi="Times New Roman" w:cs="Times New Roman"/>
          <w:color w:val="FF0000"/>
          <w:sz w:val="28"/>
          <w:szCs w:val="24"/>
        </w:rPr>
        <w:sectPr w:rsidR="001F0689" w:rsidRPr="00BD5286" w:rsidSect="008E00B7">
          <w:type w:val="continuous"/>
          <w:pgSz w:w="12240" w:h="15840"/>
          <w:pgMar w:top="1417" w:right="1701" w:bottom="1417" w:left="1701" w:header="708" w:footer="708" w:gutter="0"/>
          <w:cols w:num="2" w:space="708"/>
          <w:docGrid w:linePitch="360"/>
        </w:sectPr>
      </w:pPr>
    </w:p>
    <w:p w14:paraId="0DCD7693" w14:textId="57BB7890" w:rsidR="0071038C" w:rsidRPr="00475265" w:rsidRDefault="0019075F" w:rsidP="00FE5E84">
      <w:pPr>
        <w:pStyle w:val="Sinespaciado"/>
        <w:shd w:val="clear" w:color="auto" w:fill="44546A" w:themeFill="text2"/>
        <w:spacing w:before="240"/>
        <w:ind w:right="-376" w:hanging="426"/>
        <w:jc w:val="center"/>
        <w:rPr>
          <w:rFonts w:ascii="Times New Roman" w:hAnsi="Times New Roman" w:cs="Times New Roman"/>
          <w:b/>
          <w:color w:val="FFFFFF" w:themeColor="background1"/>
          <w:sz w:val="24"/>
          <w:szCs w:val="24"/>
        </w:rPr>
      </w:pPr>
      <w:r w:rsidRPr="00475265">
        <w:rPr>
          <w:rFonts w:ascii="Times New Roman" w:hAnsi="Times New Roman" w:cs="Times New Roman"/>
          <w:b/>
          <w:color w:val="FFFFFF" w:themeColor="background1"/>
          <w:sz w:val="24"/>
          <w:szCs w:val="24"/>
        </w:rPr>
        <w:t xml:space="preserve">Ejecución de los subsidios de apoyo temporal </w:t>
      </w:r>
      <w:r w:rsidR="00E35916" w:rsidRPr="00475265">
        <w:rPr>
          <w:rFonts w:ascii="Times New Roman" w:hAnsi="Times New Roman" w:cs="Times New Roman"/>
          <w:b/>
          <w:color w:val="FFFFFF" w:themeColor="background1"/>
          <w:sz w:val="24"/>
          <w:szCs w:val="24"/>
        </w:rPr>
        <w:t>y otras actividades</w:t>
      </w:r>
    </w:p>
    <w:p w14:paraId="1E4A9F2D" w14:textId="77777777" w:rsidR="0071038C" w:rsidRPr="00BD5286" w:rsidRDefault="0071038C" w:rsidP="0071038C">
      <w:pPr>
        <w:pStyle w:val="Sinespaciado"/>
        <w:rPr>
          <w:rFonts w:ascii="Times New Roman" w:hAnsi="Times New Roman" w:cs="Times New Roman"/>
          <w:color w:val="FF0000"/>
          <w:sz w:val="18"/>
          <w:szCs w:val="18"/>
        </w:rPr>
      </w:pPr>
    </w:p>
    <w:p w14:paraId="2FC9368C" w14:textId="77777777" w:rsidR="0071038C" w:rsidRPr="00BD5286" w:rsidRDefault="0071038C" w:rsidP="0071038C">
      <w:pPr>
        <w:pStyle w:val="Textodeglobo"/>
        <w:jc w:val="both"/>
        <w:rPr>
          <w:rFonts w:ascii="Times New Roman" w:hAnsi="Times New Roman" w:cs="Times New Roman"/>
          <w:color w:val="FF0000"/>
          <w:sz w:val="22"/>
          <w:szCs w:val="22"/>
        </w:rPr>
        <w:sectPr w:rsidR="0071038C" w:rsidRPr="00BD5286" w:rsidSect="00960BE9">
          <w:headerReference w:type="default" r:id="rId41"/>
          <w:footerReference w:type="default" r:id="rId42"/>
          <w:type w:val="continuous"/>
          <w:pgSz w:w="12240" w:h="15840"/>
          <w:pgMar w:top="1417" w:right="1701" w:bottom="1417" w:left="1701" w:header="708" w:footer="708" w:gutter="0"/>
          <w:cols w:space="708"/>
          <w:docGrid w:linePitch="360"/>
        </w:sectPr>
      </w:pPr>
    </w:p>
    <w:p w14:paraId="3463F403" w14:textId="64628B2C" w:rsidR="00475265" w:rsidRPr="0025066B" w:rsidRDefault="00475265" w:rsidP="00475265">
      <w:pPr>
        <w:pStyle w:val="Textodeglobo"/>
        <w:jc w:val="both"/>
        <w:rPr>
          <w:rFonts w:ascii="Times New Roman" w:hAnsi="Times New Roman" w:cs="Times New Roman"/>
          <w:sz w:val="22"/>
          <w:szCs w:val="22"/>
        </w:rPr>
      </w:pPr>
      <w:r w:rsidRPr="0025066B">
        <w:rPr>
          <w:rFonts w:ascii="Times New Roman" w:hAnsi="Times New Roman" w:cs="Times New Roman"/>
          <w:sz w:val="22"/>
          <w:szCs w:val="22"/>
        </w:rPr>
        <w:t xml:space="preserve">Durante el 2022 se ha observado la necesidad de una mayor intervención del Estado, derivado que existen factores externos que han impulsado los precios con un efecto negativo en el poder adquisitivo de los guatemaltecos, entre estos destacan las tensiones geopolíticas por la guerra entre Rusia y Ucrania, que ha </w:t>
      </w:r>
      <w:r w:rsidRPr="0025066B">
        <w:rPr>
          <w:rFonts w:ascii="Times New Roman" w:hAnsi="Times New Roman" w:cs="Times New Roman"/>
          <w:sz w:val="22"/>
          <w:szCs w:val="22"/>
        </w:rPr>
        <w:t xml:space="preserve">generado problemas especulativos con presiones y volatilidad en los precios internacionales de algunos </w:t>
      </w:r>
      <w:proofErr w:type="spellStart"/>
      <w:r w:rsidRPr="0025066B">
        <w:rPr>
          <w:rFonts w:ascii="Times New Roman" w:hAnsi="Times New Roman" w:cs="Times New Roman"/>
          <w:sz w:val="22"/>
          <w:szCs w:val="22"/>
        </w:rPr>
        <w:t>commodities</w:t>
      </w:r>
      <w:proofErr w:type="spellEnd"/>
      <w:r w:rsidRPr="0025066B">
        <w:rPr>
          <w:rFonts w:ascii="Times New Roman" w:hAnsi="Times New Roman" w:cs="Times New Roman"/>
          <w:sz w:val="22"/>
          <w:szCs w:val="22"/>
        </w:rPr>
        <w:t>, así como efectos rezagados del COVID-19, como la crisis de contenedores en los principales puertos de Asia.</w:t>
      </w:r>
    </w:p>
    <w:p w14:paraId="7994E875" w14:textId="77777777" w:rsidR="00475265" w:rsidRPr="0025066B" w:rsidRDefault="00475265" w:rsidP="00475265">
      <w:pPr>
        <w:pStyle w:val="Textodeglobo"/>
        <w:jc w:val="both"/>
        <w:rPr>
          <w:rFonts w:ascii="Times New Roman" w:hAnsi="Times New Roman" w:cs="Times New Roman"/>
          <w:szCs w:val="22"/>
        </w:rPr>
      </w:pPr>
    </w:p>
    <w:p w14:paraId="60A6DABF" w14:textId="77777777" w:rsidR="00475265" w:rsidRPr="0025066B" w:rsidRDefault="00475265" w:rsidP="00475265">
      <w:pPr>
        <w:pStyle w:val="Textodeglobo"/>
        <w:jc w:val="both"/>
        <w:rPr>
          <w:rFonts w:ascii="Times New Roman" w:hAnsi="Times New Roman" w:cs="Times New Roman"/>
          <w:sz w:val="22"/>
          <w:szCs w:val="22"/>
        </w:rPr>
      </w:pPr>
      <w:r w:rsidRPr="0025066B">
        <w:rPr>
          <w:rFonts w:ascii="Times New Roman" w:hAnsi="Times New Roman" w:cs="Times New Roman"/>
          <w:sz w:val="22"/>
          <w:szCs w:val="22"/>
        </w:rPr>
        <w:lastRenderedPageBreak/>
        <w:t xml:space="preserve">Derivado de ello, el gobierno ha adoptado una serie de medidas que se han materializado en ampliaciones presupuestarias, la primera fue la aprobación del Decreto 17-2022 “Ley de Apoyo Social Temporal a los Consumidores de Gas Propano” siendo un apoyo social temporal de los cilindros de gas propano con capacidad de 10, 20, 25 y 35 libras, con el objetivo de beneficiar a la población guatemalteca que consume dicho producto. </w:t>
      </w:r>
    </w:p>
    <w:p w14:paraId="7C22B02B" w14:textId="77777777" w:rsidR="00475265" w:rsidRPr="0025066B" w:rsidRDefault="00475265" w:rsidP="00475265">
      <w:pPr>
        <w:pStyle w:val="Textodeglobo"/>
        <w:jc w:val="both"/>
        <w:rPr>
          <w:rFonts w:ascii="Times New Roman" w:hAnsi="Times New Roman" w:cs="Times New Roman"/>
          <w:sz w:val="22"/>
          <w:szCs w:val="22"/>
        </w:rPr>
      </w:pPr>
    </w:p>
    <w:p w14:paraId="59CD5935" w14:textId="77777777" w:rsidR="00475265" w:rsidRPr="0025066B" w:rsidRDefault="00475265" w:rsidP="00475265">
      <w:pPr>
        <w:pStyle w:val="Textodeglobo"/>
        <w:jc w:val="both"/>
        <w:rPr>
          <w:rFonts w:ascii="Times New Roman" w:hAnsi="Times New Roman" w:cs="Times New Roman"/>
          <w:sz w:val="22"/>
          <w:szCs w:val="22"/>
        </w:rPr>
      </w:pPr>
      <w:r w:rsidRPr="0025066B">
        <w:rPr>
          <w:rFonts w:ascii="Times New Roman" w:hAnsi="Times New Roman" w:cs="Times New Roman"/>
          <w:sz w:val="22"/>
          <w:szCs w:val="22"/>
        </w:rPr>
        <w:t>Este Decreto constituye una extensión del Decreto 15-2021 que tuvo el mismo fin y estuvo vigente por 3 meses.</w:t>
      </w:r>
    </w:p>
    <w:p w14:paraId="35E41C33" w14:textId="77777777" w:rsidR="00475265" w:rsidRPr="0025066B" w:rsidRDefault="00475265" w:rsidP="00475265">
      <w:pPr>
        <w:pStyle w:val="Textodeglobo"/>
        <w:jc w:val="both"/>
        <w:rPr>
          <w:rFonts w:ascii="Times New Roman" w:hAnsi="Times New Roman" w:cs="Times New Roman"/>
          <w:sz w:val="22"/>
          <w:szCs w:val="22"/>
        </w:rPr>
      </w:pPr>
    </w:p>
    <w:p w14:paraId="0B1A911E" w14:textId="77777777" w:rsidR="00475265" w:rsidRPr="0025066B" w:rsidRDefault="00475265" w:rsidP="00475265">
      <w:pPr>
        <w:pStyle w:val="Textodeglobo"/>
        <w:jc w:val="both"/>
        <w:rPr>
          <w:rFonts w:ascii="Times New Roman" w:hAnsi="Times New Roman" w:cs="Times New Roman"/>
          <w:sz w:val="22"/>
          <w:szCs w:val="22"/>
        </w:rPr>
      </w:pPr>
      <w:r w:rsidRPr="0025066B">
        <w:rPr>
          <w:rFonts w:ascii="Times New Roman" w:hAnsi="Times New Roman" w:cs="Times New Roman"/>
          <w:sz w:val="22"/>
          <w:szCs w:val="22"/>
        </w:rPr>
        <w:t xml:space="preserve">En junio nuevamente fue ampliado el subsidio por medio del Decreto 33-2022 que contiene reformas a la “Ley de Apoyo Social Temporal a los Consumidores de Gas Propano” con un costo de Q70 millones adicionales a los Q150 millones aprobados anteriormente. </w:t>
      </w:r>
    </w:p>
    <w:p w14:paraId="153DF568" w14:textId="77777777" w:rsidR="00475265" w:rsidRPr="0025066B" w:rsidRDefault="00475265" w:rsidP="00475265">
      <w:pPr>
        <w:pStyle w:val="Textodeglobo"/>
        <w:jc w:val="both"/>
        <w:rPr>
          <w:rFonts w:ascii="Times New Roman" w:hAnsi="Times New Roman" w:cs="Times New Roman"/>
          <w:sz w:val="22"/>
          <w:szCs w:val="22"/>
        </w:rPr>
      </w:pPr>
      <w:r w:rsidRPr="0025066B">
        <w:rPr>
          <w:rFonts w:ascii="Times New Roman" w:hAnsi="Times New Roman" w:cs="Times New Roman"/>
          <w:sz w:val="22"/>
          <w:szCs w:val="22"/>
        </w:rPr>
        <w:t>El subsidio del gas propano concluyó en agosto, pero en septiembre fue aprobado el Decreto 45-2022 “Ley de Apoyo Social Temporal a los Consumidores de Gas Propano” siendo otorgado por 2 meses más con lo cual se amplió nuevamente el presupuesto por un monto de Q100 millones siendo financiada la medida con recursos de caja y bancos. La medida cobraría vigencia a partir de octubre.</w:t>
      </w:r>
    </w:p>
    <w:p w14:paraId="04FC5187" w14:textId="77777777" w:rsidR="00475265" w:rsidRPr="0025066B" w:rsidRDefault="00475265" w:rsidP="00475265">
      <w:pPr>
        <w:pStyle w:val="Textodeglobo"/>
        <w:jc w:val="both"/>
        <w:rPr>
          <w:rFonts w:ascii="Times New Roman" w:hAnsi="Times New Roman" w:cs="Times New Roman"/>
          <w:sz w:val="18"/>
          <w:szCs w:val="22"/>
        </w:rPr>
      </w:pPr>
    </w:p>
    <w:p w14:paraId="5ED06B1A" w14:textId="77777777" w:rsidR="00475265" w:rsidRPr="0025066B" w:rsidRDefault="00475265" w:rsidP="00475265">
      <w:pPr>
        <w:pStyle w:val="Textodeglobo"/>
        <w:jc w:val="both"/>
        <w:rPr>
          <w:rFonts w:ascii="Times New Roman" w:hAnsi="Times New Roman" w:cs="Times New Roman"/>
          <w:sz w:val="22"/>
          <w:szCs w:val="22"/>
        </w:rPr>
      </w:pPr>
      <w:r w:rsidRPr="0025066B">
        <w:rPr>
          <w:rFonts w:ascii="Times New Roman" w:hAnsi="Times New Roman" w:cs="Times New Roman"/>
          <w:sz w:val="22"/>
          <w:szCs w:val="22"/>
        </w:rPr>
        <w:t>Es importante mencionar que dicha ampliación aún no se computa en los sistemas, por lo cual, al cierre de septiembre aún no se refleja en el presupuesto vigente.</w:t>
      </w:r>
    </w:p>
    <w:p w14:paraId="7CA9B416"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El Ministerio de Energía y Minas, en coordinación con el Ministerio de Economía, verificará la adecuada implementación del apoyo social temporal. </w:t>
      </w:r>
    </w:p>
    <w:p w14:paraId="156EA28F" w14:textId="77777777" w:rsidR="00475265" w:rsidRPr="0025066B" w:rsidRDefault="00475265" w:rsidP="00475265">
      <w:pPr>
        <w:spacing w:after="0" w:line="240" w:lineRule="auto"/>
        <w:jc w:val="both"/>
        <w:rPr>
          <w:rFonts w:ascii="Times New Roman" w:hAnsi="Times New Roman" w:cs="Times New Roman"/>
          <w:sz w:val="18"/>
        </w:rPr>
      </w:pPr>
    </w:p>
    <w:p w14:paraId="505F1773"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La segunda medida adoptada fue la aprobación del Decreto 20-2022 “Ley de Apoyo Social Temporal a los Consumidores de Diésel y Gasolina Regular” el cual es un apoyo social temporal a los consumidores de diésel y de gasolina regular. </w:t>
      </w:r>
    </w:p>
    <w:p w14:paraId="6B1365E6" w14:textId="77777777" w:rsidR="00475265" w:rsidRPr="0025066B" w:rsidRDefault="00475265" w:rsidP="00475265">
      <w:pPr>
        <w:spacing w:after="0" w:line="240" w:lineRule="auto"/>
        <w:jc w:val="both"/>
        <w:rPr>
          <w:rFonts w:ascii="Times New Roman" w:hAnsi="Times New Roman" w:cs="Times New Roman"/>
          <w:sz w:val="18"/>
        </w:rPr>
      </w:pPr>
    </w:p>
    <w:p w14:paraId="62392190"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El apoyo social fue otorgado durante 2 meses, el monto de dicho apoyo fue de Q5.00 por cada galón de diésel y de Q2.50 por cada galón de </w:t>
      </w:r>
      <w:r w:rsidRPr="0025066B">
        <w:rPr>
          <w:rFonts w:ascii="Times New Roman" w:hAnsi="Times New Roman" w:cs="Times New Roman"/>
        </w:rPr>
        <w:t xml:space="preserve">gasolina regular. Para el financiamiento de esta medida fue necesaria la ampliación del presupuesto por el monto de Q745.0 millones, para lo cual se hizo uso de recursos disponibles en </w:t>
      </w:r>
      <w:proofErr w:type="gramStart"/>
      <w:r w:rsidRPr="0025066B">
        <w:rPr>
          <w:rFonts w:ascii="Times New Roman" w:hAnsi="Times New Roman" w:cs="Times New Roman"/>
        </w:rPr>
        <w:t>caja</w:t>
      </w:r>
      <w:proofErr w:type="gramEnd"/>
      <w:r w:rsidRPr="0025066B">
        <w:rPr>
          <w:rFonts w:ascii="Times New Roman" w:hAnsi="Times New Roman" w:cs="Times New Roman"/>
        </w:rPr>
        <w:t xml:space="preserve"> y bancos. </w:t>
      </w:r>
    </w:p>
    <w:p w14:paraId="44C978A3" w14:textId="77777777" w:rsidR="00475265" w:rsidRPr="0025066B" w:rsidRDefault="00475265" w:rsidP="00475265">
      <w:pPr>
        <w:spacing w:after="0" w:line="240" w:lineRule="auto"/>
        <w:jc w:val="both"/>
        <w:rPr>
          <w:rFonts w:ascii="Times New Roman" w:hAnsi="Times New Roman" w:cs="Times New Roman"/>
          <w:sz w:val="18"/>
        </w:rPr>
      </w:pPr>
    </w:p>
    <w:p w14:paraId="0025F191"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No obstante, en mayo fue aprobado el Decreto 28-2022 “Reformas a la Ley de Apoyo Social Temporal a los Consumidores de Diésel y Gasolina Regular Decreto 20-2022” con este decreto se ampliaron los beneficiarios, ya que se cubre a consumidores de diésel y de gasolinas regular y superior, siendo el apoyo otorgado por dos meses más (en total la medida estaría vigente por cuatro meses para consumidores de gasolina regular y diésel, mientras que para consumidores de gasolina superior únicamente por dos meses). </w:t>
      </w:r>
      <w:bookmarkStart w:id="4" w:name="_Hlk105421453"/>
      <w:r w:rsidRPr="0025066B">
        <w:rPr>
          <w:rFonts w:ascii="Times New Roman" w:hAnsi="Times New Roman" w:cs="Times New Roman"/>
        </w:rPr>
        <w:t>A partir del 31 de mayo el apoyo social aumentó pasando a ser de Q7.00 por cada galón de diésel y de Q5.00 por cada galón de gasolina regular y superior.</w:t>
      </w:r>
    </w:p>
    <w:bookmarkEnd w:id="4"/>
    <w:p w14:paraId="4AB0EDD0" w14:textId="77777777" w:rsidR="00475265" w:rsidRPr="0025066B" w:rsidRDefault="00475265" w:rsidP="00475265">
      <w:pPr>
        <w:spacing w:after="0" w:line="240" w:lineRule="auto"/>
        <w:jc w:val="both"/>
        <w:rPr>
          <w:rFonts w:ascii="Times New Roman" w:hAnsi="Times New Roman" w:cs="Times New Roman"/>
          <w:sz w:val="18"/>
        </w:rPr>
      </w:pPr>
    </w:p>
    <w:p w14:paraId="00A02FDE"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Derivado de lo anterior, el presupuesto fue ampliado por un monto de Q2,260 millones (incluye los Q745 millones del decreto 20-2022), siendo la medida financiada con disminución de caja y bancos de recursos del tesoro.</w:t>
      </w:r>
    </w:p>
    <w:p w14:paraId="1C58F758" w14:textId="77777777" w:rsidR="00475265" w:rsidRPr="0025066B" w:rsidRDefault="00475265" w:rsidP="00475265">
      <w:pPr>
        <w:spacing w:after="0" w:line="240" w:lineRule="auto"/>
        <w:jc w:val="both"/>
        <w:rPr>
          <w:rFonts w:ascii="Times New Roman" w:hAnsi="Times New Roman" w:cs="Times New Roman"/>
          <w:sz w:val="18"/>
        </w:rPr>
      </w:pPr>
    </w:p>
    <w:p w14:paraId="1C15BE71" w14:textId="77777777" w:rsidR="00475265" w:rsidRPr="0025066B" w:rsidRDefault="00475265" w:rsidP="00475265">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El subsidio a los combustibles concluyó el 04 de agosto, por lo cual las autoridades tomaron la decisión de ampliar el subsidio únicamente al diésel, siendo aprobado por el Congreso de la República el Decreto 42-2022 “Ley de Apoyo Social Temporal a los Consumidores de Combustible Diésel” teniendo como objeto beneficiar principalmente a los sectores vinculados con la producción y distribución de bienes o productos que han aumentado su precio por el alza de precios internacionales, afectando con ello a la economía de la población. Asimismo, beneficiaria a los prestadores de servicios de transporte de personas. </w:t>
      </w:r>
    </w:p>
    <w:p w14:paraId="0937C15E" w14:textId="77777777" w:rsidR="00475265" w:rsidRPr="0025066B" w:rsidRDefault="00475265" w:rsidP="00475265">
      <w:pPr>
        <w:pStyle w:val="Sinespaciado"/>
        <w:jc w:val="both"/>
        <w:rPr>
          <w:rFonts w:ascii="Times New Roman" w:hAnsi="Times New Roman" w:cs="Times New Roman"/>
          <w:sz w:val="18"/>
          <w:lang w:val="es-MX"/>
        </w:rPr>
      </w:pPr>
    </w:p>
    <w:p w14:paraId="3B01F9D8" w14:textId="77777777" w:rsidR="00475265" w:rsidRPr="0025066B" w:rsidRDefault="00475265" w:rsidP="00475265">
      <w:pPr>
        <w:pStyle w:val="Sinespaciado"/>
        <w:jc w:val="both"/>
        <w:rPr>
          <w:rFonts w:ascii="Times New Roman" w:hAnsi="Times New Roman" w:cs="Times New Roman"/>
          <w:lang w:val="es-MX"/>
        </w:rPr>
      </w:pPr>
      <w:r w:rsidRPr="0025066B">
        <w:rPr>
          <w:rFonts w:ascii="Times New Roman" w:hAnsi="Times New Roman" w:cs="Times New Roman"/>
          <w:lang w:val="es-MX"/>
        </w:rPr>
        <w:t xml:space="preserve">El apoyo social fue de Q5.00 por cada galón de diésel y se otorgará hasta el 30 de septiembre o hasta el momento en que se agote la disponibilidad, el gasto realizado por esta medida no debe exceder los Q400 millones, integrado por el saldo presupuestario que no </w:t>
      </w:r>
      <w:r w:rsidRPr="0025066B">
        <w:rPr>
          <w:rFonts w:ascii="Times New Roman" w:hAnsi="Times New Roman" w:cs="Times New Roman"/>
          <w:lang w:val="es-MX"/>
        </w:rPr>
        <w:lastRenderedPageBreak/>
        <w:t>haya sido utilizado del Decreto 20-2022 y sus reformas “Ley de Apoyo Social Temporal a los consumidores de diésel y gasolina regular”, además de una ampliación presupuestaria por Q200 millones (el cual será financiado con saldos de caja del Decreto 13-2020 “Ley de rescate económico a las familias por los efectos causados por el COVID-19” y 1-2021 “Ley para el Financiamiento y Adquisición de Vacunas Contra el Coronavirus COVID-19”).</w:t>
      </w:r>
    </w:p>
    <w:p w14:paraId="55DAA8A0" w14:textId="77777777" w:rsidR="00475265" w:rsidRPr="0025066B" w:rsidRDefault="00475265" w:rsidP="00475265">
      <w:pPr>
        <w:pStyle w:val="Sinespaciado"/>
        <w:jc w:val="both"/>
        <w:rPr>
          <w:rFonts w:ascii="Times New Roman" w:hAnsi="Times New Roman" w:cs="Times New Roman"/>
          <w:sz w:val="18"/>
          <w:lang w:val="es-MX"/>
        </w:rPr>
      </w:pPr>
    </w:p>
    <w:p w14:paraId="4083D97E" w14:textId="77777777" w:rsidR="00475265" w:rsidRPr="0025066B" w:rsidRDefault="00475265" w:rsidP="00475265">
      <w:pPr>
        <w:pStyle w:val="Textodeglobo"/>
        <w:jc w:val="both"/>
        <w:rPr>
          <w:rFonts w:ascii="Times New Roman" w:hAnsi="Times New Roman" w:cs="Times New Roman"/>
          <w:sz w:val="22"/>
          <w:szCs w:val="22"/>
          <w:lang w:val="es-MX"/>
        </w:rPr>
      </w:pPr>
      <w:r w:rsidRPr="0025066B">
        <w:rPr>
          <w:rFonts w:ascii="Times New Roman" w:hAnsi="Times New Roman" w:cs="Times New Roman"/>
          <w:sz w:val="22"/>
          <w:szCs w:val="22"/>
          <w:lang w:val="es-MX"/>
        </w:rPr>
        <w:t>Es importante mencionar que dicha ampliación aún no se computa en los sistemas, por lo cual al cierre de septiembre aún no se refleja en el presupuesto vigente.</w:t>
      </w:r>
    </w:p>
    <w:p w14:paraId="1D3B88AC" w14:textId="77777777" w:rsidR="00475265" w:rsidRPr="0025066B" w:rsidRDefault="00475265" w:rsidP="00475265">
      <w:pPr>
        <w:spacing w:after="0" w:line="240" w:lineRule="auto"/>
        <w:jc w:val="both"/>
        <w:rPr>
          <w:rFonts w:ascii="Times New Roman" w:hAnsi="Times New Roman" w:cs="Times New Roman"/>
          <w:sz w:val="18"/>
          <w:lang w:val="es-MX"/>
        </w:rPr>
      </w:pPr>
    </w:p>
    <w:p w14:paraId="05DA9B85" w14:textId="0FF6F66B" w:rsidR="00B218D0" w:rsidRPr="00BD5286" w:rsidRDefault="00475265" w:rsidP="00475265">
      <w:pPr>
        <w:pStyle w:val="Textodeglobo"/>
        <w:jc w:val="both"/>
        <w:rPr>
          <w:rFonts w:ascii="Times New Roman" w:hAnsi="Times New Roman" w:cs="Times New Roman"/>
          <w:color w:val="FF0000"/>
          <w:sz w:val="22"/>
          <w:szCs w:val="22"/>
          <w:lang w:val="es-MX"/>
        </w:rPr>
      </w:pPr>
      <w:r w:rsidRPr="0025066B">
        <w:rPr>
          <w:rFonts w:ascii="Times New Roman" w:hAnsi="Times New Roman" w:cs="Times New Roman"/>
          <w:sz w:val="22"/>
          <w:szCs w:val="22"/>
          <w:lang w:val="es-MX"/>
        </w:rPr>
        <w:t xml:space="preserve">Respecto a los receptores del subsidio al gas propano y gasolina regular, superior y diésel, resalta que Zeta Gas y </w:t>
      </w:r>
      <w:proofErr w:type="spellStart"/>
      <w:r w:rsidRPr="0025066B">
        <w:rPr>
          <w:rFonts w:ascii="Times New Roman" w:hAnsi="Times New Roman" w:cs="Times New Roman"/>
          <w:sz w:val="22"/>
          <w:szCs w:val="22"/>
          <w:lang w:val="es-MX"/>
        </w:rPr>
        <w:t>Chevron</w:t>
      </w:r>
      <w:proofErr w:type="spellEnd"/>
      <w:r w:rsidRPr="0025066B">
        <w:rPr>
          <w:rFonts w:ascii="Times New Roman" w:hAnsi="Times New Roman" w:cs="Times New Roman"/>
          <w:sz w:val="22"/>
          <w:szCs w:val="22"/>
          <w:lang w:val="es-MX"/>
        </w:rPr>
        <w:t xml:space="preserve"> son las empresas privadas que más han recibido transferencias por este concepto.</w:t>
      </w:r>
      <w:r w:rsidR="00B218D0" w:rsidRPr="00BD5286">
        <w:rPr>
          <w:rFonts w:ascii="Times New Roman" w:hAnsi="Times New Roman" w:cs="Times New Roman"/>
          <w:color w:val="FF0000"/>
          <w:sz w:val="22"/>
          <w:szCs w:val="22"/>
          <w:lang w:val="es-MX"/>
        </w:rPr>
        <w:t xml:space="preserve"> </w:t>
      </w:r>
    </w:p>
    <w:p w14:paraId="54783542" w14:textId="66F77BFE" w:rsidR="00F01A8C" w:rsidRPr="00475265" w:rsidRDefault="00F01A8C" w:rsidP="00B218D0">
      <w:pPr>
        <w:pStyle w:val="Sinespaciado"/>
        <w:jc w:val="both"/>
        <w:rPr>
          <w:rFonts w:ascii="Times New Roman" w:hAnsi="Times New Roman" w:cs="Times New Roman"/>
          <w:sz w:val="18"/>
          <w:lang w:val="es-MX"/>
        </w:rPr>
      </w:pPr>
    </w:p>
    <w:p w14:paraId="40015C22" w14:textId="77777777" w:rsidR="00B218D0" w:rsidRPr="00475265" w:rsidRDefault="00B218D0" w:rsidP="00B218D0">
      <w:pPr>
        <w:pStyle w:val="Sinespaciado"/>
        <w:jc w:val="center"/>
        <w:rPr>
          <w:rFonts w:ascii="Times New Roman" w:hAnsi="Times New Roman" w:cs="Times New Roman"/>
          <w:b/>
        </w:rPr>
      </w:pPr>
      <w:r w:rsidRPr="00475265">
        <w:rPr>
          <w:rFonts w:ascii="Times New Roman" w:hAnsi="Times New Roman" w:cs="Times New Roman"/>
          <w:b/>
        </w:rPr>
        <w:t>Empresas Privadas Receptoras</w:t>
      </w:r>
    </w:p>
    <w:p w14:paraId="0F3868D5" w14:textId="77777777" w:rsidR="00B218D0" w:rsidRPr="00475265" w:rsidRDefault="00B218D0" w:rsidP="00B218D0">
      <w:pPr>
        <w:pStyle w:val="Sinespaciado"/>
        <w:jc w:val="center"/>
        <w:rPr>
          <w:rFonts w:ascii="Times New Roman" w:hAnsi="Times New Roman" w:cs="Times New Roman"/>
          <w:sz w:val="20"/>
        </w:rPr>
      </w:pPr>
      <w:r w:rsidRPr="00475265">
        <w:rPr>
          <w:rFonts w:ascii="Times New Roman" w:hAnsi="Times New Roman" w:cs="Times New Roman"/>
          <w:sz w:val="20"/>
        </w:rPr>
        <w:t>Cifras en millones de quetzales</w:t>
      </w:r>
    </w:p>
    <w:p w14:paraId="021A7D1D" w14:textId="392A1161" w:rsidR="00B218D0" w:rsidRPr="00475265" w:rsidRDefault="00921E7F" w:rsidP="00B218D0">
      <w:pPr>
        <w:pStyle w:val="Sinespaciado"/>
        <w:jc w:val="center"/>
        <w:rPr>
          <w:rFonts w:ascii="Times New Roman" w:hAnsi="Times New Roman" w:cs="Times New Roman"/>
          <w:sz w:val="14"/>
        </w:rPr>
      </w:pPr>
      <w:r w:rsidRPr="00475265">
        <w:rPr>
          <w:noProof/>
          <w:lang w:eastAsia="es-GT"/>
        </w:rPr>
        <w:drawing>
          <wp:inline distT="0" distB="0" distL="0" distR="0" wp14:anchorId="1DE99061" wp14:editId="2454A06C">
            <wp:extent cx="2580231" cy="970059"/>
            <wp:effectExtent l="0" t="0" r="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81275" cy="970452"/>
                    </a:xfrm>
                    <a:prstGeom prst="rect">
                      <a:avLst/>
                    </a:prstGeom>
                    <a:noFill/>
                    <a:ln>
                      <a:noFill/>
                    </a:ln>
                  </pic:spPr>
                </pic:pic>
              </a:graphicData>
            </a:graphic>
          </wp:inline>
        </w:drawing>
      </w:r>
    </w:p>
    <w:p w14:paraId="343E8A19" w14:textId="06F438BB" w:rsidR="00CE5240" w:rsidRPr="00475265" w:rsidRDefault="00B218D0" w:rsidP="00F01A8C">
      <w:pPr>
        <w:pStyle w:val="Textodeglobo"/>
        <w:jc w:val="both"/>
        <w:rPr>
          <w:rFonts w:ascii="Times New Roman" w:hAnsi="Times New Roman" w:cs="Times New Roman"/>
          <w:sz w:val="14"/>
          <w:szCs w:val="18"/>
        </w:rPr>
      </w:pPr>
      <w:r w:rsidRPr="00475265">
        <w:rPr>
          <w:rFonts w:ascii="Times New Roman" w:hAnsi="Times New Roman" w:cs="Times New Roman"/>
          <w:sz w:val="14"/>
          <w:szCs w:val="18"/>
        </w:rPr>
        <w:t>Fuente: SICOIN</w:t>
      </w:r>
    </w:p>
    <w:p w14:paraId="1C118AEC" w14:textId="77777777" w:rsidR="00E02D18" w:rsidRDefault="00E02D18" w:rsidP="00475265">
      <w:pPr>
        <w:spacing w:after="0" w:line="240" w:lineRule="auto"/>
        <w:jc w:val="both"/>
        <w:rPr>
          <w:rFonts w:ascii="Times New Roman" w:hAnsi="Times New Roman" w:cs="Times New Roman"/>
        </w:rPr>
      </w:pPr>
    </w:p>
    <w:p w14:paraId="5410C089" w14:textId="015103F5"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La tercera medida adoptada fue la aprobación del Decreto 21-2022 “Ley para fortalecer el Mantenimiento y Construcción de Infraestructura Estratégica” siendo el objeto fortalecer el mantenimiento y construcción de infraestructura estratégica, así como la recuperación de la red vial, como un mecanismo de reactivación económica y generación de empleo.  </w:t>
      </w:r>
    </w:p>
    <w:p w14:paraId="21B72882" w14:textId="77777777" w:rsidR="00475265" w:rsidRPr="0025066B" w:rsidRDefault="00475265" w:rsidP="00475265">
      <w:pPr>
        <w:spacing w:after="0" w:line="240" w:lineRule="auto"/>
        <w:jc w:val="both"/>
        <w:rPr>
          <w:rFonts w:ascii="Times New Roman" w:hAnsi="Times New Roman" w:cs="Times New Roman"/>
          <w:sz w:val="18"/>
        </w:rPr>
      </w:pPr>
    </w:p>
    <w:p w14:paraId="0A99BA74"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En junio el Decreto 21-2022 sufrió modificaciones, por medio del Decreto 36-2022, ante la necesidad de reorientar recursos de dicho decreto hasta por un monto de Q400 millones para destinarlos al fortalecimiento del Fondo Emergente, lo cual permitirá mitigar los daños ocasionados por los fenómenos naturales que han afectado al país, por ello el presupuesto del Decreto 21-2022 </w:t>
      </w:r>
      <w:r w:rsidRPr="0025066B">
        <w:rPr>
          <w:rFonts w:ascii="Times New Roman" w:hAnsi="Times New Roman" w:cs="Times New Roman"/>
        </w:rPr>
        <w:t xml:space="preserve">descendió hasta ubicarse en Q2,791.2 millones. </w:t>
      </w:r>
    </w:p>
    <w:p w14:paraId="4692A299" w14:textId="77777777" w:rsidR="00475265" w:rsidRPr="0025066B" w:rsidRDefault="00475265" w:rsidP="00475265">
      <w:pPr>
        <w:spacing w:after="0" w:line="240" w:lineRule="auto"/>
        <w:jc w:val="both"/>
        <w:rPr>
          <w:rFonts w:ascii="Times New Roman" w:hAnsi="Times New Roman" w:cs="Times New Roman"/>
          <w:sz w:val="18"/>
        </w:rPr>
      </w:pPr>
    </w:p>
    <w:p w14:paraId="027492BD" w14:textId="77777777" w:rsidR="00475265" w:rsidRPr="0025066B" w:rsidRDefault="00475265" w:rsidP="00475265">
      <w:pPr>
        <w:spacing w:after="0" w:line="240" w:lineRule="auto"/>
        <w:jc w:val="both"/>
        <w:rPr>
          <w:rFonts w:ascii="Times New Roman" w:hAnsi="Times New Roman" w:cs="Times New Roman"/>
        </w:rPr>
      </w:pPr>
      <w:bookmarkStart w:id="5" w:name="_Hlk115780854"/>
      <w:r w:rsidRPr="0025066B">
        <w:rPr>
          <w:rFonts w:ascii="Times New Roman" w:hAnsi="Times New Roman" w:cs="Times New Roman"/>
        </w:rPr>
        <w:t>La cuarta medida fue la aprobación del Decreto 25-2022 “Ley de Fortalecimiento al Aporte Social de la Tarifa Eléctrica” garantizando recursos de abril a diciembre del 2022, siendo el apoyo social temporal enfocado en usuarios regulados de distribución final de energía eléctrica que consuman mensualmente entre 89 kWh hasta 100 kWh al mes, pagando una tarifa de Q1.00 por kWh. Anteriormente, la tarifa social únicamente aplicaba a rangos de consumo de 1 a 88 kWh, con el nuevo rango de consumo se incorporarían alrededor de 173,176 hogares beneficiados por la tarifa social.</w:t>
      </w:r>
    </w:p>
    <w:p w14:paraId="4D2E1741" w14:textId="77777777" w:rsidR="00475265" w:rsidRPr="0025066B" w:rsidRDefault="00475265" w:rsidP="00475265">
      <w:pPr>
        <w:spacing w:after="0" w:line="240" w:lineRule="auto"/>
        <w:jc w:val="both"/>
        <w:rPr>
          <w:rFonts w:ascii="Times New Roman" w:hAnsi="Times New Roman" w:cs="Times New Roman"/>
          <w:sz w:val="18"/>
        </w:rPr>
      </w:pPr>
      <w:r w:rsidRPr="0025066B">
        <w:rPr>
          <w:rFonts w:ascii="Times New Roman" w:hAnsi="Times New Roman" w:cs="Times New Roman"/>
        </w:rPr>
        <w:t xml:space="preserve">  </w:t>
      </w:r>
    </w:p>
    <w:p w14:paraId="7C3EF41A"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 xml:space="preserve">La medida cuenta con un presupuesto de Q90.0 millones, que estaría siendo financiado con caja y bancos destinado al Instituto Nacional de Electrificación (INDE). </w:t>
      </w:r>
    </w:p>
    <w:p w14:paraId="162771F9" w14:textId="77777777" w:rsidR="00475265" w:rsidRPr="0025066B" w:rsidRDefault="00475265" w:rsidP="00475265">
      <w:pPr>
        <w:spacing w:after="0" w:line="240" w:lineRule="auto"/>
        <w:jc w:val="both"/>
        <w:rPr>
          <w:rFonts w:ascii="Times New Roman" w:hAnsi="Times New Roman" w:cs="Times New Roman"/>
          <w:sz w:val="18"/>
        </w:rPr>
      </w:pPr>
    </w:p>
    <w:p w14:paraId="024C1FEC" w14:textId="77777777" w:rsidR="00475265" w:rsidRPr="0025066B"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No obstante, en agosto fue aprobado el Decreto 43-2022, que contiene “Reformas al Decreto 25-2022, Ley de Fortalecimiento al Aporte Social de la Tarifa Eléctrica”, con lo cual se amplía a los beneficiarios del aporte social a la energía eléctrica al cubrir a los usuarios regulados que consuman entre 101 kWh hasta 125 kWh a partir de la vigencia del decreto hasta el 31 de diciembre del 2022.</w:t>
      </w:r>
    </w:p>
    <w:p w14:paraId="3D7158A2" w14:textId="77777777" w:rsidR="00475265" w:rsidRPr="0025066B" w:rsidRDefault="00475265" w:rsidP="00475265">
      <w:pPr>
        <w:spacing w:after="0" w:line="240" w:lineRule="auto"/>
        <w:jc w:val="both"/>
        <w:rPr>
          <w:rFonts w:ascii="Times New Roman" w:hAnsi="Times New Roman" w:cs="Times New Roman"/>
          <w:sz w:val="18"/>
        </w:rPr>
      </w:pPr>
    </w:p>
    <w:p w14:paraId="406205A9" w14:textId="77777777" w:rsidR="00475265" w:rsidRPr="00475265" w:rsidRDefault="00475265" w:rsidP="00475265">
      <w:pPr>
        <w:spacing w:after="0" w:line="240" w:lineRule="auto"/>
        <w:jc w:val="both"/>
        <w:rPr>
          <w:rFonts w:ascii="Times New Roman" w:hAnsi="Times New Roman" w:cs="Times New Roman"/>
        </w:rPr>
      </w:pPr>
      <w:r w:rsidRPr="0025066B">
        <w:rPr>
          <w:rFonts w:ascii="Times New Roman" w:hAnsi="Times New Roman" w:cs="Times New Roman"/>
        </w:rPr>
        <w:t>Por ello se ampliaría el presupuesto en Q227.5 millones (incluye los Q90 millones del Decreto 25-2022), siendo financiado con recursos de caja.</w:t>
      </w:r>
    </w:p>
    <w:bookmarkEnd w:id="5"/>
    <w:p w14:paraId="0B8007D4" w14:textId="77777777" w:rsidR="00475265" w:rsidRPr="00475265" w:rsidRDefault="00475265" w:rsidP="00475265">
      <w:pPr>
        <w:spacing w:after="0" w:line="240" w:lineRule="auto"/>
        <w:jc w:val="both"/>
        <w:rPr>
          <w:rFonts w:ascii="Times New Roman" w:hAnsi="Times New Roman" w:cs="Times New Roman"/>
        </w:rPr>
      </w:pPr>
      <w:r w:rsidRPr="00475265">
        <w:rPr>
          <w:rFonts w:ascii="Times New Roman" w:hAnsi="Times New Roman" w:cs="Times New Roman"/>
        </w:rPr>
        <w:t xml:space="preserve">Asimismo, se está implementando dentro del MAGA el programa de estipendio por acciones, esta iniciativa busca restaurar las unidades productivas de familias agricultoras de infra subsistencia y subsistencia, afectadas por las tormentas tropicales Eta e Iota en 2020. </w:t>
      </w:r>
    </w:p>
    <w:p w14:paraId="49B904EA" w14:textId="77777777" w:rsidR="00475265" w:rsidRPr="00475265" w:rsidRDefault="00475265" w:rsidP="00475265">
      <w:pPr>
        <w:spacing w:after="0" w:line="240" w:lineRule="auto"/>
        <w:jc w:val="both"/>
        <w:rPr>
          <w:rFonts w:ascii="Times New Roman" w:hAnsi="Times New Roman" w:cs="Times New Roman"/>
          <w:sz w:val="18"/>
        </w:rPr>
      </w:pPr>
    </w:p>
    <w:p w14:paraId="59FE67FD" w14:textId="77777777" w:rsidR="00475265" w:rsidRPr="00475265" w:rsidRDefault="00475265" w:rsidP="00475265">
      <w:pPr>
        <w:pStyle w:val="Sinespaciado"/>
        <w:jc w:val="both"/>
        <w:rPr>
          <w:rFonts w:ascii="Times New Roman" w:hAnsi="Times New Roman" w:cs="Times New Roman"/>
        </w:rPr>
      </w:pPr>
      <w:r w:rsidRPr="00475265">
        <w:rPr>
          <w:rFonts w:ascii="Times New Roman" w:hAnsi="Times New Roman" w:cs="Times New Roman"/>
        </w:rPr>
        <w:t>Las familias beneficiadas realizan diversos trabajos, que luego de verificación por parte del MAGA recibirán el beneficio económico por Q1,000. Esta medida no requiere ampliación presupuestaria, es por medio de readecuaciones presupuestarias.</w:t>
      </w:r>
    </w:p>
    <w:p w14:paraId="0FE82CBB" w14:textId="77777777" w:rsidR="00475265" w:rsidRPr="00475265" w:rsidRDefault="00475265" w:rsidP="00475265">
      <w:pPr>
        <w:pStyle w:val="Sinespaciado"/>
        <w:jc w:val="both"/>
        <w:rPr>
          <w:rFonts w:ascii="Times New Roman" w:hAnsi="Times New Roman" w:cs="Times New Roman"/>
          <w:sz w:val="18"/>
        </w:rPr>
      </w:pPr>
    </w:p>
    <w:p w14:paraId="29F08017" w14:textId="5908B0EA" w:rsidR="00921E7F" w:rsidRPr="00475265" w:rsidRDefault="00475265" w:rsidP="00475265">
      <w:pPr>
        <w:spacing w:after="0" w:line="240" w:lineRule="auto"/>
        <w:jc w:val="both"/>
        <w:rPr>
          <w:rFonts w:ascii="Times New Roman" w:hAnsi="Times New Roman" w:cs="Times New Roman"/>
        </w:rPr>
      </w:pPr>
      <w:r w:rsidRPr="00475265">
        <w:rPr>
          <w:rFonts w:ascii="Times New Roman" w:hAnsi="Times New Roman" w:cs="Times New Roman"/>
        </w:rPr>
        <w:lastRenderedPageBreak/>
        <w:t>Respecto a la ejecución de la totalidad de estas medidas, se han ejecutado Q3,351.2 millones, con un grado de ejecución del 58.8%, de las cuales Q2,193.7 millones corresponden al subsidio a los consumidores de combustibles, Q648.4 millones corresponden a infraestructura estratégica, Q327.7 millones corresponden al subsidio del gas propano, Q90 millones corresponden al aporte social de la tarifa eléctrica y Q91.4 millones, corresponden a los estipendios dados por el MAGA en apoyo a la agricultura familiar para fortalecer la economía campesina.</w:t>
      </w:r>
      <w:r w:rsidR="00921E7F" w:rsidRPr="00475265">
        <w:rPr>
          <w:rFonts w:ascii="Times New Roman" w:hAnsi="Times New Roman" w:cs="Times New Roman"/>
        </w:rPr>
        <w:t xml:space="preserve"> </w:t>
      </w:r>
    </w:p>
    <w:p w14:paraId="5C0F3D43" w14:textId="5B9B7293" w:rsidR="00921E7F" w:rsidRDefault="00921E7F" w:rsidP="00921E7F">
      <w:pPr>
        <w:pStyle w:val="Sinespaciado"/>
        <w:jc w:val="both"/>
        <w:rPr>
          <w:rFonts w:ascii="Times New Roman" w:hAnsi="Times New Roman" w:cs="Times New Roman"/>
        </w:rPr>
      </w:pPr>
    </w:p>
    <w:p w14:paraId="75874AB7" w14:textId="3776F7CF" w:rsidR="00E02D18" w:rsidRDefault="00E02D18" w:rsidP="00921E7F">
      <w:pPr>
        <w:pStyle w:val="Sinespaciado"/>
        <w:jc w:val="both"/>
        <w:rPr>
          <w:rFonts w:ascii="Times New Roman" w:hAnsi="Times New Roman" w:cs="Times New Roman"/>
        </w:rPr>
      </w:pPr>
    </w:p>
    <w:p w14:paraId="6A0D7EC3" w14:textId="3683ACCE" w:rsidR="00E02D18" w:rsidRDefault="00E02D18" w:rsidP="00921E7F">
      <w:pPr>
        <w:pStyle w:val="Sinespaciado"/>
        <w:jc w:val="both"/>
        <w:rPr>
          <w:rFonts w:ascii="Times New Roman" w:hAnsi="Times New Roman" w:cs="Times New Roman"/>
        </w:rPr>
      </w:pPr>
    </w:p>
    <w:p w14:paraId="748927C9" w14:textId="5257D7A0" w:rsidR="00E02D18" w:rsidRDefault="00E02D18" w:rsidP="00921E7F">
      <w:pPr>
        <w:pStyle w:val="Sinespaciado"/>
        <w:jc w:val="both"/>
        <w:rPr>
          <w:rFonts w:ascii="Times New Roman" w:hAnsi="Times New Roman" w:cs="Times New Roman"/>
        </w:rPr>
      </w:pPr>
    </w:p>
    <w:p w14:paraId="0EF7F7E2" w14:textId="782BABE4" w:rsidR="00E02D18" w:rsidRDefault="00E02D18" w:rsidP="00921E7F">
      <w:pPr>
        <w:pStyle w:val="Sinespaciado"/>
        <w:jc w:val="both"/>
        <w:rPr>
          <w:rFonts w:ascii="Times New Roman" w:hAnsi="Times New Roman" w:cs="Times New Roman"/>
        </w:rPr>
      </w:pPr>
    </w:p>
    <w:p w14:paraId="3E6E428A" w14:textId="4C12EDE1" w:rsidR="00E02D18" w:rsidRDefault="00E02D18" w:rsidP="00921E7F">
      <w:pPr>
        <w:pStyle w:val="Sinespaciado"/>
        <w:jc w:val="both"/>
        <w:rPr>
          <w:rFonts w:ascii="Times New Roman" w:hAnsi="Times New Roman" w:cs="Times New Roman"/>
        </w:rPr>
      </w:pPr>
    </w:p>
    <w:p w14:paraId="0D3CB200" w14:textId="1058A2B9" w:rsidR="00E02D18" w:rsidRDefault="00E02D18" w:rsidP="00921E7F">
      <w:pPr>
        <w:pStyle w:val="Sinespaciado"/>
        <w:jc w:val="both"/>
        <w:rPr>
          <w:rFonts w:ascii="Times New Roman" w:hAnsi="Times New Roman" w:cs="Times New Roman"/>
        </w:rPr>
      </w:pPr>
    </w:p>
    <w:p w14:paraId="3911478F" w14:textId="32B40F0F" w:rsidR="00E02D18" w:rsidRDefault="00E02D18" w:rsidP="00921E7F">
      <w:pPr>
        <w:pStyle w:val="Sinespaciado"/>
        <w:jc w:val="both"/>
        <w:rPr>
          <w:rFonts w:ascii="Times New Roman" w:hAnsi="Times New Roman" w:cs="Times New Roman"/>
        </w:rPr>
      </w:pPr>
    </w:p>
    <w:p w14:paraId="40B2870B" w14:textId="77777777" w:rsidR="00E02D18" w:rsidRPr="00475265" w:rsidRDefault="00E02D18" w:rsidP="00921E7F">
      <w:pPr>
        <w:pStyle w:val="Sinespaciado"/>
        <w:jc w:val="both"/>
        <w:rPr>
          <w:rFonts w:ascii="Times New Roman" w:hAnsi="Times New Roman" w:cs="Times New Roman"/>
        </w:rPr>
      </w:pPr>
    </w:p>
    <w:p w14:paraId="56A536F5" w14:textId="77777777" w:rsidR="00921E7F" w:rsidRPr="00475265" w:rsidRDefault="00921E7F" w:rsidP="00921E7F">
      <w:pPr>
        <w:pStyle w:val="Sinespaciado"/>
        <w:jc w:val="center"/>
        <w:rPr>
          <w:rFonts w:ascii="Times New Roman" w:hAnsi="Times New Roman" w:cs="Times New Roman"/>
          <w:b/>
        </w:rPr>
      </w:pPr>
      <w:r w:rsidRPr="00475265">
        <w:rPr>
          <w:rFonts w:ascii="Times New Roman" w:hAnsi="Times New Roman" w:cs="Times New Roman"/>
          <w:b/>
        </w:rPr>
        <w:t>Ejecución de Subsidios y otras actividades</w:t>
      </w:r>
    </w:p>
    <w:p w14:paraId="1B3A378A" w14:textId="77777777" w:rsidR="00921E7F" w:rsidRPr="00475265" w:rsidRDefault="00921E7F" w:rsidP="00921E7F">
      <w:pPr>
        <w:pStyle w:val="Sinespaciado"/>
        <w:jc w:val="center"/>
        <w:rPr>
          <w:rFonts w:ascii="Times New Roman" w:hAnsi="Times New Roman" w:cs="Times New Roman"/>
        </w:rPr>
      </w:pPr>
      <w:r w:rsidRPr="00475265">
        <w:rPr>
          <w:rFonts w:ascii="Times New Roman" w:hAnsi="Times New Roman" w:cs="Times New Roman"/>
          <w:sz w:val="20"/>
          <w:szCs w:val="20"/>
        </w:rPr>
        <w:t>Ejecución al 30 de septiembre de 2022</w:t>
      </w:r>
    </w:p>
    <w:p w14:paraId="23715724" w14:textId="77777777" w:rsidR="00921E7F" w:rsidRPr="00475265" w:rsidRDefault="00921E7F" w:rsidP="00921E7F">
      <w:pPr>
        <w:pStyle w:val="Sinespaciado"/>
        <w:jc w:val="center"/>
        <w:rPr>
          <w:rFonts w:ascii="Times New Roman" w:hAnsi="Times New Roman" w:cs="Times New Roman"/>
          <w:sz w:val="20"/>
        </w:rPr>
      </w:pPr>
      <w:r w:rsidRPr="00475265">
        <w:rPr>
          <w:rFonts w:ascii="Times New Roman" w:hAnsi="Times New Roman" w:cs="Times New Roman"/>
          <w:sz w:val="20"/>
        </w:rPr>
        <w:t>Cifras en millones de quetzales y porcentajes</w:t>
      </w:r>
    </w:p>
    <w:p w14:paraId="4E28C7C9" w14:textId="77777777" w:rsidR="00921E7F" w:rsidRPr="00475265" w:rsidRDefault="00921E7F" w:rsidP="00921E7F">
      <w:pPr>
        <w:pStyle w:val="Sinespaciado"/>
        <w:jc w:val="center"/>
        <w:rPr>
          <w:rFonts w:ascii="Times New Roman" w:hAnsi="Times New Roman" w:cs="Times New Roman"/>
          <w:sz w:val="20"/>
        </w:rPr>
      </w:pPr>
    </w:p>
    <w:p w14:paraId="0D853D58" w14:textId="77777777" w:rsidR="00921E7F" w:rsidRPr="00475265" w:rsidRDefault="00921E7F" w:rsidP="00921E7F">
      <w:pPr>
        <w:pStyle w:val="Sinespaciado"/>
        <w:jc w:val="center"/>
        <w:rPr>
          <w:rFonts w:ascii="Times New Roman" w:hAnsi="Times New Roman" w:cs="Times New Roman"/>
          <w:sz w:val="20"/>
        </w:rPr>
      </w:pPr>
      <w:r w:rsidRPr="00475265">
        <w:rPr>
          <w:rFonts w:ascii="Times New Roman" w:hAnsi="Times New Roman" w:cs="Times New Roman"/>
          <w:noProof/>
          <w:sz w:val="20"/>
          <w:lang w:eastAsia="es-GT"/>
        </w:rPr>
        <w:drawing>
          <wp:inline distT="0" distB="0" distL="0" distR="0" wp14:anchorId="11450835" wp14:editId="20589AD2">
            <wp:extent cx="2676525" cy="2343150"/>
            <wp:effectExtent l="0" t="0" r="0" b="0"/>
            <wp:docPr id="225" name="Gráfico 2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B8F0BD8" w14:textId="77777777" w:rsidR="00921E7F" w:rsidRPr="00475265" w:rsidRDefault="00921E7F" w:rsidP="00921E7F">
      <w:pPr>
        <w:pStyle w:val="Sinespaciado"/>
        <w:jc w:val="both"/>
        <w:rPr>
          <w:rFonts w:ascii="Times New Roman" w:hAnsi="Times New Roman" w:cs="Times New Roman"/>
        </w:rPr>
      </w:pPr>
      <w:r w:rsidRPr="00475265">
        <w:rPr>
          <w:rFonts w:ascii="Times New Roman" w:hAnsi="Times New Roman" w:cs="Times New Roman"/>
          <w:sz w:val="14"/>
          <w:szCs w:val="16"/>
        </w:rPr>
        <w:t>Fuente: Dirección de Análisis y Política Fiscal.</w:t>
      </w:r>
      <w:r w:rsidRPr="00475265">
        <w:rPr>
          <w:rFonts w:ascii="Times New Roman" w:hAnsi="Times New Roman" w:cs="Times New Roman"/>
        </w:rPr>
        <w:t xml:space="preserve"> </w:t>
      </w:r>
    </w:p>
    <w:p w14:paraId="49C6441F" w14:textId="77777777" w:rsidR="00921E7F" w:rsidRPr="00475265" w:rsidRDefault="00921E7F" w:rsidP="00921E7F">
      <w:pPr>
        <w:pStyle w:val="Sinespaciado"/>
        <w:jc w:val="both"/>
        <w:rPr>
          <w:rFonts w:ascii="Times New Roman" w:hAnsi="Times New Roman" w:cs="Times New Roman"/>
          <w:sz w:val="14"/>
          <w:szCs w:val="16"/>
        </w:rPr>
      </w:pPr>
      <w:r w:rsidRPr="00475265">
        <w:rPr>
          <w:rFonts w:ascii="Times New Roman" w:hAnsi="Times New Roman" w:cs="Times New Roman"/>
          <w:sz w:val="14"/>
          <w:szCs w:val="16"/>
        </w:rPr>
        <w:t>*No refleja la ampliación del Decreto 42-2022</w:t>
      </w:r>
    </w:p>
    <w:p w14:paraId="36037595" w14:textId="03B2AC3B" w:rsidR="00921E7F" w:rsidRPr="00E02D18" w:rsidRDefault="00921E7F" w:rsidP="00F01A8C">
      <w:pPr>
        <w:pStyle w:val="Textodeglobo"/>
        <w:jc w:val="both"/>
        <w:rPr>
          <w:rFonts w:ascii="Times New Roman" w:hAnsi="Times New Roman" w:cs="Times New Roman"/>
          <w:sz w:val="14"/>
          <w:szCs w:val="18"/>
        </w:rPr>
      </w:pPr>
      <w:r w:rsidRPr="00475265">
        <w:rPr>
          <w:rFonts w:ascii="Times New Roman" w:hAnsi="Times New Roman" w:cs="Times New Roman"/>
          <w:sz w:val="14"/>
        </w:rPr>
        <w:t>**Refleja la ejecución del Decreto 15-2021 y aun no refleja la ampliación de presupuesto del Decreto 43-2022</w:t>
      </w:r>
    </w:p>
    <w:p w14:paraId="6AD442AB" w14:textId="074FAED8" w:rsidR="00CE5240" w:rsidRPr="00BD5286" w:rsidRDefault="00CE5240" w:rsidP="0071038C">
      <w:pPr>
        <w:pStyle w:val="Sinespaciado"/>
        <w:rPr>
          <w:rFonts w:ascii="Times New Roman" w:hAnsi="Times New Roman" w:cs="Times New Roman"/>
          <w:color w:val="FF0000"/>
          <w:sz w:val="8"/>
          <w:szCs w:val="18"/>
        </w:rPr>
      </w:pPr>
    </w:p>
    <w:p w14:paraId="16F34A58" w14:textId="77777777" w:rsidR="00CE5240" w:rsidRPr="00BD5286" w:rsidRDefault="00CE5240" w:rsidP="0071038C">
      <w:pPr>
        <w:pStyle w:val="Sinespaciado"/>
        <w:rPr>
          <w:rFonts w:ascii="Times New Roman" w:hAnsi="Times New Roman" w:cs="Times New Roman"/>
          <w:color w:val="FF0000"/>
          <w:sz w:val="12"/>
          <w:szCs w:val="18"/>
        </w:rPr>
        <w:sectPr w:rsidR="00CE5240" w:rsidRPr="00BD5286" w:rsidSect="0071038C">
          <w:type w:val="continuous"/>
          <w:pgSz w:w="12240" w:h="15840"/>
          <w:pgMar w:top="1417" w:right="1701" w:bottom="1417" w:left="1701" w:header="708" w:footer="708" w:gutter="0"/>
          <w:cols w:num="2" w:space="708"/>
          <w:docGrid w:linePitch="360"/>
        </w:sectPr>
      </w:pPr>
    </w:p>
    <w:p w14:paraId="4F92611A" w14:textId="77777777" w:rsidR="00776700" w:rsidRPr="00BD5286" w:rsidRDefault="00776700" w:rsidP="00776700">
      <w:pPr>
        <w:pStyle w:val="Sinespaciado"/>
        <w:ind w:right="213"/>
        <w:rPr>
          <w:rFonts w:ascii="Times New Roman" w:hAnsi="Times New Roman" w:cs="Times New Roman"/>
          <w:color w:val="FF0000"/>
          <w:sz w:val="8"/>
        </w:rPr>
      </w:pPr>
    </w:p>
    <w:p w14:paraId="3DA3F17F" w14:textId="77777777" w:rsidR="00776700" w:rsidRPr="00BD5286" w:rsidRDefault="00776700" w:rsidP="00776700">
      <w:pPr>
        <w:spacing w:after="0"/>
        <w:rPr>
          <w:rFonts w:ascii="Times New Roman" w:hAnsi="Times New Roman" w:cs="Times New Roman"/>
          <w:color w:val="FF0000"/>
          <w:sz w:val="14"/>
        </w:rPr>
        <w:sectPr w:rsidR="00776700" w:rsidRPr="00BD5286" w:rsidSect="00960BE9">
          <w:type w:val="continuous"/>
          <w:pgSz w:w="12240" w:h="15840"/>
          <w:pgMar w:top="1417" w:right="1701" w:bottom="1417" w:left="1701" w:header="708" w:footer="708" w:gutter="0"/>
          <w:cols w:space="708"/>
          <w:docGrid w:linePitch="360"/>
        </w:sectPr>
      </w:pPr>
    </w:p>
    <w:p w14:paraId="557460D0" w14:textId="71519C1B" w:rsidR="008E00B7" w:rsidRPr="00475265" w:rsidRDefault="00201813" w:rsidP="00013059">
      <w:pPr>
        <w:pStyle w:val="Sinespaciado"/>
        <w:shd w:val="clear" w:color="auto" w:fill="44546A" w:themeFill="text2"/>
        <w:ind w:right="-376" w:hanging="426"/>
        <w:jc w:val="center"/>
        <w:rPr>
          <w:rFonts w:ascii="Times New Roman" w:hAnsi="Times New Roman" w:cs="Times New Roman"/>
          <w:b/>
          <w:color w:val="FFFFFF" w:themeColor="background1"/>
          <w:sz w:val="24"/>
          <w:szCs w:val="24"/>
        </w:rPr>
      </w:pPr>
      <w:r w:rsidRPr="00475265">
        <w:rPr>
          <w:rFonts w:ascii="Times New Roman" w:hAnsi="Times New Roman" w:cs="Times New Roman"/>
          <w:b/>
          <w:color w:val="FFFFFF" w:themeColor="background1"/>
          <w:sz w:val="24"/>
          <w:szCs w:val="24"/>
        </w:rPr>
        <w:t>Ambiente macroeconómico</w:t>
      </w:r>
      <w:r w:rsidR="00776700" w:rsidRPr="00475265">
        <w:rPr>
          <w:rFonts w:ascii="Times New Roman" w:hAnsi="Times New Roman" w:cs="Times New Roman"/>
          <w:b/>
          <w:color w:val="FFFFFF" w:themeColor="background1"/>
          <w:sz w:val="24"/>
          <w:szCs w:val="24"/>
        </w:rPr>
        <w:t xml:space="preserve"> (externo e interno)</w:t>
      </w:r>
    </w:p>
    <w:p w14:paraId="6CB2F6EF" w14:textId="77777777" w:rsidR="00776700" w:rsidRPr="00BD5286" w:rsidRDefault="00776700" w:rsidP="00C76B98">
      <w:pPr>
        <w:pStyle w:val="Sinespaciado"/>
        <w:rPr>
          <w:rFonts w:ascii="Times New Roman" w:hAnsi="Times New Roman" w:cs="Times New Roman"/>
          <w:color w:val="FF0000"/>
          <w:sz w:val="18"/>
          <w:szCs w:val="18"/>
        </w:rPr>
      </w:pPr>
    </w:p>
    <w:p w14:paraId="28B813D4" w14:textId="77777777" w:rsidR="00776700" w:rsidRPr="00BD5286" w:rsidRDefault="00776700" w:rsidP="00776700">
      <w:pPr>
        <w:spacing w:after="0"/>
        <w:rPr>
          <w:rFonts w:ascii="Times New Roman" w:hAnsi="Times New Roman" w:cs="Times New Roman"/>
          <w:color w:val="FF0000"/>
          <w:sz w:val="18"/>
        </w:rPr>
        <w:sectPr w:rsidR="00776700" w:rsidRPr="00BD5286" w:rsidSect="00960BE9">
          <w:headerReference w:type="default" r:id="rId45"/>
          <w:footerReference w:type="default" r:id="rId46"/>
          <w:type w:val="continuous"/>
          <w:pgSz w:w="12240" w:h="15840"/>
          <w:pgMar w:top="1417" w:right="1701" w:bottom="1417" w:left="1701" w:header="708" w:footer="708" w:gutter="0"/>
          <w:cols w:space="708"/>
          <w:docGrid w:linePitch="360"/>
        </w:sectPr>
      </w:pPr>
    </w:p>
    <w:p w14:paraId="7012E521" w14:textId="7072E821" w:rsidR="00FC0ED3" w:rsidRPr="00475265" w:rsidRDefault="00DC74EB" w:rsidP="00993EED">
      <w:pPr>
        <w:pStyle w:val="Textodeglobo"/>
        <w:jc w:val="both"/>
        <w:rPr>
          <w:rFonts w:ascii="Times New Roman" w:hAnsi="Times New Roman" w:cs="Times New Roman"/>
          <w:sz w:val="22"/>
          <w:szCs w:val="22"/>
        </w:rPr>
      </w:pPr>
      <w:r w:rsidRPr="00475265">
        <w:rPr>
          <w:rFonts w:ascii="Times New Roman" w:hAnsi="Times New Roman" w:cs="Times New Roman"/>
          <w:sz w:val="22"/>
          <w:szCs w:val="22"/>
        </w:rPr>
        <w:t xml:space="preserve">Entre lo más relevante acontecido en </w:t>
      </w:r>
      <w:r w:rsidR="00AF0DA2" w:rsidRPr="00475265">
        <w:rPr>
          <w:rFonts w:ascii="Times New Roman" w:hAnsi="Times New Roman" w:cs="Times New Roman"/>
          <w:sz w:val="22"/>
          <w:szCs w:val="22"/>
        </w:rPr>
        <w:t>el ámbito económico mundial</w:t>
      </w:r>
      <w:r w:rsidRPr="00475265">
        <w:rPr>
          <w:rFonts w:ascii="Times New Roman" w:hAnsi="Times New Roman" w:cs="Times New Roman"/>
          <w:sz w:val="22"/>
          <w:szCs w:val="22"/>
        </w:rPr>
        <w:t xml:space="preserve"> se destaca la</w:t>
      </w:r>
      <w:r w:rsidR="0022584C" w:rsidRPr="00475265">
        <w:rPr>
          <w:rFonts w:ascii="Times New Roman" w:hAnsi="Times New Roman" w:cs="Times New Roman"/>
          <w:sz w:val="22"/>
          <w:szCs w:val="22"/>
        </w:rPr>
        <w:t xml:space="preserve"> publicación de las nuevas proyecciones</w:t>
      </w:r>
      <w:r w:rsidRPr="00475265">
        <w:rPr>
          <w:rFonts w:ascii="Times New Roman" w:hAnsi="Times New Roman" w:cs="Times New Roman"/>
          <w:sz w:val="22"/>
          <w:szCs w:val="22"/>
        </w:rPr>
        <w:t xml:space="preserve"> </w:t>
      </w:r>
      <w:r w:rsidR="0022584C" w:rsidRPr="00475265">
        <w:rPr>
          <w:rFonts w:ascii="Times New Roman" w:hAnsi="Times New Roman" w:cs="Times New Roman"/>
          <w:sz w:val="22"/>
          <w:szCs w:val="22"/>
        </w:rPr>
        <w:t>de la Organización Mundial del Comercio (OMC),</w:t>
      </w:r>
      <w:r w:rsidR="00170115" w:rsidRPr="00475265">
        <w:rPr>
          <w:rFonts w:ascii="Times New Roman" w:hAnsi="Times New Roman" w:cs="Times New Roman"/>
          <w:sz w:val="22"/>
          <w:szCs w:val="22"/>
        </w:rPr>
        <w:t xml:space="preserve"> </w:t>
      </w:r>
      <w:r w:rsidR="0022584C" w:rsidRPr="00475265">
        <w:rPr>
          <w:rFonts w:ascii="Times New Roman" w:hAnsi="Times New Roman" w:cs="Times New Roman"/>
          <w:sz w:val="22"/>
          <w:szCs w:val="22"/>
        </w:rPr>
        <w:t>en donde indica que el PIB mundial a tipos de cambio del mercado crecerá un 2.8% en 2022 y un 2.3% en 2023, resultando una disminución de un punto porcentual respecto de la estimación anterior, publicada poco después del comienzo de la invasión de Ucrania, que resultó demasiado optimista ya que los precios de la energía aumentaron más de lo esperado, la inflación se ha vuelto más amplia y la guerra no parece terminar en el corto plazo.  Los economistas de la OMC prevén que los volúmenes del comercio mundial de mercancías crecerán 3.5% en 2022, superior al 3% estimado en abril</w:t>
      </w:r>
      <w:r w:rsidR="003E3201" w:rsidRPr="00475265">
        <w:rPr>
          <w:rFonts w:ascii="Times New Roman" w:hAnsi="Times New Roman" w:cs="Times New Roman"/>
          <w:sz w:val="22"/>
          <w:szCs w:val="22"/>
        </w:rPr>
        <w:t xml:space="preserve"> y para 2023 anticipan un aumento del 1%, lo que representa una brusca caída respecto del 3.4% previsto anteriormente.</w:t>
      </w:r>
    </w:p>
    <w:p w14:paraId="4EE42C3D" w14:textId="626A7EA4" w:rsidR="00697BAE" w:rsidRPr="00475265" w:rsidRDefault="00697BAE" w:rsidP="00993EED">
      <w:pPr>
        <w:pStyle w:val="Textodeglobo"/>
        <w:jc w:val="both"/>
        <w:rPr>
          <w:rFonts w:ascii="Times New Roman" w:hAnsi="Times New Roman" w:cs="Times New Roman"/>
          <w:sz w:val="18"/>
          <w:szCs w:val="22"/>
        </w:rPr>
      </w:pPr>
    </w:p>
    <w:p w14:paraId="412A70AE" w14:textId="06171E89" w:rsidR="00B1655A" w:rsidRPr="00475265" w:rsidRDefault="00B1655A" w:rsidP="00993EED">
      <w:pPr>
        <w:pStyle w:val="Textodeglobo"/>
        <w:jc w:val="both"/>
        <w:rPr>
          <w:rFonts w:ascii="Times New Roman" w:hAnsi="Times New Roman" w:cs="Times New Roman"/>
          <w:sz w:val="22"/>
          <w:szCs w:val="22"/>
        </w:rPr>
      </w:pPr>
      <w:r w:rsidRPr="00475265">
        <w:rPr>
          <w:rFonts w:ascii="Times New Roman" w:hAnsi="Times New Roman" w:cs="Times New Roman"/>
          <w:sz w:val="22"/>
          <w:szCs w:val="22"/>
        </w:rPr>
        <w:t xml:space="preserve">El Fondo Monetario Internacional espera un crecimiento de 3.2% para 2022 y de 2.9% para 2023, mientras los bancos centrales de todo el mundo elevan las tasas de interés con la esperanza de controlar la inflación.  La </w:t>
      </w:r>
      <w:r w:rsidRPr="00475265">
        <w:rPr>
          <w:rFonts w:ascii="Times New Roman" w:hAnsi="Times New Roman" w:cs="Times New Roman"/>
          <w:sz w:val="22"/>
          <w:szCs w:val="22"/>
        </w:rPr>
        <w:t>directora gerente del FMI indicó que la reducción en sus previsiones de crecimiento económico mundial para 2023, estima una contracción de 4 billones de dólares hasta 2026. También indicó que los riesgos de recesión están aumentando</w:t>
      </w:r>
      <w:r w:rsidR="00A412E3" w:rsidRPr="00475265">
        <w:rPr>
          <w:rFonts w:ascii="Times New Roman" w:hAnsi="Times New Roman" w:cs="Times New Roman"/>
          <w:sz w:val="22"/>
          <w:szCs w:val="22"/>
        </w:rPr>
        <w:t xml:space="preserve"> y</w:t>
      </w:r>
      <w:r w:rsidRPr="00475265">
        <w:rPr>
          <w:rFonts w:ascii="Times New Roman" w:hAnsi="Times New Roman" w:cs="Times New Roman"/>
          <w:sz w:val="22"/>
          <w:szCs w:val="22"/>
        </w:rPr>
        <w:t xml:space="preserve"> que el FMI estima que los países que constituyen un tercio de la economía mundial experimentarán al menos dos trimestres consecutivos de contracción económica este o el próximo año.</w:t>
      </w:r>
      <w:r w:rsidR="00A412E3" w:rsidRPr="00475265">
        <w:rPr>
          <w:rFonts w:ascii="Times New Roman" w:hAnsi="Times New Roman" w:cs="Times New Roman"/>
          <w:sz w:val="22"/>
          <w:szCs w:val="22"/>
        </w:rPr>
        <w:t xml:space="preserve">  Por su parte, la Organización para la Cooperación y el Desarrollo Económicos estimó en septiembre que la economía mundial perderá 2.8 billones de dólares en producción en 2023 debido a la guerra en Ucrania.</w:t>
      </w:r>
    </w:p>
    <w:p w14:paraId="0167C995" w14:textId="77777777" w:rsidR="00B1655A" w:rsidRPr="00475265" w:rsidRDefault="00B1655A" w:rsidP="00993EED">
      <w:pPr>
        <w:pStyle w:val="Textodeglobo"/>
        <w:jc w:val="both"/>
        <w:rPr>
          <w:rFonts w:ascii="Times New Roman" w:hAnsi="Times New Roman" w:cs="Times New Roman"/>
          <w:sz w:val="18"/>
          <w:szCs w:val="22"/>
        </w:rPr>
      </w:pPr>
    </w:p>
    <w:p w14:paraId="17763151" w14:textId="169F896D" w:rsidR="003E3201" w:rsidRPr="00475265" w:rsidRDefault="003E3201" w:rsidP="00993EED">
      <w:pPr>
        <w:pStyle w:val="Textodeglobo"/>
        <w:jc w:val="both"/>
        <w:rPr>
          <w:rFonts w:ascii="Times New Roman" w:hAnsi="Times New Roman" w:cs="Times New Roman"/>
          <w:sz w:val="22"/>
          <w:szCs w:val="22"/>
        </w:rPr>
      </w:pPr>
      <w:r w:rsidRPr="00475265">
        <w:rPr>
          <w:rFonts w:ascii="Times New Roman" w:hAnsi="Times New Roman" w:cs="Times New Roman"/>
          <w:sz w:val="22"/>
          <w:szCs w:val="22"/>
        </w:rPr>
        <w:t xml:space="preserve">En Estados Unidos, septiembre fue un mes de fuertes pérdidas para la mayoría de los mercados financieros, principalmente por la vigente expectativa de que los bancos centrales, principalmente la Reserva Federal, seguirán adoptando una postura monetaria restrictiva para combatir la inflación, incluso si esto implica un mayor riesgo de recesión.  El índice ISM de manufactura, que es considerado un termómetro del comportamiento de la actividad económica del </w:t>
      </w:r>
      <w:r w:rsidRPr="00475265">
        <w:rPr>
          <w:rFonts w:ascii="Times New Roman" w:hAnsi="Times New Roman" w:cs="Times New Roman"/>
          <w:sz w:val="22"/>
          <w:szCs w:val="22"/>
        </w:rPr>
        <w:lastRenderedPageBreak/>
        <w:t>sector privado correspondiente a septiembre, mostró una caída de 52.8 a 50.9 puntos, muy por debajo de las expectativas del mercado y su menor nivel desde mayo del 2020.</w:t>
      </w:r>
      <w:r w:rsidR="007D4ABC" w:rsidRPr="00475265">
        <w:rPr>
          <w:rFonts w:ascii="Times New Roman" w:hAnsi="Times New Roman" w:cs="Times New Roman"/>
          <w:sz w:val="22"/>
          <w:szCs w:val="22"/>
        </w:rPr>
        <w:t xml:space="preserve">  Por su parte, las solicitudes iniciales de subsidios por desempleo aumentaron en 29,000 a 219,000 la última semana de septiembre, según datos del Departamento del Trabajo, mismo que reveló que las ofertas denotan cierto debilitamiento en las condiciones del mercado laboral, ya que en agosto marcó la mayor baja desde la pandemia.</w:t>
      </w:r>
    </w:p>
    <w:p w14:paraId="29E4BC91" w14:textId="296BF0B3" w:rsidR="00B1655A" w:rsidRPr="00475265" w:rsidRDefault="00B1655A" w:rsidP="00993EED">
      <w:pPr>
        <w:pStyle w:val="Textodeglobo"/>
        <w:jc w:val="both"/>
        <w:rPr>
          <w:rFonts w:ascii="Times New Roman" w:hAnsi="Times New Roman" w:cs="Times New Roman"/>
          <w:sz w:val="18"/>
          <w:szCs w:val="22"/>
        </w:rPr>
      </w:pPr>
    </w:p>
    <w:p w14:paraId="5E2F14E8" w14:textId="7175B85B" w:rsidR="00D43859" w:rsidRPr="00475265" w:rsidRDefault="00AF0DA2" w:rsidP="00AF0DA2">
      <w:pPr>
        <w:pStyle w:val="Textodeglobo"/>
        <w:jc w:val="both"/>
        <w:rPr>
          <w:rFonts w:ascii="Times New Roman" w:hAnsi="Times New Roman" w:cs="Times New Roman"/>
          <w:sz w:val="22"/>
          <w:szCs w:val="22"/>
        </w:rPr>
      </w:pPr>
      <w:r w:rsidRPr="00475265">
        <w:rPr>
          <w:rFonts w:ascii="Times New Roman" w:hAnsi="Times New Roman" w:cs="Times New Roman"/>
          <w:sz w:val="22"/>
          <w:szCs w:val="22"/>
        </w:rPr>
        <w:t xml:space="preserve">En Europa, </w:t>
      </w:r>
      <w:r w:rsidR="007D4ABC" w:rsidRPr="00475265">
        <w:rPr>
          <w:rFonts w:ascii="Times New Roman" w:hAnsi="Times New Roman" w:cs="Times New Roman"/>
          <w:sz w:val="22"/>
          <w:szCs w:val="22"/>
        </w:rPr>
        <w:t xml:space="preserve">la actividad de las empresas retrocedió a su nivel más bajo en 20 meses, registrando en septiembre 48.1 puntos, por debajo de 50 puntos que se considera que la actividad recesiva. Dicho resultado se atribuye al encarecimiento de los costes de la energía, la inflación y la contracción de la demanda, y se suma la incertidumbre por miedo a una recesión. Esto, según los profesionales que elaboran el índice PMI, hace que la confianza empresarial se desplome en septiembre hasta niveles similares a los de la primera ola de </w:t>
      </w:r>
      <w:proofErr w:type="spellStart"/>
      <w:r w:rsidR="007D4ABC" w:rsidRPr="00475265">
        <w:rPr>
          <w:rFonts w:ascii="Times New Roman" w:hAnsi="Times New Roman" w:cs="Times New Roman"/>
          <w:sz w:val="22"/>
          <w:szCs w:val="22"/>
        </w:rPr>
        <w:t>Covid</w:t>
      </w:r>
      <w:proofErr w:type="spellEnd"/>
      <w:r w:rsidR="007D4ABC" w:rsidRPr="00475265">
        <w:rPr>
          <w:rFonts w:ascii="Times New Roman" w:hAnsi="Times New Roman" w:cs="Times New Roman"/>
          <w:sz w:val="22"/>
          <w:szCs w:val="22"/>
        </w:rPr>
        <w:t xml:space="preserve"> en 2020.</w:t>
      </w:r>
    </w:p>
    <w:p w14:paraId="7A61DE32" w14:textId="5E7A5DB5" w:rsidR="00004F98" w:rsidRPr="00475265" w:rsidRDefault="00004F98" w:rsidP="00FC0ED3">
      <w:pPr>
        <w:pStyle w:val="Textodeglobo"/>
        <w:jc w:val="both"/>
        <w:rPr>
          <w:rFonts w:ascii="Times New Roman" w:hAnsi="Times New Roman" w:cs="Times New Roman"/>
          <w:szCs w:val="22"/>
        </w:rPr>
      </w:pPr>
    </w:p>
    <w:p w14:paraId="2622C373" w14:textId="08FD2FAC" w:rsidR="00697BAE" w:rsidRPr="00475265" w:rsidRDefault="00697BAE" w:rsidP="00FC0ED3">
      <w:pPr>
        <w:pStyle w:val="Textodeglobo"/>
        <w:jc w:val="both"/>
        <w:rPr>
          <w:rFonts w:ascii="Times New Roman" w:hAnsi="Times New Roman" w:cs="Times New Roman"/>
          <w:sz w:val="22"/>
          <w:szCs w:val="22"/>
        </w:rPr>
      </w:pPr>
      <w:r w:rsidRPr="00475265">
        <w:rPr>
          <w:rFonts w:ascii="Times New Roman" w:hAnsi="Times New Roman" w:cs="Times New Roman"/>
          <w:sz w:val="22"/>
          <w:szCs w:val="22"/>
        </w:rPr>
        <w:t xml:space="preserve">En Japón, los datos definitivos del crecimiento del PIB del segundo trimestre registraron crecimiento de 0.9% </w:t>
      </w:r>
      <w:proofErr w:type="spellStart"/>
      <w:r w:rsidRPr="00475265">
        <w:rPr>
          <w:rFonts w:ascii="Times New Roman" w:hAnsi="Times New Roman" w:cs="Times New Roman"/>
          <w:sz w:val="22"/>
          <w:szCs w:val="22"/>
        </w:rPr>
        <w:t>intertrimestral</w:t>
      </w:r>
      <w:proofErr w:type="spellEnd"/>
      <w:r w:rsidRPr="00475265">
        <w:rPr>
          <w:rFonts w:ascii="Times New Roman" w:hAnsi="Times New Roman" w:cs="Times New Roman"/>
          <w:sz w:val="22"/>
          <w:szCs w:val="22"/>
        </w:rPr>
        <w:t xml:space="preserve"> frente al 0.7% previsto y al 0.5% previo y un 3.5% interanual, frente al 2.9% estimado y al 2.2% anterior.  De entre las revisiones más favorables la inversión se llevó la mayor parte, pero el consumo privado, el gasto público, las existencias y las exportaciones netas fueron más fuertes de lo que se estimó en un principio.</w:t>
      </w:r>
    </w:p>
    <w:p w14:paraId="4C2625A3" w14:textId="669E366A" w:rsidR="00421C7D" w:rsidRPr="00475265" w:rsidRDefault="00421C7D" w:rsidP="00FC0ED3">
      <w:pPr>
        <w:pStyle w:val="Textodeglobo"/>
        <w:jc w:val="both"/>
        <w:rPr>
          <w:rFonts w:ascii="Times New Roman" w:hAnsi="Times New Roman" w:cs="Times New Roman"/>
          <w:sz w:val="18"/>
          <w:szCs w:val="22"/>
        </w:rPr>
      </w:pPr>
    </w:p>
    <w:p w14:paraId="3D806DA8" w14:textId="6AFF86E1" w:rsidR="00B1655A" w:rsidRPr="00475265" w:rsidRDefault="00597915" w:rsidP="00FC0ED3">
      <w:pPr>
        <w:pStyle w:val="Textodeglobo"/>
        <w:jc w:val="both"/>
        <w:rPr>
          <w:rFonts w:ascii="Times New Roman" w:hAnsi="Times New Roman" w:cs="Times New Roman"/>
          <w:sz w:val="22"/>
          <w:szCs w:val="22"/>
        </w:rPr>
      </w:pPr>
      <w:r w:rsidRPr="00475265">
        <w:rPr>
          <w:rFonts w:ascii="Times New Roman" w:hAnsi="Times New Roman" w:cs="Times New Roman"/>
          <w:sz w:val="22"/>
          <w:szCs w:val="22"/>
        </w:rPr>
        <w:t xml:space="preserve">El Banco Mundial </w:t>
      </w:r>
      <w:r w:rsidR="0055579D" w:rsidRPr="00475265">
        <w:rPr>
          <w:rFonts w:ascii="Times New Roman" w:hAnsi="Times New Roman" w:cs="Times New Roman"/>
          <w:sz w:val="22"/>
          <w:szCs w:val="22"/>
        </w:rPr>
        <w:t xml:space="preserve">actualizó su pronóstico de crecimiento para América Latina y el Caribe, ubicando el PIB para 2022 en 3%, indicando que, aunque recuperaron sus niveles prepandemia en lo que va del año, el aumento de la inflación, las altas tasas de interés, la incertidumbre derivada por la ofensiva rusa en Ucrania amenaza con nublar el horizonte económico de la región los próximos dos años. También resaltó que, por ahora, el alza general </w:t>
      </w:r>
      <w:r w:rsidR="0055579D" w:rsidRPr="00475265">
        <w:rPr>
          <w:rFonts w:ascii="Times New Roman" w:hAnsi="Times New Roman" w:cs="Times New Roman"/>
          <w:sz w:val="22"/>
          <w:szCs w:val="22"/>
        </w:rPr>
        <w:t xml:space="preserve">de los precios de las materias primas ha sido una oportunidad para exportadores regionales como Argentina, Brasil, Chile, Colombia, Ecuador y Perú. No obstante, se prevé que los costes de las materias primas desciendan un 10% el año próximo. </w:t>
      </w:r>
    </w:p>
    <w:p w14:paraId="67E64545" w14:textId="77777777" w:rsidR="00A412E3" w:rsidRPr="00475265" w:rsidRDefault="00A412E3" w:rsidP="00FC0ED3">
      <w:pPr>
        <w:pStyle w:val="Textodeglobo"/>
        <w:jc w:val="both"/>
        <w:rPr>
          <w:rFonts w:ascii="Times New Roman" w:hAnsi="Times New Roman" w:cs="Times New Roman"/>
          <w:sz w:val="22"/>
          <w:szCs w:val="22"/>
        </w:rPr>
      </w:pPr>
    </w:p>
    <w:p w14:paraId="265E9B74" w14:textId="5FB8B823" w:rsidR="001761C9" w:rsidRPr="00475265" w:rsidRDefault="00086FED" w:rsidP="00086FED">
      <w:pPr>
        <w:pStyle w:val="Textodeglobo"/>
        <w:jc w:val="center"/>
        <w:rPr>
          <w:rFonts w:ascii="Times New Roman" w:hAnsi="Times New Roman" w:cs="Times New Roman"/>
          <w:b/>
          <w:sz w:val="22"/>
          <w:szCs w:val="22"/>
        </w:rPr>
      </w:pPr>
      <w:r w:rsidRPr="00475265">
        <w:rPr>
          <w:rFonts w:ascii="Times New Roman" w:hAnsi="Times New Roman" w:cs="Times New Roman"/>
          <w:b/>
          <w:sz w:val="22"/>
          <w:szCs w:val="22"/>
        </w:rPr>
        <w:t>Perspectivas de crecimiento del PIB para Latinoamérica y el Caribe</w:t>
      </w:r>
    </w:p>
    <w:p w14:paraId="15CA5EED" w14:textId="4C7CF3B3" w:rsidR="001761C9" w:rsidRPr="00475265" w:rsidRDefault="00086FED" w:rsidP="00FC0ED3">
      <w:pPr>
        <w:pStyle w:val="Textodeglobo"/>
        <w:jc w:val="both"/>
        <w:rPr>
          <w:rFonts w:ascii="Times New Roman" w:hAnsi="Times New Roman" w:cs="Times New Roman"/>
          <w:sz w:val="22"/>
          <w:szCs w:val="22"/>
        </w:rPr>
      </w:pPr>
      <w:r w:rsidRPr="00475265">
        <w:rPr>
          <w:noProof/>
          <w:lang w:eastAsia="es-GT"/>
        </w:rPr>
        <w:drawing>
          <wp:anchor distT="0" distB="0" distL="114300" distR="114300" simplePos="0" relativeHeight="251898880" behindDoc="0" locked="0" layoutInCell="1" allowOverlap="1" wp14:anchorId="420157A4" wp14:editId="578CC794">
            <wp:simplePos x="0" y="0"/>
            <wp:positionH relativeFrom="column">
              <wp:posOffset>-1833</wp:posOffset>
            </wp:positionH>
            <wp:positionV relativeFrom="paragraph">
              <wp:posOffset>51435</wp:posOffset>
            </wp:positionV>
            <wp:extent cx="2389505" cy="3278038"/>
            <wp:effectExtent l="0" t="0" r="0" b="0"/>
            <wp:wrapNone/>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p>
    <w:p w14:paraId="2FF2E155" w14:textId="6E0B7DB3" w:rsidR="001761C9" w:rsidRPr="00475265" w:rsidRDefault="001761C9" w:rsidP="00FC0ED3">
      <w:pPr>
        <w:pStyle w:val="Textodeglobo"/>
        <w:jc w:val="both"/>
        <w:rPr>
          <w:rFonts w:ascii="Times New Roman" w:hAnsi="Times New Roman" w:cs="Times New Roman"/>
          <w:sz w:val="22"/>
          <w:szCs w:val="22"/>
        </w:rPr>
      </w:pPr>
    </w:p>
    <w:p w14:paraId="34CC154A" w14:textId="704C1E57" w:rsidR="001761C9" w:rsidRPr="00475265" w:rsidRDefault="001761C9" w:rsidP="00FC0ED3">
      <w:pPr>
        <w:pStyle w:val="Textodeglobo"/>
        <w:jc w:val="both"/>
        <w:rPr>
          <w:rFonts w:ascii="Times New Roman" w:hAnsi="Times New Roman" w:cs="Times New Roman"/>
          <w:sz w:val="22"/>
          <w:szCs w:val="22"/>
        </w:rPr>
      </w:pPr>
    </w:p>
    <w:p w14:paraId="7EA17B5E" w14:textId="0E5B28EB" w:rsidR="001761C9" w:rsidRPr="00475265" w:rsidRDefault="001761C9" w:rsidP="00FC0ED3">
      <w:pPr>
        <w:pStyle w:val="Textodeglobo"/>
        <w:jc w:val="both"/>
        <w:rPr>
          <w:rFonts w:ascii="Times New Roman" w:hAnsi="Times New Roman" w:cs="Times New Roman"/>
          <w:sz w:val="22"/>
          <w:szCs w:val="22"/>
        </w:rPr>
      </w:pPr>
    </w:p>
    <w:p w14:paraId="53497920" w14:textId="20D78A6B" w:rsidR="001761C9" w:rsidRPr="00475265" w:rsidRDefault="001761C9" w:rsidP="00FC0ED3">
      <w:pPr>
        <w:pStyle w:val="Textodeglobo"/>
        <w:jc w:val="both"/>
        <w:rPr>
          <w:rFonts w:ascii="Times New Roman" w:hAnsi="Times New Roman" w:cs="Times New Roman"/>
          <w:sz w:val="22"/>
          <w:szCs w:val="22"/>
        </w:rPr>
      </w:pPr>
    </w:p>
    <w:p w14:paraId="5F4D2690" w14:textId="007F0AEC" w:rsidR="001761C9" w:rsidRPr="00475265" w:rsidRDefault="001761C9" w:rsidP="00FC0ED3">
      <w:pPr>
        <w:pStyle w:val="Textodeglobo"/>
        <w:jc w:val="both"/>
        <w:rPr>
          <w:rFonts w:ascii="Times New Roman" w:hAnsi="Times New Roman" w:cs="Times New Roman"/>
          <w:sz w:val="22"/>
          <w:szCs w:val="22"/>
        </w:rPr>
      </w:pPr>
    </w:p>
    <w:p w14:paraId="03AB2AAB" w14:textId="26134973" w:rsidR="001761C9" w:rsidRPr="00475265" w:rsidRDefault="001761C9" w:rsidP="00FC0ED3">
      <w:pPr>
        <w:pStyle w:val="Textodeglobo"/>
        <w:jc w:val="both"/>
        <w:rPr>
          <w:rFonts w:ascii="Times New Roman" w:hAnsi="Times New Roman" w:cs="Times New Roman"/>
          <w:sz w:val="22"/>
          <w:szCs w:val="22"/>
        </w:rPr>
      </w:pPr>
    </w:p>
    <w:p w14:paraId="00C50ABA" w14:textId="7B47636A" w:rsidR="001761C9" w:rsidRPr="00475265" w:rsidRDefault="001761C9" w:rsidP="00FC0ED3">
      <w:pPr>
        <w:pStyle w:val="Textodeglobo"/>
        <w:jc w:val="both"/>
        <w:rPr>
          <w:rFonts w:ascii="Times New Roman" w:hAnsi="Times New Roman" w:cs="Times New Roman"/>
          <w:sz w:val="22"/>
          <w:szCs w:val="22"/>
        </w:rPr>
      </w:pPr>
    </w:p>
    <w:p w14:paraId="3B0DC712" w14:textId="32E23BD9" w:rsidR="001761C9" w:rsidRPr="00475265" w:rsidRDefault="001761C9" w:rsidP="00FC0ED3">
      <w:pPr>
        <w:pStyle w:val="Textodeglobo"/>
        <w:jc w:val="both"/>
        <w:rPr>
          <w:rFonts w:ascii="Times New Roman" w:hAnsi="Times New Roman" w:cs="Times New Roman"/>
          <w:sz w:val="22"/>
          <w:szCs w:val="22"/>
        </w:rPr>
      </w:pPr>
    </w:p>
    <w:p w14:paraId="611BC79C" w14:textId="5DFC6766" w:rsidR="001761C9" w:rsidRPr="00475265" w:rsidRDefault="001761C9" w:rsidP="00FC0ED3">
      <w:pPr>
        <w:pStyle w:val="Textodeglobo"/>
        <w:jc w:val="both"/>
        <w:rPr>
          <w:rFonts w:ascii="Times New Roman" w:hAnsi="Times New Roman" w:cs="Times New Roman"/>
          <w:sz w:val="22"/>
          <w:szCs w:val="22"/>
        </w:rPr>
      </w:pPr>
    </w:p>
    <w:p w14:paraId="3717A426" w14:textId="2939DE96" w:rsidR="001761C9" w:rsidRPr="00475265" w:rsidRDefault="001761C9" w:rsidP="00FC0ED3">
      <w:pPr>
        <w:pStyle w:val="Textodeglobo"/>
        <w:jc w:val="both"/>
        <w:rPr>
          <w:rFonts w:ascii="Times New Roman" w:hAnsi="Times New Roman" w:cs="Times New Roman"/>
          <w:sz w:val="22"/>
          <w:szCs w:val="22"/>
        </w:rPr>
      </w:pPr>
    </w:p>
    <w:p w14:paraId="2C1CE235" w14:textId="4E7A883B" w:rsidR="001761C9" w:rsidRPr="00475265" w:rsidRDefault="001761C9" w:rsidP="00FC0ED3">
      <w:pPr>
        <w:pStyle w:val="Textodeglobo"/>
        <w:jc w:val="both"/>
        <w:rPr>
          <w:rFonts w:ascii="Times New Roman" w:hAnsi="Times New Roman" w:cs="Times New Roman"/>
          <w:sz w:val="22"/>
          <w:szCs w:val="22"/>
        </w:rPr>
      </w:pPr>
    </w:p>
    <w:p w14:paraId="4DC92316" w14:textId="0C415714" w:rsidR="001761C9" w:rsidRPr="00475265" w:rsidRDefault="001761C9" w:rsidP="00FC0ED3">
      <w:pPr>
        <w:pStyle w:val="Textodeglobo"/>
        <w:jc w:val="both"/>
        <w:rPr>
          <w:rFonts w:ascii="Times New Roman" w:hAnsi="Times New Roman" w:cs="Times New Roman"/>
          <w:sz w:val="22"/>
          <w:szCs w:val="22"/>
        </w:rPr>
      </w:pPr>
    </w:p>
    <w:p w14:paraId="41B650F7" w14:textId="63C49DA2" w:rsidR="001761C9" w:rsidRPr="00475265" w:rsidRDefault="001761C9" w:rsidP="00FC0ED3">
      <w:pPr>
        <w:pStyle w:val="Textodeglobo"/>
        <w:jc w:val="both"/>
        <w:rPr>
          <w:rFonts w:ascii="Times New Roman" w:hAnsi="Times New Roman" w:cs="Times New Roman"/>
          <w:sz w:val="22"/>
          <w:szCs w:val="22"/>
        </w:rPr>
      </w:pPr>
    </w:p>
    <w:p w14:paraId="6434F757" w14:textId="7B17E662" w:rsidR="0055579D" w:rsidRPr="00475265" w:rsidRDefault="0055579D" w:rsidP="00FC0ED3">
      <w:pPr>
        <w:pStyle w:val="Textodeglobo"/>
        <w:jc w:val="both"/>
        <w:rPr>
          <w:rFonts w:ascii="Times New Roman" w:hAnsi="Times New Roman" w:cs="Times New Roman"/>
          <w:sz w:val="22"/>
          <w:szCs w:val="22"/>
        </w:rPr>
      </w:pPr>
    </w:p>
    <w:p w14:paraId="19B9D32D" w14:textId="5397AC95" w:rsidR="001761C9" w:rsidRPr="00475265" w:rsidRDefault="001761C9" w:rsidP="00FC0ED3">
      <w:pPr>
        <w:pStyle w:val="Textodeglobo"/>
        <w:jc w:val="both"/>
        <w:rPr>
          <w:rFonts w:ascii="Times New Roman" w:hAnsi="Times New Roman" w:cs="Times New Roman"/>
          <w:sz w:val="22"/>
          <w:szCs w:val="22"/>
        </w:rPr>
      </w:pPr>
    </w:p>
    <w:p w14:paraId="4814FA47" w14:textId="469159FC" w:rsidR="001761C9" w:rsidRPr="00475265" w:rsidRDefault="001761C9" w:rsidP="00FC0ED3">
      <w:pPr>
        <w:pStyle w:val="Textodeglobo"/>
        <w:jc w:val="both"/>
        <w:rPr>
          <w:rFonts w:ascii="Times New Roman" w:hAnsi="Times New Roman" w:cs="Times New Roman"/>
          <w:sz w:val="22"/>
          <w:szCs w:val="22"/>
        </w:rPr>
      </w:pPr>
    </w:p>
    <w:p w14:paraId="741B8B1A" w14:textId="328E618B" w:rsidR="001761C9" w:rsidRPr="00475265" w:rsidRDefault="001761C9" w:rsidP="00FC0ED3">
      <w:pPr>
        <w:pStyle w:val="Textodeglobo"/>
        <w:jc w:val="both"/>
        <w:rPr>
          <w:rFonts w:ascii="Times New Roman" w:hAnsi="Times New Roman" w:cs="Times New Roman"/>
          <w:sz w:val="22"/>
          <w:szCs w:val="22"/>
        </w:rPr>
      </w:pPr>
    </w:p>
    <w:p w14:paraId="5DB5FDE8" w14:textId="559DD353" w:rsidR="001761C9" w:rsidRPr="00475265" w:rsidRDefault="001761C9" w:rsidP="00FC0ED3">
      <w:pPr>
        <w:pStyle w:val="Textodeglobo"/>
        <w:jc w:val="both"/>
        <w:rPr>
          <w:rFonts w:ascii="Times New Roman" w:hAnsi="Times New Roman" w:cs="Times New Roman"/>
          <w:sz w:val="22"/>
          <w:szCs w:val="22"/>
        </w:rPr>
      </w:pPr>
    </w:p>
    <w:p w14:paraId="73D7446F" w14:textId="77777777" w:rsidR="00A412E3" w:rsidRPr="00475265" w:rsidRDefault="00A412E3" w:rsidP="00FC0ED3">
      <w:pPr>
        <w:pStyle w:val="Textodeglobo"/>
        <w:jc w:val="both"/>
        <w:rPr>
          <w:rFonts w:ascii="Times New Roman" w:hAnsi="Times New Roman" w:cs="Times New Roman"/>
          <w:sz w:val="14"/>
          <w:szCs w:val="12"/>
        </w:rPr>
      </w:pPr>
    </w:p>
    <w:p w14:paraId="09575DE9" w14:textId="77777777" w:rsidR="00A412E3" w:rsidRPr="00475265" w:rsidRDefault="00A412E3" w:rsidP="00FC0ED3">
      <w:pPr>
        <w:pStyle w:val="Textodeglobo"/>
        <w:jc w:val="both"/>
        <w:rPr>
          <w:rFonts w:ascii="Times New Roman" w:hAnsi="Times New Roman" w:cs="Times New Roman"/>
          <w:sz w:val="14"/>
          <w:szCs w:val="12"/>
        </w:rPr>
      </w:pPr>
    </w:p>
    <w:p w14:paraId="7A34054B" w14:textId="77777777" w:rsidR="00A412E3" w:rsidRPr="00475265" w:rsidRDefault="00A412E3" w:rsidP="00FC0ED3">
      <w:pPr>
        <w:pStyle w:val="Textodeglobo"/>
        <w:jc w:val="both"/>
        <w:rPr>
          <w:rFonts w:ascii="Times New Roman" w:hAnsi="Times New Roman" w:cs="Times New Roman"/>
          <w:sz w:val="14"/>
          <w:szCs w:val="12"/>
        </w:rPr>
      </w:pPr>
    </w:p>
    <w:p w14:paraId="7B39BFF8" w14:textId="4F368909" w:rsidR="001761C9" w:rsidRPr="00475265" w:rsidRDefault="00086FED" w:rsidP="00FC0ED3">
      <w:pPr>
        <w:pStyle w:val="Textodeglobo"/>
        <w:jc w:val="both"/>
        <w:rPr>
          <w:rFonts w:ascii="Times New Roman" w:hAnsi="Times New Roman" w:cs="Times New Roman"/>
          <w:sz w:val="14"/>
          <w:szCs w:val="12"/>
        </w:rPr>
      </w:pPr>
      <w:r w:rsidRPr="00475265">
        <w:rPr>
          <w:rFonts w:ascii="Times New Roman" w:hAnsi="Times New Roman" w:cs="Times New Roman"/>
          <w:sz w:val="14"/>
          <w:szCs w:val="12"/>
        </w:rPr>
        <w:t>Fuente: Banco Mundial.</w:t>
      </w:r>
    </w:p>
    <w:p w14:paraId="608618CE" w14:textId="680DEB73" w:rsidR="00D26729" w:rsidRPr="00475265" w:rsidRDefault="00D26729" w:rsidP="00FC0ED3">
      <w:pPr>
        <w:spacing w:after="0" w:line="240" w:lineRule="auto"/>
        <w:jc w:val="both"/>
        <w:rPr>
          <w:rFonts w:ascii="Times New Roman" w:hAnsi="Times New Roman" w:cs="Times New Roman"/>
          <w:lang w:val="es-MX"/>
        </w:rPr>
      </w:pPr>
    </w:p>
    <w:p w14:paraId="79E14069" w14:textId="6C5B806D" w:rsidR="00A412E3" w:rsidRPr="00E02D18" w:rsidRDefault="00FC0ED3" w:rsidP="00C10066">
      <w:pPr>
        <w:pStyle w:val="Sinespaciado"/>
        <w:jc w:val="both"/>
        <w:rPr>
          <w:rFonts w:ascii="Times New Roman" w:hAnsi="Times New Roman" w:cs="Times New Roman"/>
          <w:lang w:val="es-MX"/>
        </w:rPr>
      </w:pPr>
      <w:r w:rsidRPr="00475265">
        <w:rPr>
          <w:rFonts w:ascii="Times New Roman" w:hAnsi="Times New Roman" w:cs="Times New Roman"/>
          <w:lang w:val="es-MX"/>
        </w:rPr>
        <w:t xml:space="preserve">En el ámbito interno, </w:t>
      </w:r>
      <w:r w:rsidR="003476E1" w:rsidRPr="00475265">
        <w:rPr>
          <w:rFonts w:ascii="Times New Roman" w:hAnsi="Times New Roman" w:cs="Times New Roman"/>
          <w:lang w:val="es-MX"/>
        </w:rPr>
        <w:t>la Junta Monetaria decidió aumentar el nivel de la tasa de interés l</w:t>
      </w:r>
      <w:r w:rsidR="00480E57" w:rsidRPr="00475265">
        <w:rPr>
          <w:rFonts w:ascii="Times New Roman" w:hAnsi="Times New Roman" w:cs="Times New Roman"/>
          <w:lang w:val="es-MX"/>
        </w:rPr>
        <w:t>íder de política monetaria en 25</w:t>
      </w:r>
      <w:r w:rsidR="003476E1" w:rsidRPr="00475265">
        <w:rPr>
          <w:rFonts w:ascii="Times New Roman" w:hAnsi="Times New Roman" w:cs="Times New Roman"/>
          <w:lang w:val="es-MX"/>
        </w:rPr>
        <w:t xml:space="preserve"> puntos básicos</w:t>
      </w:r>
      <w:r w:rsidR="00201813" w:rsidRPr="00475265">
        <w:rPr>
          <w:rFonts w:ascii="Times New Roman" w:hAnsi="Times New Roman" w:cs="Times New Roman"/>
          <w:lang w:val="es-MX"/>
        </w:rPr>
        <w:t>,</w:t>
      </w:r>
      <w:r w:rsidR="00480E57" w:rsidRPr="00475265">
        <w:rPr>
          <w:rFonts w:ascii="Times New Roman" w:hAnsi="Times New Roman" w:cs="Times New Roman"/>
          <w:lang w:val="es-MX"/>
        </w:rPr>
        <w:t xml:space="preserve"> de 2.75% a 3.00</w:t>
      </w:r>
      <w:r w:rsidR="003476E1" w:rsidRPr="00475265">
        <w:rPr>
          <w:rFonts w:ascii="Times New Roman" w:hAnsi="Times New Roman" w:cs="Times New Roman"/>
          <w:lang w:val="es-MX"/>
        </w:rPr>
        <w:t xml:space="preserve">%.  La junta destacó </w:t>
      </w:r>
      <w:r w:rsidR="00DC74EB" w:rsidRPr="00475265">
        <w:rPr>
          <w:rFonts w:ascii="Times New Roman" w:hAnsi="Times New Roman" w:cs="Times New Roman"/>
          <w:lang w:val="es-MX"/>
        </w:rPr>
        <w:t xml:space="preserve">que las perspectivas de crecimiento económico a nivel mundial, aunque son positivas para 2022 y 2023, </w:t>
      </w:r>
      <w:r w:rsidR="00480E57" w:rsidRPr="00475265">
        <w:rPr>
          <w:rFonts w:ascii="Times New Roman" w:hAnsi="Times New Roman" w:cs="Times New Roman"/>
          <w:lang w:val="es-MX"/>
        </w:rPr>
        <w:t>mostraron una desaceleración adicional</w:t>
      </w:r>
      <w:r w:rsidR="00DC74EB" w:rsidRPr="00475265">
        <w:rPr>
          <w:rFonts w:ascii="Times New Roman" w:hAnsi="Times New Roman" w:cs="Times New Roman"/>
          <w:lang w:val="es-MX"/>
        </w:rPr>
        <w:t xml:space="preserve">, en un entorno de altos niveles de incertidumbre y riesgos a la baja; y el comportamiento que mantiene la mayoría de </w:t>
      </w:r>
      <w:proofErr w:type="gramStart"/>
      <w:r w:rsidR="00DC74EB" w:rsidRPr="00475265">
        <w:rPr>
          <w:rFonts w:ascii="Times New Roman" w:hAnsi="Times New Roman" w:cs="Times New Roman"/>
          <w:lang w:val="es-MX"/>
        </w:rPr>
        <w:t>indicadores</w:t>
      </w:r>
      <w:proofErr w:type="gramEnd"/>
      <w:r w:rsidR="00DC74EB" w:rsidRPr="00475265">
        <w:rPr>
          <w:rFonts w:ascii="Times New Roman" w:hAnsi="Times New Roman" w:cs="Times New Roman"/>
          <w:lang w:val="es-MX"/>
        </w:rPr>
        <w:t xml:space="preserve"> de corto plazo de la actividad e</w:t>
      </w:r>
      <w:r w:rsidR="00480E57" w:rsidRPr="00475265">
        <w:rPr>
          <w:rFonts w:ascii="Times New Roman" w:hAnsi="Times New Roman" w:cs="Times New Roman"/>
          <w:lang w:val="es-MX"/>
        </w:rPr>
        <w:t>conómica, sigue siendo</w:t>
      </w:r>
      <w:r w:rsidR="00DC74EB" w:rsidRPr="00475265">
        <w:rPr>
          <w:rFonts w:ascii="Times New Roman" w:hAnsi="Times New Roman" w:cs="Times New Roman"/>
          <w:lang w:val="es-MX"/>
        </w:rPr>
        <w:t xml:space="preserve"> congruente con el rango de crecimiento económico previsto para el presente año</w:t>
      </w:r>
      <w:r w:rsidR="00394977" w:rsidRPr="00475265">
        <w:rPr>
          <w:rFonts w:ascii="Times New Roman" w:hAnsi="Times New Roman" w:cs="Times New Roman"/>
          <w:lang w:val="es-MX"/>
        </w:rPr>
        <w:t>, de entre 3.0% y 5.0%</w:t>
      </w:r>
      <w:r w:rsidR="00DC74EB" w:rsidRPr="00475265">
        <w:rPr>
          <w:rFonts w:ascii="Times New Roman" w:hAnsi="Times New Roman" w:cs="Times New Roman"/>
          <w:lang w:val="es-MX"/>
        </w:rPr>
        <w:t>.</w:t>
      </w:r>
    </w:p>
    <w:p w14:paraId="5C330FF6" w14:textId="6F6E6423" w:rsidR="00A412E3" w:rsidRPr="00BD5286" w:rsidRDefault="00A412E3" w:rsidP="00C10066">
      <w:pPr>
        <w:pStyle w:val="Sinespaciado"/>
        <w:jc w:val="both"/>
        <w:rPr>
          <w:rFonts w:ascii="Times New Roman" w:hAnsi="Times New Roman" w:cs="Times New Roman"/>
          <w:color w:val="FF0000"/>
          <w:sz w:val="14"/>
        </w:rPr>
      </w:pPr>
    </w:p>
    <w:p w14:paraId="79049383" w14:textId="77777777" w:rsidR="00A412E3" w:rsidRPr="00BD5286" w:rsidRDefault="00A412E3" w:rsidP="00C10066">
      <w:pPr>
        <w:pStyle w:val="Sinespaciado"/>
        <w:jc w:val="both"/>
        <w:rPr>
          <w:rFonts w:ascii="Times New Roman" w:hAnsi="Times New Roman" w:cs="Times New Roman"/>
          <w:color w:val="FF0000"/>
          <w:sz w:val="14"/>
        </w:rPr>
        <w:sectPr w:rsidR="00A412E3" w:rsidRPr="00BD5286" w:rsidSect="00776700">
          <w:type w:val="continuous"/>
          <w:pgSz w:w="12240" w:h="15840"/>
          <w:pgMar w:top="1417" w:right="1701" w:bottom="1417" w:left="1701" w:header="708" w:footer="708" w:gutter="0"/>
          <w:cols w:num="2" w:space="708"/>
          <w:docGrid w:linePitch="360"/>
        </w:sectPr>
      </w:pPr>
    </w:p>
    <w:p w14:paraId="70829754" w14:textId="77777777" w:rsidR="0071038C" w:rsidRPr="00BD5286" w:rsidRDefault="0071038C" w:rsidP="0071038C">
      <w:pPr>
        <w:spacing w:after="0"/>
        <w:rPr>
          <w:rFonts w:ascii="Times New Roman" w:hAnsi="Times New Roman" w:cs="Times New Roman"/>
          <w:color w:val="FF0000"/>
        </w:rPr>
        <w:sectPr w:rsidR="0071038C" w:rsidRPr="00BD5286" w:rsidSect="00960BE9">
          <w:type w:val="continuous"/>
          <w:pgSz w:w="12240" w:h="15840"/>
          <w:pgMar w:top="1417" w:right="1701" w:bottom="1417" w:left="1701" w:header="708" w:footer="708" w:gutter="0"/>
          <w:cols w:space="708"/>
          <w:docGrid w:linePitch="360"/>
        </w:sectPr>
      </w:pPr>
    </w:p>
    <w:p w14:paraId="108E7186" w14:textId="5797A084" w:rsidR="00CE5240" w:rsidRPr="00BD5286" w:rsidRDefault="00CE5240" w:rsidP="00C56D80">
      <w:pPr>
        <w:spacing w:after="0"/>
        <w:rPr>
          <w:rFonts w:ascii="Times New Roman" w:hAnsi="Times New Roman" w:cs="Times New Roman"/>
          <w:color w:val="FF0000"/>
        </w:rPr>
      </w:pPr>
    </w:p>
    <w:p w14:paraId="5633EF20" w14:textId="79EC573F" w:rsidR="00CE5240" w:rsidRDefault="00CE5240" w:rsidP="00C56D80">
      <w:pPr>
        <w:spacing w:after="0"/>
        <w:rPr>
          <w:rFonts w:ascii="Times New Roman" w:hAnsi="Times New Roman" w:cs="Times New Roman"/>
          <w:color w:val="FF0000"/>
        </w:rPr>
      </w:pPr>
    </w:p>
    <w:p w14:paraId="7ADC0066" w14:textId="77777777" w:rsidR="00E02D18" w:rsidRPr="00BD5286" w:rsidRDefault="00E02D18" w:rsidP="00C56D80">
      <w:pPr>
        <w:spacing w:after="0"/>
        <w:rPr>
          <w:rFonts w:ascii="Times New Roman" w:hAnsi="Times New Roman" w:cs="Times New Roman"/>
          <w:color w:val="FF0000"/>
        </w:rPr>
        <w:sectPr w:rsidR="00E02D18" w:rsidRPr="00BD5286" w:rsidSect="00960BE9">
          <w:headerReference w:type="default" r:id="rId48"/>
          <w:footerReference w:type="default" r:id="rId49"/>
          <w:type w:val="continuous"/>
          <w:pgSz w:w="12240" w:h="15840"/>
          <w:pgMar w:top="1417" w:right="1701" w:bottom="1417" w:left="1701" w:header="708" w:footer="708" w:gutter="0"/>
          <w:cols w:space="708"/>
          <w:docGrid w:linePitch="360"/>
        </w:sectPr>
      </w:pPr>
    </w:p>
    <w:p w14:paraId="4E1504DB" w14:textId="32E8D3B5" w:rsidR="00C56D80" w:rsidRPr="00A32E01" w:rsidRDefault="00A02862" w:rsidP="00A02862">
      <w:pPr>
        <w:pStyle w:val="Sinespaciado"/>
        <w:shd w:val="clear" w:color="auto" w:fill="44546A" w:themeFill="text2"/>
        <w:ind w:right="-376" w:hanging="426"/>
        <w:jc w:val="center"/>
        <w:rPr>
          <w:rFonts w:ascii="Times New Roman" w:hAnsi="Times New Roman" w:cs="Times New Roman"/>
          <w:b/>
          <w:color w:val="FFFFFF" w:themeColor="background1"/>
          <w:sz w:val="24"/>
          <w:szCs w:val="24"/>
        </w:rPr>
        <w:sectPr w:rsidR="00C56D80" w:rsidRPr="00A32E01" w:rsidSect="00960BE9">
          <w:headerReference w:type="default" r:id="rId50"/>
          <w:footerReference w:type="default" r:id="rId51"/>
          <w:type w:val="continuous"/>
          <w:pgSz w:w="12240" w:h="15840"/>
          <w:pgMar w:top="1417" w:right="1701" w:bottom="1417" w:left="1701" w:header="708" w:footer="708" w:gutter="0"/>
          <w:cols w:space="708"/>
          <w:docGrid w:linePitch="360"/>
        </w:sectPr>
      </w:pPr>
      <w:r w:rsidRPr="00A32E01">
        <w:rPr>
          <w:rFonts w:ascii="Times New Roman" w:hAnsi="Times New Roman" w:cs="Times New Roman"/>
          <w:b/>
          <w:color w:val="FFFFFF" w:themeColor="background1"/>
          <w:sz w:val="24"/>
          <w:szCs w:val="24"/>
        </w:rPr>
        <w:t>Anexo</w:t>
      </w:r>
    </w:p>
    <w:p w14:paraId="4F578D08" w14:textId="08E0B06D" w:rsidR="00467154" w:rsidRPr="00BD5286" w:rsidRDefault="00467154" w:rsidP="00C56D80">
      <w:pPr>
        <w:pStyle w:val="Sinespaciado"/>
        <w:rPr>
          <w:rFonts w:ascii="Times New Roman" w:hAnsi="Times New Roman" w:cs="Times New Roman"/>
          <w:color w:val="FF0000"/>
          <w:sz w:val="18"/>
          <w:szCs w:val="18"/>
        </w:rPr>
      </w:pPr>
    </w:p>
    <w:p w14:paraId="6CCA4C7D" w14:textId="5E3ECB1B" w:rsidR="00467154" w:rsidRPr="00BD5286" w:rsidRDefault="00467154" w:rsidP="00F01A8C">
      <w:pPr>
        <w:pStyle w:val="Sinespaciado"/>
        <w:jc w:val="center"/>
        <w:rPr>
          <w:rFonts w:ascii="Times New Roman" w:hAnsi="Times New Roman" w:cs="Times New Roman"/>
          <w:color w:val="FF0000"/>
          <w:sz w:val="18"/>
          <w:szCs w:val="18"/>
        </w:rPr>
      </w:pPr>
    </w:p>
    <w:p w14:paraId="27E5366C" w14:textId="34D41E54" w:rsidR="00467154" w:rsidRPr="00BD5286" w:rsidRDefault="00A32E01" w:rsidP="00C56D80">
      <w:pPr>
        <w:pStyle w:val="Sinespaciado"/>
        <w:rPr>
          <w:rFonts w:ascii="Times New Roman" w:hAnsi="Times New Roman" w:cs="Times New Roman"/>
          <w:color w:val="FF0000"/>
          <w:sz w:val="18"/>
          <w:szCs w:val="18"/>
        </w:rPr>
      </w:pPr>
      <w:r w:rsidRPr="0025066B">
        <w:rPr>
          <w:noProof/>
          <w:lang w:eastAsia="es-GT"/>
        </w:rPr>
        <w:drawing>
          <wp:inline distT="0" distB="0" distL="0" distR="0" wp14:anchorId="489C3B01" wp14:editId="788F5666">
            <wp:extent cx="5612130" cy="4363041"/>
            <wp:effectExtent l="0" t="0" r="7620" b="0"/>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2130" cy="4363041"/>
                    </a:xfrm>
                    <a:prstGeom prst="rect">
                      <a:avLst/>
                    </a:prstGeom>
                    <a:noFill/>
                    <a:ln>
                      <a:noFill/>
                    </a:ln>
                  </pic:spPr>
                </pic:pic>
              </a:graphicData>
            </a:graphic>
          </wp:inline>
        </w:drawing>
      </w:r>
    </w:p>
    <w:p w14:paraId="1F658D00" w14:textId="77777777" w:rsidR="00467154" w:rsidRPr="00BD5286" w:rsidRDefault="00467154" w:rsidP="00C56D80">
      <w:pPr>
        <w:pStyle w:val="Sinespaciado"/>
        <w:rPr>
          <w:rFonts w:ascii="Times New Roman" w:hAnsi="Times New Roman" w:cs="Times New Roman"/>
          <w:color w:val="FF0000"/>
          <w:sz w:val="18"/>
          <w:szCs w:val="18"/>
        </w:rPr>
      </w:pPr>
    </w:p>
    <w:p w14:paraId="15DF0295" w14:textId="3DB820F9" w:rsidR="006906B8" w:rsidRPr="00BD5286" w:rsidRDefault="006906B8" w:rsidP="008E3EEE">
      <w:pPr>
        <w:pStyle w:val="Sinespaciado"/>
        <w:jc w:val="center"/>
        <w:rPr>
          <w:rFonts w:ascii="Times New Roman" w:hAnsi="Times New Roman" w:cs="Times New Roman"/>
          <w:color w:val="FF0000"/>
          <w:sz w:val="18"/>
          <w:szCs w:val="18"/>
        </w:rPr>
      </w:pPr>
    </w:p>
    <w:p w14:paraId="2772CFD8" w14:textId="77777777" w:rsidR="006906B8" w:rsidRPr="00BD5286" w:rsidRDefault="006906B8" w:rsidP="00C56D80">
      <w:pPr>
        <w:pStyle w:val="Sinespaciado"/>
        <w:rPr>
          <w:rFonts w:ascii="Times New Roman" w:hAnsi="Times New Roman" w:cs="Times New Roman"/>
          <w:color w:val="FF0000"/>
          <w:sz w:val="18"/>
          <w:szCs w:val="18"/>
        </w:rPr>
      </w:pPr>
    </w:p>
    <w:p w14:paraId="7A9C5068" w14:textId="77777777" w:rsidR="006906B8" w:rsidRPr="00BD5286" w:rsidRDefault="006906B8" w:rsidP="00C56D80">
      <w:pPr>
        <w:pStyle w:val="Sinespaciado"/>
        <w:rPr>
          <w:rFonts w:ascii="Times New Roman" w:hAnsi="Times New Roman" w:cs="Times New Roman"/>
          <w:color w:val="FF0000"/>
          <w:sz w:val="18"/>
          <w:szCs w:val="18"/>
        </w:rPr>
      </w:pPr>
    </w:p>
    <w:p w14:paraId="59C595CC" w14:textId="77777777" w:rsidR="006906B8" w:rsidRPr="00BD5286" w:rsidRDefault="006906B8" w:rsidP="00C56D80">
      <w:pPr>
        <w:pStyle w:val="Sinespaciado"/>
        <w:rPr>
          <w:rFonts w:ascii="Times New Roman" w:hAnsi="Times New Roman" w:cs="Times New Roman"/>
          <w:color w:val="FF0000"/>
          <w:sz w:val="18"/>
          <w:szCs w:val="18"/>
        </w:rPr>
      </w:pPr>
    </w:p>
    <w:p w14:paraId="0C10A23B" w14:textId="77777777" w:rsidR="006906B8" w:rsidRPr="00BD5286" w:rsidRDefault="006906B8" w:rsidP="00C56D80">
      <w:pPr>
        <w:pStyle w:val="Sinespaciado"/>
        <w:rPr>
          <w:rFonts w:ascii="Times New Roman" w:hAnsi="Times New Roman" w:cs="Times New Roman"/>
          <w:color w:val="FF0000"/>
          <w:sz w:val="18"/>
          <w:szCs w:val="18"/>
        </w:rPr>
      </w:pPr>
    </w:p>
    <w:p w14:paraId="752C7338" w14:textId="77777777" w:rsidR="006906B8" w:rsidRPr="00BD5286" w:rsidRDefault="006906B8" w:rsidP="00C56D80">
      <w:pPr>
        <w:pStyle w:val="Sinespaciado"/>
        <w:rPr>
          <w:rFonts w:ascii="Times New Roman" w:hAnsi="Times New Roman" w:cs="Times New Roman"/>
          <w:color w:val="FF0000"/>
          <w:sz w:val="18"/>
          <w:szCs w:val="18"/>
        </w:rPr>
      </w:pPr>
    </w:p>
    <w:p w14:paraId="454D179D" w14:textId="77777777" w:rsidR="006906B8" w:rsidRPr="00BD5286" w:rsidRDefault="006906B8" w:rsidP="00C56D80">
      <w:pPr>
        <w:pStyle w:val="Sinespaciado"/>
        <w:rPr>
          <w:rFonts w:ascii="Times New Roman" w:hAnsi="Times New Roman" w:cs="Times New Roman"/>
          <w:color w:val="FF0000"/>
          <w:sz w:val="18"/>
          <w:szCs w:val="18"/>
        </w:rPr>
      </w:pPr>
    </w:p>
    <w:p w14:paraId="398FCE02" w14:textId="77777777" w:rsidR="006906B8" w:rsidRPr="00BD5286" w:rsidRDefault="006906B8" w:rsidP="00C56D80">
      <w:pPr>
        <w:pStyle w:val="Sinespaciado"/>
        <w:rPr>
          <w:rFonts w:ascii="Times New Roman" w:hAnsi="Times New Roman" w:cs="Times New Roman"/>
          <w:color w:val="FF0000"/>
          <w:sz w:val="18"/>
          <w:szCs w:val="18"/>
        </w:rPr>
      </w:pPr>
    </w:p>
    <w:p w14:paraId="5CDEF2C0" w14:textId="77777777" w:rsidR="006906B8" w:rsidRPr="00BD5286" w:rsidRDefault="006906B8" w:rsidP="00C56D80">
      <w:pPr>
        <w:pStyle w:val="Sinespaciado"/>
        <w:rPr>
          <w:rFonts w:ascii="Times New Roman" w:hAnsi="Times New Roman" w:cs="Times New Roman"/>
          <w:color w:val="FF0000"/>
          <w:sz w:val="18"/>
          <w:szCs w:val="18"/>
        </w:rPr>
      </w:pPr>
    </w:p>
    <w:p w14:paraId="70138949" w14:textId="77777777" w:rsidR="006906B8" w:rsidRPr="00BD5286" w:rsidRDefault="006906B8" w:rsidP="00C56D80">
      <w:pPr>
        <w:pStyle w:val="Sinespaciado"/>
        <w:rPr>
          <w:rFonts w:ascii="Times New Roman" w:hAnsi="Times New Roman" w:cs="Times New Roman"/>
          <w:color w:val="FF0000"/>
          <w:sz w:val="18"/>
          <w:szCs w:val="18"/>
        </w:rPr>
      </w:pPr>
    </w:p>
    <w:p w14:paraId="3886B80C" w14:textId="77777777" w:rsidR="006906B8" w:rsidRPr="00BD5286" w:rsidRDefault="006906B8" w:rsidP="00C56D80">
      <w:pPr>
        <w:pStyle w:val="Sinespaciado"/>
        <w:rPr>
          <w:rFonts w:ascii="Times New Roman" w:hAnsi="Times New Roman" w:cs="Times New Roman"/>
          <w:color w:val="FF0000"/>
          <w:sz w:val="18"/>
          <w:szCs w:val="18"/>
        </w:rPr>
      </w:pPr>
    </w:p>
    <w:p w14:paraId="234F6806" w14:textId="77777777" w:rsidR="006906B8" w:rsidRPr="00BD5286" w:rsidRDefault="006906B8" w:rsidP="00C56D80">
      <w:pPr>
        <w:pStyle w:val="Sinespaciado"/>
        <w:rPr>
          <w:rFonts w:ascii="Times New Roman" w:hAnsi="Times New Roman" w:cs="Times New Roman"/>
          <w:color w:val="FF0000"/>
          <w:sz w:val="18"/>
          <w:szCs w:val="18"/>
        </w:rPr>
      </w:pPr>
    </w:p>
    <w:p w14:paraId="3856627B" w14:textId="77777777" w:rsidR="006906B8" w:rsidRPr="00BD5286" w:rsidRDefault="006906B8" w:rsidP="00C56D80">
      <w:pPr>
        <w:pStyle w:val="Sinespaciado"/>
        <w:rPr>
          <w:rFonts w:ascii="Times New Roman" w:hAnsi="Times New Roman" w:cs="Times New Roman"/>
          <w:color w:val="FF0000"/>
          <w:sz w:val="18"/>
          <w:szCs w:val="18"/>
        </w:rPr>
      </w:pPr>
    </w:p>
    <w:p w14:paraId="650CDA47" w14:textId="77777777" w:rsidR="0076345F" w:rsidRPr="00BD5286" w:rsidRDefault="0076345F" w:rsidP="00C56D80">
      <w:pPr>
        <w:pStyle w:val="Sinespaciado"/>
        <w:rPr>
          <w:rFonts w:ascii="Times New Roman" w:hAnsi="Times New Roman" w:cs="Times New Roman"/>
          <w:color w:val="FF0000"/>
          <w:sz w:val="18"/>
          <w:szCs w:val="18"/>
        </w:rPr>
      </w:pPr>
    </w:p>
    <w:sectPr w:rsidR="0076345F" w:rsidRPr="00BD5286" w:rsidSect="00C56D80">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A38C9" w14:textId="77777777" w:rsidR="00100628" w:rsidRDefault="00100628" w:rsidP="008030B6">
      <w:pPr>
        <w:spacing w:after="0" w:line="240" w:lineRule="auto"/>
      </w:pPr>
      <w:r>
        <w:separator/>
      </w:r>
    </w:p>
  </w:endnote>
  <w:endnote w:type="continuationSeparator" w:id="0">
    <w:p w14:paraId="4C2DEA34" w14:textId="77777777" w:rsidR="00100628" w:rsidRDefault="00100628" w:rsidP="00803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98512229"/>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729EC2DE" w14:textId="0FAE3692" w:rsidR="00BA4056" w:rsidRPr="006906B8" w:rsidRDefault="00BA4056" w:rsidP="00DF6AE8">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C0ADD">
          <w:rPr>
            <w:rFonts w:asciiTheme="majorHAnsi" w:hAnsiTheme="majorHAnsi" w:cs="Arial"/>
            <w:noProof/>
            <w:color w:val="323E4F" w:themeColor="text2" w:themeShade="BF"/>
            <w:sz w:val="20"/>
            <w:szCs w:val="20"/>
            <w:lang w:val="es-MX"/>
          </w:rPr>
          <w:t>1</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4FA6AD51" w14:textId="77777777" w:rsidR="00BA4056" w:rsidRDefault="00BA4056">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564031163"/>
      <w:docPartObj>
        <w:docPartGallery w:val="Page Numbers (Bottom of Page)"/>
        <w:docPartUnique/>
      </w:docPartObj>
    </w:sdtPr>
    <w:sdtEndPr>
      <w:rPr>
        <w:rFonts w:asciiTheme="majorHAnsi" w:hAnsiTheme="majorHAnsi" w:cs="Times New Roman"/>
        <w:b/>
        <w:color w:val="5B9BD5" w:themeColor="accent1"/>
        <w:sz w:val="20"/>
      </w:rPr>
    </w:sdtEndPr>
    <w:sdtContent>
      <w:p w14:paraId="15CD4EEF" w14:textId="4C37D8D1" w:rsidR="00BA4056" w:rsidRPr="008030B6" w:rsidRDefault="00BA4056">
        <w:pPr>
          <w:pStyle w:val="Piedepgina"/>
          <w:jc w:val="right"/>
          <w:rPr>
            <w:rFonts w:asciiTheme="majorHAnsi" w:hAnsiTheme="majorHAnsi" w:cs="Times New Roman"/>
            <w:b/>
            <w:color w:val="5B9BD5" w:themeColor="accent1"/>
            <w:sz w:val="20"/>
          </w:rPr>
        </w:pPr>
        <w:r w:rsidRPr="00C85B13">
          <w:rPr>
            <w:lang w:val="es-ES"/>
          </w:rPr>
          <w:t xml:space="preserve">Página | </w:t>
        </w:r>
        <w:r w:rsidRPr="00C85B13">
          <w:rPr>
            <w:lang w:val="es-ES"/>
          </w:rPr>
          <w:fldChar w:fldCharType="begin"/>
        </w:r>
        <w:r w:rsidRPr="00C85B13">
          <w:rPr>
            <w:lang w:val="es-ES"/>
          </w:rPr>
          <w:instrText>PAGE   \* MERGEFORMAT</w:instrText>
        </w:r>
        <w:r w:rsidRPr="00C85B13">
          <w:rPr>
            <w:lang w:val="es-ES"/>
          </w:rPr>
          <w:fldChar w:fldCharType="separate"/>
        </w:r>
        <w:r w:rsidR="002C0ADD">
          <w:rPr>
            <w:noProof/>
            <w:lang w:val="es-ES"/>
          </w:rPr>
          <w:t>11</w:t>
        </w:r>
        <w:r w:rsidRPr="00C85B13">
          <w:rPr>
            <w:lang w:val="es-ES"/>
          </w:rPr>
          <w:fldChar w:fldCharType="end"/>
        </w:r>
        <w:r w:rsidRPr="008030B6">
          <w:rPr>
            <w:rFonts w:asciiTheme="majorHAnsi" w:hAnsiTheme="majorHAnsi" w:cs="Times New Roman"/>
            <w:b/>
            <w:color w:val="5B9BD5" w:themeColor="accent1"/>
            <w:sz w:val="20"/>
            <w:lang w:val="es-ES"/>
          </w:rPr>
          <w:t xml:space="preserve"> </w:t>
        </w:r>
      </w:p>
    </w:sdtContent>
  </w:sdt>
  <w:p w14:paraId="0059DCDA" w14:textId="77777777" w:rsidR="00BA4056" w:rsidRDefault="00BA4056">
    <w:pPr>
      <w:pStyle w:val="Piedep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723712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5107E57B" w14:textId="55B236E8"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C0ADD">
          <w:rPr>
            <w:rFonts w:asciiTheme="majorHAnsi" w:hAnsiTheme="majorHAnsi" w:cs="Arial"/>
            <w:noProof/>
            <w:color w:val="323E4F" w:themeColor="text2" w:themeShade="BF"/>
            <w:sz w:val="20"/>
            <w:szCs w:val="20"/>
            <w:lang w:val="es-MX"/>
          </w:rPr>
          <w:t>12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36FB8643" w14:textId="77777777" w:rsidR="00BA4056" w:rsidRDefault="00BA4056">
    <w:pPr>
      <w:pStyle w:val="Piedepgin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2932366"/>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4664C29" w14:textId="1E55BD68"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C0ADD">
          <w:rPr>
            <w:rFonts w:asciiTheme="majorHAnsi" w:hAnsiTheme="majorHAnsi" w:cs="Arial"/>
            <w:noProof/>
            <w:color w:val="323E4F" w:themeColor="text2" w:themeShade="BF"/>
            <w:sz w:val="20"/>
            <w:szCs w:val="20"/>
            <w:lang w:val="es-MX"/>
          </w:rPr>
          <w:t>13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03847799" w14:textId="77777777" w:rsidR="00BA4056" w:rsidRDefault="00BA4056">
    <w:pPr>
      <w:pStyle w:val="Piedep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5829304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530B1EE" w14:textId="001C3601"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E02D18">
          <w:rPr>
            <w:rFonts w:asciiTheme="majorHAnsi" w:hAnsiTheme="majorHAnsi" w:cs="Arial"/>
            <w:noProof/>
            <w:color w:val="323E4F" w:themeColor="text2" w:themeShade="BF"/>
            <w:sz w:val="20"/>
            <w:szCs w:val="20"/>
            <w:lang w:val="es-MX"/>
          </w:rPr>
          <w:t>13</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826DC29" w14:textId="77777777" w:rsidR="00BA4056" w:rsidRDefault="00BA40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58540388"/>
      <w:docPartObj>
        <w:docPartGallery w:val="Page Numbers (Bottom of Page)"/>
        <w:docPartUnique/>
      </w:docPartObj>
    </w:sdtPr>
    <w:sdtEndPr>
      <w:rPr>
        <w:rFonts w:asciiTheme="majorHAnsi" w:hAnsiTheme="majorHAnsi" w:cs="Times New Roman"/>
        <w:b/>
        <w:color w:val="5B9BD5" w:themeColor="accent1"/>
        <w:sz w:val="20"/>
      </w:rPr>
    </w:sdtEndPr>
    <w:sdtContent>
      <w:p w14:paraId="17BF6360" w14:textId="77777777" w:rsidR="00BA4056" w:rsidRPr="008030B6" w:rsidRDefault="00BA4056">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960BE9">
          <w:rPr>
            <w:rFonts w:asciiTheme="majorHAnsi" w:hAnsiTheme="majorHAnsi" w:cs="Times New Roman"/>
            <w:b/>
            <w:noProof/>
            <w:color w:val="5B9BD5" w:themeColor="accent1"/>
            <w:sz w:val="20"/>
            <w:lang w:val="es-ES"/>
          </w:rPr>
          <w:t>1</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245421A9" w14:textId="77777777" w:rsidR="00BA4056" w:rsidRDefault="00BA405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62861539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A673D1F" w14:textId="44F209C7"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3266B4">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5A09FA2" w14:textId="3E6C61F1" w:rsidR="00BA4056" w:rsidRDefault="00BA4056">
    <w:pPr>
      <w:pStyle w:val="Piedepgina"/>
    </w:pPr>
    <w:r>
      <w:rPr>
        <w:noProof/>
        <w:lang w:eastAsia="es-GT"/>
      </w:rPr>
      <w:drawing>
        <wp:anchor distT="0" distB="0" distL="114300" distR="114300" simplePos="0" relativeHeight="251723776" behindDoc="1" locked="0" layoutInCell="1" allowOverlap="1" wp14:anchorId="208E3BCF" wp14:editId="51D59214">
          <wp:simplePos x="0" y="0"/>
          <wp:positionH relativeFrom="column">
            <wp:posOffset>-1033669</wp:posOffset>
          </wp:positionH>
          <wp:positionV relativeFrom="paragraph">
            <wp:posOffset>441187</wp:posOffset>
          </wp:positionV>
          <wp:extent cx="3093621" cy="1283913"/>
          <wp:effectExtent l="0" t="0" r="0" b="0"/>
          <wp:wrapNone/>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719680" behindDoc="1" locked="0" layoutInCell="1" allowOverlap="1" wp14:anchorId="44A5CCA7" wp14:editId="1F25E1CE">
          <wp:simplePos x="0" y="0"/>
          <wp:positionH relativeFrom="column">
            <wp:posOffset>-1089329</wp:posOffset>
          </wp:positionH>
          <wp:positionV relativeFrom="paragraph">
            <wp:posOffset>472992</wp:posOffset>
          </wp:positionV>
          <wp:extent cx="3093621" cy="1283913"/>
          <wp:effectExtent l="0" t="0" r="0" b="0"/>
          <wp:wrapNone/>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36540403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285F74ED" w14:textId="4A6F043B"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C0ADD">
          <w:rPr>
            <w:rFonts w:asciiTheme="majorHAnsi" w:hAnsiTheme="majorHAnsi" w:cs="Arial"/>
            <w:noProof/>
            <w:color w:val="323E4F" w:themeColor="text2" w:themeShade="BF"/>
            <w:sz w:val="20"/>
            <w:szCs w:val="20"/>
            <w:lang w:val="es-MX"/>
          </w:rPr>
          <w:t>2</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71157891" w14:textId="77777777" w:rsidR="00BA4056" w:rsidRDefault="00BA4056">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88447253"/>
      <w:docPartObj>
        <w:docPartGallery w:val="Page Numbers (Bottom of Page)"/>
        <w:docPartUnique/>
      </w:docPartObj>
    </w:sdtPr>
    <w:sdtEndPr>
      <w:rPr>
        <w:rFonts w:asciiTheme="majorHAnsi" w:hAnsiTheme="majorHAnsi" w:cs="Times New Roman"/>
        <w:b/>
        <w:color w:val="5B9BD5" w:themeColor="accent1"/>
        <w:sz w:val="20"/>
      </w:rPr>
    </w:sdtEndPr>
    <w:sdtContent>
      <w:p w14:paraId="4D8BD09D" w14:textId="2004FA37" w:rsidR="00BA4056" w:rsidRPr="008030B6" w:rsidRDefault="00BA4056">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000468DA" w:rsidRPr="000468DA">
          <w:rPr>
            <w:rFonts w:asciiTheme="majorHAnsi" w:hAnsiTheme="majorHAnsi" w:cs="Times New Roman"/>
            <w:b/>
            <w:noProof/>
            <w:color w:val="5B9BD5" w:themeColor="accent1"/>
            <w:sz w:val="20"/>
            <w:lang w:val="es-ES"/>
          </w:rPr>
          <w:t>4</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07CF0017" w14:textId="77777777" w:rsidR="00BA4056" w:rsidRDefault="00BA4056">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18706495"/>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122C8264" w14:textId="603DE02E"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C0ADD">
          <w:rPr>
            <w:rFonts w:asciiTheme="majorHAnsi" w:hAnsiTheme="majorHAnsi" w:cs="Arial"/>
            <w:noProof/>
            <w:color w:val="323E4F" w:themeColor="text2" w:themeShade="BF"/>
            <w:sz w:val="20"/>
            <w:szCs w:val="20"/>
            <w:lang w:val="es-MX"/>
          </w:rPr>
          <w:t>7</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5092ED7A" w14:textId="77777777" w:rsidR="00BA4056" w:rsidRDefault="00BA4056">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407414611"/>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0F2406B1" w14:textId="6CEDE9FB" w:rsidR="00BA4056" w:rsidRPr="000D411C" w:rsidRDefault="00BA4056">
        <w:pPr>
          <w:pStyle w:val="Piedepgina"/>
          <w:jc w:val="right"/>
          <w:rPr>
            <w:rFonts w:asciiTheme="majorHAnsi" w:hAnsiTheme="majorHAnsi" w:cs="Arial"/>
            <w:color w:val="323E4F" w:themeColor="text2" w:themeShade="BF"/>
            <w:sz w:val="20"/>
            <w:szCs w:val="20"/>
            <w:lang w:val="es-MX"/>
          </w:rPr>
        </w:pPr>
        <w:r w:rsidRPr="000D411C">
          <w:rPr>
            <w:rFonts w:asciiTheme="majorHAnsi" w:hAnsiTheme="majorHAnsi" w:cs="Arial"/>
            <w:color w:val="323E4F" w:themeColor="text2" w:themeShade="BF"/>
            <w:sz w:val="20"/>
            <w:szCs w:val="20"/>
            <w:lang w:val="es-MX"/>
          </w:rPr>
          <w:t xml:space="preserve">Página | </w:t>
        </w:r>
        <w:r w:rsidRPr="000D411C">
          <w:rPr>
            <w:rFonts w:asciiTheme="majorHAnsi" w:hAnsiTheme="majorHAnsi" w:cs="Arial"/>
            <w:color w:val="323E4F" w:themeColor="text2" w:themeShade="BF"/>
            <w:sz w:val="20"/>
            <w:szCs w:val="20"/>
            <w:lang w:val="es-MX"/>
          </w:rPr>
          <w:fldChar w:fldCharType="begin"/>
        </w:r>
        <w:r w:rsidRPr="000D411C">
          <w:rPr>
            <w:rFonts w:asciiTheme="majorHAnsi" w:hAnsiTheme="majorHAnsi" w:cs="Arial"/>
            <w:color w:val="323E4F" w:themeColor="text2" w:themeShade="BF"/>
            <w:sz w:val="20"/>
            <w:szCs w:val="20"/>
            <w:lang w:val="es-MX"/>
          </w:rPr>
          <w:instrText>PAGE   \* MERGEFORMAT</w:instrText>
        </w:r>
        <w:r w:rsidRPr="000D411C">
          <w:rPr>
            <w:rFonts w:asciiTheme="majorHAnsi" w:hAnsiTheme="majorHAnsi" w:cs="Arial"/>
            <w:color w:val="323E4F" w:themeColor="text2" w:themeShade="BF"/>
            <w:sz w:val="20"/>
            <w:szCs w:val="20"/>
            <w:lang w:val="es-MX"/>
          </w:rPr>
          <w:fldChar w:fldCharType="separate"/>
        </w:r>
        <w:r w:rsidR="00A32E01">
          <w:rPr>
            <w:rFonts w:asciiTheme="majorHAnsi" w:hAnsiTheme="majorHAnsi" w:cs="Arial"/>
            <w:noProof/>
            <w:color w:val="323E4F" w:themeColor="text2" w:themeShade="BF"/>
            <w:sz w:val="20"/>
            <w:szCs w:val="20"/>
            <w:lang w:val="es-MX"/>
          </w:rPr>
          <w:t>8</w:t>
        </w:r>
        <w:r w:rsidRPr="000D411C">
          <w:rPr>
            <w:rFonts w:asciiTheme="majorHAnsi" w:hAnsiTheme="majorHAnsi" w:cs="Arial"/>
            <w:color w:val="323E4F" w:themeColor="text2" w:themeShade="BF"/>
            <w:sz w:val="20"/>
            <w:szCs w:val="20"/>
            <w:lang w:val="es-MX"/>
          </w:rPr>
          <w:fldChar w:fldCharType="end"/>
        </w:r>
        <w:r w:rsidRPr="000D411C">
          <w:rPr>
            <w:rFonts w:asciiTheme="majorHAnsi" w:hAnsiTheme="majorHAnsi" w:cs="Arial"/>
            <w:color w:val="323E4F" w:themeColor="text2" w:themeShade="BF"/>
            <w:sz w:val="20"/>
            <w:szCs w:val="20"/>
            <w:lang w:val="es-MX"/>
          </w:rPr>
          <w:t xml:space="preserve"> </w:t>
        </w:r>
      </w:p>
    </w:sdtContent>
  </w:sdt>
  <w:p w14:paraId="74215AD0" w14:textId="77777777" w:rsidR="00BA4056" w:rsidRDefault="00BA4056">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874220956"/>
      <w:docPartObj>
        <w:docPartGallery w:val="Page Numbers (Bottom of Page)"/>
        <w:docPartUnique/>
      </w:docPartObj>
    </w:sdtPr>
    <w:sdtEndPr>
      <w:rPr>
        <w:rFonts w:asciiTheme="majorHAnsi" w:hAnsiTheme="majorHAnsi" w:cs="Times New Roman"/>
        <w:b/>
        <w:color w:val="5B9BD5" w:themeColor="accent1"/>
        <w:sz w:val="20"/>
      </w:rPr>
    </w:sdtEndPr>
    <w:sdtContent>
      <w:p w14:paraId="010280F2" w14:textId="77777777" w:rsidR="00BA4056" w:rsidRPr="008030B6" w:rsidRDefault="00BA4056">
        <w:pPr>
          <w:pStyle w:val="Piedepgina"/>
          <w:jc w:val="right"/>
          <w:rPr>
            <w:rFonts w:asciiTheme="majorHAnsi" w:hAnsiTheme="majorHAnsi" w:cs="Times New Roman"/>
            <w:b/>
            <w:color w:val="5B9BD5" w:themeColor="accent1"/>
            <w:sz w:val="20"/>
          </w:rPr>
        </w:pPr>
        <w:r w:rsidRPr="008030B6">
          <w:rPr>
            <w:rFonts w:asciiTheme="majorHAnsi" w:hAnsiTheme="majorHAnsi" w:cs="Times New Roman"/>
            <w:b/>
            <w:color w:val="5B9BD5" w:themeColor="accent1"/>
            <w:sz w:val="20"/>
            <w:lang w:val="es-ES"/>
          </w:rPr>
          <w:t xml:space="preserve">Página | </w:t>
        </w:r>
        <w:r w:rsidRPr="008030B6">
          <w:rPr>
            <w:rFonts w:asciiTheme="majorHAnsi" w:hAnsiTheme="majorHAnsi" w:cs="Times New Roman"/>
            <w:b/>
            <w:color w:val="5B9BD5" w:themeColor="accent1"/>
            <w:sz w:val="20"/>
          </w:rPr>
          <w:fldChar w:fldCharType="begin"/>
        </w:r>
        <w:r w:rsidRPr="008030B6">
          <w:rPr>
            <w:rFonts w:asciiTheme="majorHAnsi" w:hAnsiTheme="majorHAnsi" w:cs="Times New Roman"/>
            <w:b/>
            <w:color w:val="5B9BD5" w:themeColor="accent1"/>
            <w:sz w:val="20"/>
          </w:rPr>
          <w:instrText>PAGE   \* MERGEFORMAT</w:instrText>
        </w:r>
        <w:r w:rsidRPr="008030B6">
          <w:rPr>
            <w:rFonts w:asciiTheme="majorHAnsi" w:hAnsiTheme="majorHAnsi" w:cs="Times New Roman"/>
            <w:b/>
            <w:color w:val="5B9BD5" w:themeColor="accent1"/>
            <w:sz w:val="20"/>
          </w:rPr>
          <w:fldChar w:fldCharType="separate"/>
        </w:r>
        <w:r w:rsidRPr="001A7D31">
          <w:rPr>
            <w:rFonts w:asciiTheme="majorHAnsi" w:hAnsiTheme="majorHAnsi" w:cs="Times New Roman"/>
            <w:b/>
            <w:noProof/>
            <w:color w:val="5B9BD5" w:themeColor="accent1"/>
            <w:sz w:val="20"/>
            <w:lang w:val="es-ES"/>
          </w:rPr>
          <w:t>9</w:t>
        </w:r>
        <w:r w:rsidRPr="008030B6">
          <w:rPr>
            <w:rFonts w:asciiTheme="majorHAnsi" w:hAnsiTheme="majorHAnsi" w:cs="Times New Roman"/>
            <w:b/>
            <w:color w:val="5B9BD5" w:themeColor="accent1"/>
            <w:sz w:val="20"/>
          </w:rPr>
          <w:fldChar w:fldCharType="end"/>
        </w:r>
        <w:r w:rsidRPr="008030B6">
          <w:rPr>
            <w:rFonts w:asciiTheme="majorHAnsi" w:hAnsiTheme="majorHAnsi" w:cs="Times New Roman"/>
            <w:b/>
            <w:color w:val="5B9BD5" w:themeColor="accent1"/>
            <w:sz w:val="20"/>
            <w:lang w:val="es-ES"/>
          </w:rPr>
          <w:t xml:space="preserve"> </w:t>
        </w:r>
      </w:p>
    </w:sdtContent>
  </w:sdt>
  <w:p w14:paraId="581965B5" w14:textId="77777777" w:rsidR="00BA4056" w:rsidRDefault="00BA4056">
    <w:pPr>
      <w:pStyle w:val="Piedepgin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776763910"/>
      <w:docPartObj>
        <w:docPartGallery w:val="Page Numbers (Bottom of Page)"/>
        <w:docPartUnique/>
      </w:docPartObj>
    </w:sdtPr>
    <w:sdtEndPr>
      <w:rPr>
        <w:rFonts w:asciiTheme="majorHAnsi" w:hAnsiTheme="majorHAnsi" w:cs="Arial"/>
        <w:color w:val="323E4F" w:themeColor="text2" w:themeShade="BF"/>
        <w:sz w:val="20"/>
        <w:szCs w:val="20"/>
        <w:lang w:val="es-MX"/>
      </w:rPr>
    </w:sdtEndPr>
    <w:sdtContent>
      <w:p w14:paraId="406924C5" w14:textId="56343DCD" w:rsidR="00BA4056" w:rsidRPr="006906B8" w:rsidRDefault="00BA4056">
        <w:pPr>
          <w:pStyle w:val="Piedepgina"/>
          <w:jc w:val="right"/>
          <w:rPr>
            <w:rFonts w:asciiTheme="majorHAnsi" w:hAnsiTheme="majorHAnsi" w:cs="Arial"/>
            <w:color w:val="323E4F" w:themeColor="text2" w:themeShade="BF"/>
            <w:sz w:val="20"/>
            <w:szCs w:val="20"/>
            <w:lang w:val="es-MX"/>
          </w:rPr>
        </w:pPr>
        <w:r w:rsidRPr="006906B8">
          <w:rPr>
            <w:rFonts w:asciiTheme="majorHAnsi" w:hAnsiTheme="majorHAnsi" w:cs="Arial"/>
            <w:color w:val="323E4F" w:themeColor="text2" w:themeShade="BF"/>
            <w:sz w:val="20"/>
            <w:szCs w:val="20"/>
            <w:lang w:val="es-MX"/>
          </w:rPr>
          <w:t xml:space="preserve">Página | </w:t>
        </w:r>
        <w:r w:rsidRPr="006906B8">
          <w:rPr>
            <w:rFonts w:asciiTheme="majorHAnsi" w:hAnsiTheme="majorHAnsi" w:cs="Arial"/>
            <w:color w:val="323E4F" w:themeColor="text2" w:themeShade="BF"/>
            <w:sz w:val="20"/>
            <w:szCs w:val="20"/>
            <w:lang w:val="es-MX"/>
          </w:rPr>
          <w:fldChar w:fldCharType="begin"/>
        </w:r>
        <w:r w:rsidRPr="006906B8">
          <w:rPr>
            <w:rFonts w:asciiTheme="majorHAnsi" w:hAnsiTheme="majorHAnsi" w:cs="Arial"/>
            <w:color w:val="323E4F" w:themeColor="text2" w:themeShade="BF"/>
            <w:sz w:val="20"/>
            <w:szCs w:val="20"/>
            <w:lang w:val="es-MX"/>
          </w:rPr>
          <w:instrText>PAGE   \* MERGEFORMAT</w:instrText>
        </w:r>
        <w:r w:rsidRPr="006906B8">
          <w:rPr>
            <w:rFonts w:asciiTheme="majorHAnsi" w:hAnsiTheme="majorHAnsi" w:cs="Arial"/>
            <w:color w:val="323E4F" w:themeColor="text2" w:themeShade="BF"/>
            <w:sz w:val="20"/>
            <w:szCs w:val="20"/>
            <w:lang w:val="es-MX"/>
          </w:rPr>
          <w:fldChar w:fldCharType="separate"/>
        </w:r>
        <w:r w:rsidR="002C0ADD">
          <w:rPr>
            <w:rFonts w:asciiTheme="majorHAnsi" w:hAnsiTheme="majorHAnsi" w:cs="Arial"/>
            <w:noProof/>
            <w:color w:val="323E4F" w:themeColor="text2" w:themeShade="BF"/>
            <w:sz w:val="20"/>
            <w:szCs w:val="20"/>
            <w:lang w:val="es-MX"/>
          </w:rPr>
          <w:t>8</w:t>
        </w:r>
        <w:r w:rsidRPr="006906B8">
          <w:rPr>
            <w:rFonts w:asciiTheme="majorHAnsi" w:hAnsiTheme="majorHAnsi" w:cs="Arial"/>
            <w:color w:val="323E4F" w:themeColor="text2" w:themeShade="BF"/>
            <w:sz w:val="20"/>
            <w:szCs w:val="20"/>
            <w:lang w:val="es-MX"/>
          </w:rPr>
          <w:fldChar w:fldCharType="end"/>
        </w:r>
        <w:r w:rsidRPr="006906B8">
          <w:rPr>
            <w:rFonts w:asciiTheme="majorHAnsi" w:hAnsiTheme="majorHAnsi" w:cs="Arial"/>
            <w:color w:val="323E4F" w:themeColor="text2" w:themeShade="BF"/>
            <w:sz w:val="20"/>
            <w:szCs w:val="20"/>
            <w:lang w:val="es-MX"/>
          </w:rPr>
          <w:t xml:space="preserve"> </w:t>
        </w:r>
      </w:p>
    </w:sdtContent>
  </w:sdt>
  <w:p w14:paraId="1CB47AE7" w14:textId="77777777" w:rsidR="00BA4056" w:rsidRDefault="00BA40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EBC6A" w14:textId="77777777" w:rsidR="00100628" w:rsidRDefault="00100628" w:rsidP="008030B6">
      <w:pPr>
        <w:spacing w:after="0" w:line="240" w:lineRule="auto"/>
      </w:pPr>
      <w:r>
        <w:separator/>
      </w:r>
    </w:p>
  </w:footnote>
  <w:footnote w:type="continuationSeparator" w:id="0">
    <w:p w14:paraId="7BF075AD" w14:textId="77777777" w:rsidR="00100628" w:rsidRDefault="00100628" w:rsidP="008030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7F20A"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89984" behindDoc="0" locked="0" layoutInCell="1" allowOverlap="1" wp14:anchorId="7F26C75F" wp14:editId="58A9865F">
              <wp:simplePos x="0" y="0"/>
              <wp:positionH relativeFrom="column">
                <wp:posOffset>660400</wp:posOffset>
              </wp:positionH>
              <wp:positionV relativeFrom="paragraph">
                <wp:posOffset>-398780</wp:posOffset>
              </wp:positionV>
              <wp:extent cx="2823210" cy="826770"/>
              <wp:effectExtent l="0" t="0" r="0" b="0"/>
              <wp:wrapSquare wrapText="bothSides"/>
              <wp:docPr id="224" name="Cuadro de texto 224"/>
              <wp:cNvGraphicFramePr/>
              <a:graphic xmlns:a="http://schemas.openxmlformats.org/drawingml/2006/main">
                <a:graphicData uri="http://schemas.microsoft.com/office/word/2010/wordprocessingShape">
                  <wps:wsp>
                    <wps:cNvSpPr txBox="1"/>
                    <wps:spPr>
                      <a:xfrm>
                        <a:off x="0" y="0"/>
                        <a:ext cx="2823210" cy="826770"/>
                      </a:xfrm>
                      <a:prstGeom prst="rect">
                        <a:avLst/>
                      </a:prstGeom>
                      <a:solidFill>
                        <a:schemeClr val="bg1"/>
                      </a:solidFill>
                      <a:ln w="6350">
                        <a:noFill/>
                      </a:ln>
                    </wps:spPr>
                    <wps:txbx>
                      <w:txbxContent>
                        <w:p w14:paraId="17C85BB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09054A74"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26C75F" id="_x0000_t202" coordsize="21600,21600" o:spt="202" path="m,l,21600r21600,l21600,xe">
              <v:stroke joinstyle="miter"/>
              <v:path gradientshapeok="t" o:connecttype="rect"/>
            </v:shapetype>
            <v:shape id="Cuadro de texto 224" o:spid="_x0000_s1029" type="#_x0000_t202" style="position:absolute;left:0;text-align:left;margin-left:52pt;margin-top:-31.4pt;width:222.3pt;height:6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" fillcolor="white [3212]" stroked="f" strokeweight=".5pt">
              <v:textbox>
                <w:txbxContent>
                  <w:p w14:paraId="17C85BB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C739442"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790B8FD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B998890"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C18E057" w14:textId="09054A74"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w:t>
                    </w:r>
                    <w:r>
                      <w:rPr>
                        <w:rFonts w:asciiTheme="majorHAnsi" w:hAnsiTheme="majorHAnsi" w:cs="Arial"/>
                        <w:color w:val="323E4F" w:themeColor="text2" w:themeShade="BF"/>
                        <w:sz w:val="18"/>
                        <w:szCs w:val="20"/>
                        <w:lang w:val="es-MX"/>
                      </w:rPr>
                      <w:t>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59264" behindDoc="1" locked="0" layoutInCell="1" allowOverlap="1" wp14:anchorId="6F943ABD" wp14:editId="249E6A2F">
          <wp:simplePos x="0" y="0"/>
          <wp:positionH relativeFrom="column">
            <wp:posOffset>-1076325</wp:posOffset>
          </wp:positionH>
          <wp:positionV relativeFrom="paragraph">
            <wp:posOffset>-734060</wp:posOffset>
          </wp:positionV>
          <wp:extent cx="3093621" cy="1283913"/>
          <wp:effectExtent l="0" t="0" r="0" b="0"/>
          <wp:wrapNone/>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04E99"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0464" behindDoc="0" locked="0" layoutInCell="1" allowOverlap="1" wp14:anchorId="0FA7CA9E" wp14:editId="08C16FA3">
              <wp:simplePos x="0" y="0"/>
              <wp:positionH relativeFrom="column">
                <wp:posOffset>668020</wp:posOffset>
              </wp:positionH>
              <wp:positionV relativeFrom="paragraph">
                <wp:posOffset>-391160</wp:posOffset>
              </wp:positionV>
              <wp:extent cx="2801620" cy="789940"/>
              <wp:effectExtent l="0" t="0" r="0" b="0"/>
              <wp:wrapSquare wrapText="bothSides"/>
              <wp:docPr id="59" name="Cuadro de texto 59"/>
              <wp:cNvGraphicFramePr/>
              <a:graphic xmlns:a="http://schemas.openxmlformats.org/drawingml/2006/main">
                <a:graphicData uri="http://schemas.microsoft.com/office/word/2010/wordprocessingShape">
                  <wps:wsp>
                    <wps:cNvSpPr txBox="1"/>
                    <wps:spPr>
                      <a:xfrm>
                        <a:off x="0" y="0"/>
                        <a:ext cx="2801620" cy="789940"/>
                      </a:xfrm>
                      <a:prstGeom prst="rect">
                        <a:avLst/>
                      </a:prstGeom>
                      <a:solidFill>
                        <a:schemeClr val="bg1"/>
                      </a:solidFill>
                      <a:ln w="6350">
                        <a:noFill/>
                      </a:ln>
                    </wps:spPr>
                    <wps:txbx>
                      <w:txbxContent>
                        <w:p w14:paraId="0B209F6D"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188808C4" w:rsidR="00BA4056" w:rsidRPr="00F45C80" w:rsidRDefault="00BA4056"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A7CA9E" id="_x0000_t202" coordsize="21600,21600" o:spt="202" path="m,l,21600r21600,l21600,xe">
              <v:stroke joinstyle="miter"/>
              <v:path gradientshapeok="t" o:connecttype="rect"/>
            </v:shapetype>
            <v:shape id="Cuadro de texto 59" o:spid="_x0000_s1036" type="#_x0000_t202" style="position:absolute;left:0;text-align:left;margin-left:52.6pt;margin-top:-30.8pt;width:220.6pt;height:62.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" fillcolor="white [3212]" stroked="f" strokeweight=".5pt">
              <v:textbox>
                <w:txbxContent>
                  <w:p w14:paraId="0B209F6D"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D90E253"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3A47802A"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40CA864" w14:textId="77777777" w:rsidR="00BA4056" w:rsidRPr="00F45C80" w:rsidRDefault="00BA4056" w:rsidP="001B456C">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4A4FC10" w14:textId="188808C4" w:rsidR="00BA4056" w:rsidRPr="00F45C80" w:rsidRDefault="00BA4056" w:rsidP="001B456C">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1792" behindDoc="1" locked="0" layoutInCell="1" allowOverlap="1" wp14:anchorId="4067C752" wp14:editId="68566C61">
          <wp:simplePos x="0" y="0"/>
          <wp:positionH relativeFrom="column">
            <wp:posOffset>-1076325</wp:posOffset>
          </wp:positionH>
          <wp:positionV relativeFrom="paragraph">
            <wp:posOffset>-734060</wp:posOffset>
          </wp:positionV>
          <wp:extent cx="3093621" cy="1283913"/>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86410E9" w14:textId="77777777" w:rsidR="00BA4056" w:rsidRPr="008030B6" w:rsidRDefault="00BA4056">
    <w:pPr>
      <w:pStyle w:val="Encabezado"/>
      <w:rPr>
        <w:lang w:val="es-MX"/>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DC9D"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0224" behindDoc="0" locked="0" layoutInCell="1" allowOverlap="1" wp14:anchorId="5688AC0A" wp14:editId="1CCBE248">
              <wp:simplePos x="0" y="0"/>
              <wp:positionH relativeFrom="column">
                <wp:posOffset>668020</wp:posOffset>
              </wp:positionH>
              <wp:positionV relativeFrom="paragraph">
                <wp:posOffset>-376555</wp:posOffset>
              </wp:positionV>
              <wp:extent cx="2801620" cy="826770"/>
              <wp:effectExtent l="0" t="0" r="0" b="0"/>
              <wp:wrapSquare wrapText="bothSides"/>
              <wp:docPr id="232" name="Cuadro de texto 232"/>
              <wp:cNvGraphicFramePr/>
              <a:graphic xmlns:a="http://schemas.openxmlformats.org/drawingml/2006/main">
                <a:graphicData uri="http://schemas.microsoft.com/office/word/2010/wordprocessingShape">
                  <wps:wsp>
                    <wps:cNvSpPr txBox="1"/>
                    <wps:spPr>
                      <a:xfrm>
                        <a:off x="0" y="0"/>
                        <a:ext cx="2801620" cy="826770"/>
                      </a:xfrm>
                      <a:prstGeom prst="rect">
                        <a:avLst/>
                      </a:prstGeom>
                      <a:solidFill>
                        <a:schemeClr val="bg1"/>
                      </a:solidFill>
                      <a:ln w="6350">
                        <a:noFill/>
                      </a:ln>
                    </wps:spPr>
                    <wps:txbx>
                      <w:txbxContent>
                        <w:p w14:paraId="7C20C602"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218E69DD"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8AC0A" id="_x0000_t202" coordsize="21600,21600" o:spt="202" path="m,l,21600r21600,l21600,xe">
              <v:stroke joinstyle="miter"/>
              <v:path gradientshapeok="t" o:connecttype="rect"/>
            </v:shapetype>
            <v:shape id="Cuadro de texto 232" o:spid="_x0000_s1037" type="#_x0000_t202" style="position:absolute;left:0;text-align:left;margin-left:52.6pt;margin-top:-29.65pt;width:220.6pt;height:6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" fillcolor="white [3212]" stroked="f" strokeweight=".5pt">
              <v:textbox>
                <w:txbxContent>
                  <w:p w14:paraId="7C20C602"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0592B5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7E0A91B"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0C45E5B"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86491F6" w14:textId="218E69DD"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 xml:space="preserve">INFORME DE LAS FINANZAS PÚBLICAS, </w:t>
                    </w:r>
                    <w:r>
                      <w:rPr>
                        <w:rFonts w:asciiTheme="majorHAnsi" w:hAnsiTheme="majorHAnsi" w:cs="Arial"/>
                        <w:color w:val="323E4F" w:themeColor="text2" w:themeShade="BF"/>
                        <w:sz w:val="18"/>
                        <w:szCs w:val="20"/>
                        <w:lang w:val="es-MX"/>
                      </w:rPr>
                      <w:t>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3840" behindDoc="1" locked="0" layoutInCell="1" allowOverlap="1" wp14:anchorId="3E0CC6AA" wp14:editId="0B2E2A13">
          <wp:simplePos x="0" y="0"/>
          <wp:positionH relativeFrom="column">
            <wp:posOffset>-1076325</wp:posOffset>
          </wp:positionH>
          <wp:positionV relativeFrom="paragraph">
            <wp:posOffset>-734060</wp:posOffset>
          </wp:positionV>
          <wp:extent cx="3093621" cy="1283913"/>
          <wp:effectExtent l="0" t="0" r="0" b="0"/>
          <wp:wrapNone/>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4145C5F" w14:textId="77777777" w:rsidR="00BA4056" w:rsidRPr="008030B6" w:rsidRDefault="00BA4056" w:rsidP="006906B8">
    <w:pPr>
      <w:pStyle w:val="Encabezado"/>
      <w:tabs>
        <w:tab w:val="left" w:pos="1276"/>
      </w:tabs>
      <w:rPr>
        <w:lang w:val="es-MX"/>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3680"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6368" behindDoc="0" locked="0" layoutInCell="1" allowOverlap="1" wp14:anchorId="0510C4DE" wp14:editId="4DEA9766">
              <wp:simplePos x="0" y="0"/>
              <wp:positionH relativeFrom="column">
                <wp:posOffset>700405</wp:posOffset>
              </wp:positionH>
              <wp:positionV relativeFrom="paragraph">
                <wp:posOffset>-386080</wp:posOffset>
              </wp:positionV>
              <wp:extent cx="2800350" cy="842645"/>
              <wp:effectExtent l="0" t="0" r="0" b="0"/>
              <wp:wrapSquare wrapText="bothSides"/>
              <wp:docPr id="246" name="Cuadro de texto 246"/>
              <wp:cNvGraphicFramePr/>
              <a:graphic xmlns:a="http://schemas.openxmlformats.org/drawingml/2006/main">
                <a:graphicData uri="http://schemas.microsoft.com/office/word/2010/wordprocessingShape">
                  <wps:wsp>
                    <wps:cNvSpPr txBox="1"/>
                    <wps:spPr>
                      <a:xfrm>
                        <a:off x="0" y="0"/>
                        <a:ext cx="2800350" cy="842645"/>
                      </a:xfrm>
                      <a:prstGeom prst="rect">
                        <a:avLst/>
                      </a:prstGeom>
                      <a:solidFill>
                        <a:schemeClr val="bg1"/>
                      </a:solidFill>
                      <a:ln w="6350">
                        <a:noFill/>
                      </a:ln>
                    </wps:spPr>
                    <wps:txbx>
                      <w:txbxContent>
                        <w:p w14:paraId="368CC62C"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7FD226FF" w:rsidR="00BA4056" w:rsidRPr="00F45C80" w:rsidRDefault="00BA4056"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10C4DE" id="_x0000_t202" coordsize="21600,21600" o:spt="202" path="m,l,21600r21600,l21600,xe">
              <v:stroke joinstyle="miter"/>
              <v:path gradientshapeok="t" o:connecttype="rect"/>
            </v:shapetype>
            <v:shape id="Cuadro de texto 246" o:spid="_x0000_s1038" type="#_x0000_t202" style="position:absolute;left:0;text-align:left;margin-left:55.15pt;margin-top:-30.4pt;width:220.5pt;height:66.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" fillcolor="white [3212]" stroked="f" strokeweight=".5pt">
              <v:textbox>
                <w:txbxContent>
                  <w:p w14:paraId="368CC62C"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19B4C4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DC9B51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E349B1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32E2DCC" w14:textId="7FD226FF" w:rsidR="00BA4056" w:rsidRPr="00F45C80" w:rsidRDefault="00BA4056"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5888" behindDoc="1" locked="0" layoutInCell="1" allowOverlap="1" wp14:anchorId="62D4ABEB" wp14:editId="13D441E5">
          <wp:simplePos x="0" y="0"/>
          <wp:positionH relativeFrom="column">
            <wp:posOffset>-1076325</wp:posOffset>
          </wp:positionH>
          <wp:positionV relativeFrom="paragraph">
            <wp:posOffset>-734060</wp:posOffset>
          </wp:positionV>
          <wp:extent cx="3093621" cy="1283913"/>
          <wp:effectExtent l="0" t="0" r="0" b="0"/>
          <wp:wrapNone/>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02268DB1" w14:textId="77777777" w:rsidR="00BA4056" w:rsidRPr="008030B6" w:rsidRDefault="00BA4056" w:rsidP="006906B8">
    <w:pPr>
      <w:pStyle w:val="Encabezado"/>
      <w:tabs>
        <w:tab w:val="left" w:pos="1276"/>
      </w:tabs>
      <w:rPr>
        <w:lang w:val="es-MX"/>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2D7C4"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2272" behindDoc="0" locked="0" layoutInCell="1" allowOverlap="1" wp14:anchorId="50F0BAC4" wp14:editId="7B60BFB5">
              <wp:simplePos x="0" y="0"/>
              <wp:positionH relativeFrom="column">
                <wp:posOffset>682625</wp:posOffset>
              </wp:positionH>
              <wp:positionV relativeFrom="paragraph">
                <wp:posOffset>-398780</wp:posOffset>
              </wp:positionV>
              <wp:extent cx="2837815" cy="826770"/>
              <wp:effectExtent l="0" t="0" r="635" b="0"/>
              <wp:wrapSquare wrapText="bothSides"/>
              <wp:docPr id="233" name="Cuadro de texto 233"/>
              <wp:cNvGraphicFramePr/>
              <a:graphic xmlns:a="http://schemas.openxmlformats.org/drawingml/2006/main">
                <a:graphicData uri="http://schemas.microsoft.com/office/word/2010/wordprocessingShape">
                  <wps:wsp>
                    <wps:cNvSpPr txBox="1"/>
                    <wps:spPr>
                      <a:xfrm>
                        <a:off x="0" y="0"/>
                        <a:ext cx="2837815" cy="826770"/>
                      </a:xfrm>
                      <a:prstGeom prst="rect">
                        <a:avLst/>
                      </a:prstGeom>
                      <a:solidFill>
                        <a:schemeClr val="bg1"/>
                      </a:solidFill>
                      <a:ln w="6350">
                        <a:noFill/>
                      </a:ln>
                    </wps:spPr>
                    <wps:txbx>
                      <w:txbxContent>
                        <w:p w14:paraId="68BA68C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251EB8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BC5D9C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40C6E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1AEE9F" w14:textId="6FFE7629"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0BAC4" id="_x0000_t202" coordsize="21600,21600" o:spt="202" path="m,l,21600r21600,l21600,xe">
              <v:stroke joinstyle="miter"/>
              <v:path gradientshapeok="t" o:connecttype="rect"/>
            </v:shapetype>
            <v:shape id="Cuadro de texto 233" o:spid="_x0000_s1039" type="#_x0000_t202" style="position:absolute;left:0;text-align:left;margin-left:53.75pt;margin-top:-31.4pt;width:223.45pt;height:6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" fillcolor="white [3212]" stroked="f" strokeweight=".5pt">
              <v:textbox>
                <w:txbxContent>
                  <w:p w14:paraId="68BA68C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5251EB8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BC5D9C9"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40C6E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301AEE9F" w14:textId="6FFE7629"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87936" behindDoc="1" locked="0" layoutInCell="1" allowOverlap="1" wp14:anchorId="4DD84C82" wp14:editId="7DFBEFDD">
          <wp:simplePos x="0" y="0"/>
          <wp:positionH relativeFrom="column">
            <wp:posOffset>-1076325</wp:posOffset>
          </wp:positionH>
          <wp:positionV relativeFrom="paragraph">
            <wp:posOffset>-734060</wp:posOffset>
          </wp:positionV>
          <wp:extent cx="3093621" cy="1283913"/>
          <wp:effectExtent l="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ECC322D" w14:textId="77777777" w:rsidR="00BA4056" w:rsidRPr="008030B6" w:rsidRDefault="00BA4056" w:rsidP="006906B8">
    <w:pPr>
      <w:pStyle w:val="Encabezado"/>
      <w:tabs>
        <w:tab w:val="left" w:pos="1276"/>
      </w:tabs>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E1993"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1312" behindDoc="1" locked="0" layoutInCell="1" allowOverlap="1" wp14:anchorId="6C5C5AEC" wp14:editId="156418D5">
          <wp:simplePos x="0" y="0"/>
          <wp:positionH relativeFrom="column">
            <wp:posOffset>-1076325</wp:posOffset>
          </wp:positionH>
          <wp:positionV relativeFrom="paragraph">
            <wp:posOffset>-734060</wp:posOffset>
          </wp:positionV>
          <wp:extent cx="3093621" cy="1283913"/>
          <wp:effectExtent l="0" t="0" r="0" b="0"/>
          <wp:wrapNone/>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0181376" w14:textId="77777777" w:rsidR="00BA4056" w:rsidRPr="008030B6" w:rsidRDefault="00BA4056"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66AF87C2" w14:textId="77777777" w:rsidR="00BA4056" w:rsidRPr="008030B6" w:rsidRDefault="00BA4056"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76F7FAE9" w14:textId="77777777" w:rsidR="00BA4056" w:rsidRPr="008030B6" w:rsidRDefault="00BA4056">
    <w:pPr>
      <w:pStyle w:val="Encabezado"/>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2E8" w14:textId="6BFAF0E4"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2032" behindDoc="0" locked="0" layoutInCell="1" allowOverlap="1" wp14:anchorId="10EFEE3F" wp14:editId="4134D8A8">
              <wp:simplePos x="0" y="0"/>
              <wp:positionH relativeFrom="column">
                <wp:posOffset>660400</wp:posOffset>
              </wp:positionH>
              <wp:positionV relativeFrom="paragraph">
                <wp:posOffset>-391160</wp:posOffset>
              </wp:positionV>
              <wp:extent cx="2794000" cy="834390"/>
              <wp:effectExtent l="0" t="0" r="6350" b="3810"/>
              <wp:wrapSquare wrapText="bothSides"/>
              <wp:docPr id="226" name="Cuadro de texto 226"/>
              <wp:cNvGraphicFramePr/>
              <a:graphic xmlns:a="http://schemas.openxmlformats.org/drawingml/2006/main">
                <a:graphicData uri="http://schemas.microsoft.com/office/word/2010/wordprocessingShape">
                  <wps:wsp>
                    <wps:cNvSpPr txBox="1"/>
                    <wps:spPr>
                      <a:xfrm>
                        <a:off x="0" y="0"/>
                        <a:ext cx="2794000" cy="834390"/>
                      </a:xfrm>
                      <a:prstGeom prst="rect">
                        <a:avLst/>
                      </a:prstGeom>
                      <a:solidFill>
                        <a:schemeClr val="bg1"/>
                      </a:solidFill>
                      <a:ln w="6350">
                        <a:noFill/>
                      </a:ln>
                    </wps:spPr>
                    <wps:txbx>
                      <w:txbxContent>
                        <w:p w14:paraId="1AF0BDA1"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FEE3F" id="_x0000_t202" coordsize="21600,21600" o:spt="202" path="m,l,21600r21600,l21600,xe">
              <v:stroke joinstyle="miter"/>
              <v:path gradientshapeok="t" o:connecttype="rect"/>
            </v:shapetype>
            <v:shape id="Cuadro de texto 226" o:spid="_x0000_s1030" type="#_x0000_t202" style="position:absolute;left:0;text-align:left;margin-left:52pt;margin-top:-30.8pt;width:220pt;height:6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" fillcolor="white [3212]" stroked="f" strokeweight=".5pt">
              <v:textbox>
                <w:txbxContent>
                  <w:p w14:paraId="1AF0BDA1"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20A77DF1"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54973FB8"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49746663" w14:textId="547B5C6D"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w:t>
                    </w:r>
                    <w:r>
                      <w:rPr>
                        <w:rFonts w:asciiTheme="majorHAnsi" w:hAnsiTheme="majorHAnsi" w:cs="Arial"/>
                        <w:color w:val="323E4F" w:themeColor="text2" w:themeShade="BF"/>
                        <w:sz w:val="18"/>
                        <w:szCs w:val="20"/>
                        <w:lang w:val="es-MX"/>
                      </w:rPr>
                      <w:t>IÓN DE ANÁLISIS Y POLÍTICA FISC</w:t>
                    </w:r>
                    <w:r w:rsidRPr="00F45C80">
                      <w:rPr>
                        <w:rFonts w:asciiTheme="majorHAnsi" w:hAnsiTheme="majorHAnsi" w:cs="Arial"/>
                        <w:color w:val="323E4F" w:themeColor="text2" w:themeShade="BF"/>
                        <w:sz w:val="18"/>
                        <w:szCs w:val="20"/>
                        <w:lang w:val="es-MX"/>
                      </w:rPr>
                      <w:t>L</w:t>
                    </w:r>
                  </w:p>
                  <w:p w14:paraId="1188B710" w14:textId="089FBEE9"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3360" behindDoc="1" locked="0" layoutInCell="1" allowOverlap="1" wp14:anchorId="3F72B27B" wp14:editId="59EE27A9">
          <wp:simplePos x="0" y="0"/>
          <wp:positionH relativeFrom="column">
            <wp:posOffset>-1076325</wp:posOffset>
          </wp:positionH>
          <wp:positionV relativeFrom="paragraph">
            <wp:posOffset>-734060</wp:posOffset>
          </wp:positionV>
          <wp:extent cx="3093621" cy="1283913"/>
          <wp:effectExtent l="0" t="0" r="0" b="0"/>
          <wp:wrapNone/>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6D36B54E" w14:textId="77777777" w:rsidR="00BA4056" w:rsidRPr="008030B6" w:rsidRDefault="00BA4056" w:rsidP="006906B8">
    <w:pPr>
      <w:pStyle w:val="Encabezado"/>
      <w:tabs>
        <w:tab w:val="left" w:pos="1276"/>
      </w:tabs>
      <w:rPr>
        <w:lang w:val="es-MX"/>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FDB9"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13536" behindDoc="0" locked="0" layoutInCell="1" allowOverlap="1" wp14:anchorId="6452CB1F" wp14:editId="74C777E6">
              <wp:simplePos x="0" y="0"/>
              <wp:positionH relativeFrom="column">
                <wp:posOffset>700405</wp:posOffset>
              </wp:positionH>
              <wp:positionV relativeFrom="paragraph">
                <wp:posOffset>-386080</wp:posOffset>
              </wp:positionV>
              <wp:extent cx="2800350" cy="795020"/>
              <wp:effectExtent l="0" t="0" r="0" b="508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2800350" cy="795020"/>
                      </a:xfrm>
                      <a:prstGeom prst="rect">
                        <a:avLst/>
                      </a:prstGeom>
                      <a:solidFill>
                        <a:schemeClr val="bg1"/>
                      </a:solidFill>
                      <a:ln w="6350">
                        <a:noFill/>
                      </a:ln>
                    </wps:spPr>
                    <wps:txbx>
                      <w:txbxContent>
                        <w:p w14:paraId="6C436F7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1EAA9F79" w:rsidR="00BA4056" w:rsidRPr="00F45C80" w:rsidRDefault="00BA4056"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 </w:t>
                          </w:r>
                          <w:r w:rsidRPr="00F45C80">
                            <w:rPr>
                              <w:rFonts w:asciiTheme="majorHAnsi" w:hAnsiTheme="majorHAnsi" w:cs="Arial"/>
                              <w:color w:val="323E4F" w:themeColor="text2" w:themeShade="BF"/>
                              <w:sz w:val="18"/>
                              <w:szCs w:val="20"/>
                              <w:lang w:val="es-MX"/>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2CB1F" id="_x0000_t202" coordsize="21600,21600" o:spt="202" path="m,l,21600r21600,l21600,xe">
              <v:stroke joinstyle="miter"/>
              <v:path gradientshapeok="t" o:connecttype="rect"/>
            </v:shapetype>
            <v:shape id="Cuadro de texto 22" o:spid="_x0000_s1031" type="#_x0000_t202" style="position:absolute;left:0;text-align:left;margin-left:55.15pt;margin-top:-30.4pt;width:220.5pt;height:6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" fillcolor="white [3212]" stroked="f" strokeweight=".5pt">
              <v:textbox>
                <w:txbxContent>
                  <w:p w14:paraId="6C436F74"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7217AE5F"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11896ED2"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606D2EF3"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7AF171D" w14:textId="1EAA9F79" w:rsidR="00BA4056" w:rsidRPr="00F45C80" w:rsidRDefault="00BA4056"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 </w:t>
                    </w:r>
                    <w:r w:rsidRPr="00F45C80">
                      <w:rPr>
                        <w:rFonts w:asciiTheme="majorHAnsi" w:hAnsiTheme="majorHAnsi" w:cs="Arial"/>
                        <w:color w:val="323E4F" w:themeColor="text2" w:themeShade="BF"/>
                        <w:sz w:val="18"/>
                        <w:szCs w:val="20"/>
                        <w:lang w:val="es-MX"/>
                      </w:rPr>
                      <w:t>2022</w:t>
                    </w:r>
                  </w:p>
                </w:txbxContent>
              </v:textbox>
              <w10:wrap type="square"/>
            </v:shape>
          </w:pict>
        </mc:Fallback>
      </mc:AlternateContent>
    </w:r>
    <w:r>
      <w:rPr>
        <w:noProof/>
        <w:lang w:eastAsia="es-GT"/>
      </w:rPr>
      <w:drawing>
        <wp:anchor distT="0" distB="0" distL="114300" distR="114300" simplePos="0" relativeHeight="251712512" behindDoc="1" locked="0" layoutInCell="1" allowOverlap="1" wp14:anchorId="6470CE3E" wp14:editId="56A512B7">
          <wp:simplePos x="0" y="0"/>
          <wp:positionH relativeFrom="column">
            <wp:posOffset>-1076325</wp:posOffset>
          </wp:positionH>
          <wp:positionV relativeFrom="paragraph">
            <wp:posOffset>-734060</wp:posOffset>
          </wp:positionV>
          <wp:extent cx="3093621" cy="1283913"/>
          <wp:effectExtent l="0" t="0" r="0" b="0"/>
          <wp:wrapNone/>
          <wp:docPr id="2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76664D10" w14:textId="77777777" w:rsidR="00BA4056" w:rsidRPr="008030B6" w:rsidRDefault="00BA4056" w:rsidP="006906B8">
    <w:pPr>
      <w:pStyle w:val="Encabezado"/>
      <w:tabs>
        <w:tab w:val="left" w:pos="1276"/>
      </w:tabs>
      <w:rPr>
        <w:lang w:val="es-MX"/>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40E0E"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65408" behindDoc="1" locked="0" layoutInCell="1" allowOverlap="1" wp14:anchorId="15CBC96E" wp14:editId="45FB375C">
          <wp:simplePos x="0" y="0"/>
          <wp:positionH relativeFrom="column">
            <wp:posOffset>-1076325</wp:posOffset>
          </wp:positionH>
          <wp:positionV relativeFrom="paragraph">
            <wp:posOffset>-734060</wp:posOffset>
          </wp:positionV>
          <wp:extent cx="3093621" cy="1283913"/>
          <wp:effectExtent l="0" t="0" r="0" b="0"/>
          <wp:wrapNone/>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5ABFBD1" w14:textId="77777777" w:rsidR="00BA4056" w:rsidRPr="008030B6" w:rsidRDefault="00BA4056"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01E83468" w14:textId="77777777" w:rsidR="00BA4056" w:rsidRPr="008030B6" w:rsidRDefault="00BA4056"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442F2517" w14:textId="77777777" w:rsidR="00BA4056" w:rsidRPr="008030B6" w:rsidRDefault="00BA4056">
    <w:pPr>
      <w:pStyle w:val="Encabezado"/>
      <w:rPr>
        <w:lang w:val="es-MX"/>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B048E"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4080" behindDoc="0" locked="0" layoutInCell="1" allowOverlap="1" wp14:anchorId="51879951" wp14:editId="0BEE8C0A">
              <wp:simplePos x="0" y="0"/>
              <wp:positionH relativeFrom="column">
                <wp:posOffset>661035</wp:posOffset>
              </wp:positionH>
              <wp:positionV relativeFrom="paragraph">
                <wp:posOffset>-410210</wp:posOffset>
              </wp:positionV>
              <wp:extent cx="2800350" cy="858520"/>
              <wp:effectExtent l="0" t="0" r="0" b="0"/>
              <wp:wrapSquare wrapText="bothSides"/>
              <wp:docPr id="229" name="Cuadro de texto 229"/>
              <wp:cNvGraphicFramePr/>
              <a:graphic xmlns:a="http://schemas.openxmlformats.org/drawingml/2006/main">
                <a:graphicData uri="http://schemas.microsoft.com/office/word/2010/wordprocessingShape">
                  <wps:wsp>
                    <wps:cNvSpPr txBox="1"/>
                    <wps:spPr>
                      <a:xfrm>
                        <a:off x="0" y="0"/>
                        <a:ext cx="2800350" cy="858520"/>
                      </a:xfrm>
                      <a:prstGeom prst="rect">
                        <a:avLst/>
                      </a:prstGeom>
                      <a:solidFill>
                        <a:schemeClr val="bg1"/>
                      </a:solidFill>
                      <a:ln w="6350">
                        <a:noFill/>
                      </a:ln>
                    </wps:spPr>
                    <wps:txbx>
                      <w:txbxContent>
                        <w:p w14:paraId="43B3281E"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5B512F86"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79951" id="_x0000_t202" coordsize="21600,21600" o:spt="202" path="m,l,21600r21600,l21600,xe">
              <v:stroke joinstyle="miter"/>
              <v:path gradientshapeok="t" o:connecttype="rect"/>
            </v:shapetype>
            <v:shape id="Cuadro de texto 229" o:spid="_x0000_s1032" type="#_x0000_t202" style="position:absolute;left:0;text-align:left;margin-left:52.05pt;margin-top:-32.3pt;width:220.5pt;height:6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" fillcolor="white [3212]" stroked="f" strokeweight=".5pt">
              <v:textbox>
                <w:txbxContent>
                  <w:p w14:paraId="43B3281E"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4B16CCA8"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44B626FE"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1B02AF93"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511650F3" w14:textId="5B512F86"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67456" behindDoc="1" locked="0" layoutInCell="1" allowOverlap="1" wp14:anchorId="6DFCF9B1" wp14:editId="1D03FD87">
          <wp:simplePos x="0" y="0"/>
          <wp:positionH relativeFrom="column">
            <wp:posOffset>-1076325</wp:posOffset>
          </wp:positionH>
          <wp:positionV relativeFrom="paragraph">
            <wp:posOffset>-734060</wp:posOffset>
          </wp:positionV>
          <wp:extent cx="3093621" cy="1283913"/>
          <wp:effectExtent l="0" t="0" r="0" b="0"/>
          <wp:wrapNone/>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4F8A8923" w14:textId="77777777" w:rsidR="00BA4056" w:rsidRPr="008030B6" w:rsidRDefault="00BA4056" w:rsidP="006906B8">
    <w:pPr>
      <w:pStyle w:val="Encabezado"/>
      <w:tabs>
        <w:tab w:val="left" w:pos="1276"/>
      </w:tabs>
      <w:rPr>
        <w:lang w:val="es-MX"/>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77A43"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704320" behindDoc="0" locked="0" layoutInCell="1" allowOverlap="1" wp14:anchorId="3D21F232" wp14:editId="1E01EC09">
              <wp:simplePos x="0" y="0"/>
              <wp:positionH relativeFrom="column">
                <wp:posOffset>684530</wp:posOffset>
              </wp:positionH>
              <wp:positionV relativeFrom="paragraph">
                <wp:posOffset>-354330</wp:posOffset>
              </wp:positionV>
              <wp:extent cx="2800350" cy="826770"/>
              <wp:effectExtent l="0" t="0" r="0" b="0"/>
              <wp:wrapSquare wrapText="bothSides"/>
              <wp:docPr id="245" name="Cuadro de texto 245"/>
              <wp:cNvGraphicFramePr/>
              <a:graphic xmlns:a="http://schemas.openxmlformats.org/drawingml/2006/main">
                <a:graphicData uri="http://schemas.microsoft.com/office/word/2010/wordprocessingShape">
                  <wps:wsp>
                    <wps:cNvSpPr txBox="1"/>
                    <wps:spPr>
                      <a:xfrm>
                        <a:off x="0" y="0"/>
                        <a:ext cx="2800350" cy="826770"/>
                      </a:xfrm>
                      <a:prstGeom prst="rect">
                        <a:avLst/>
                      </a:prstGeom>
                      <a:solidFill>
                        <a:schemeClr val="bg1"/>
                      </a:solidFill>
                      <a:ln w="6350">
                        <a:noFill/>
                      </a:ln>
                    </wps:spPr>
                    <wps:txbx>
                      <w:txbxContent>
                        <w:p w14:paraId="20FCC50E"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7465E043" w:rsidR="00BA4056" w:rsidRPr="00F45C80" w:rsidRDefault="00BA4056"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1F232" id="_x0000_t202" coordsize="21600,21600" o:spt="202" path="m,l,21600r21600,l21600,xe">
              <v:stroke joinstyle="miter"/>
              <v:path gradientshapeok="t" o:connecttype="rect"/>
            </v:shapetype>
            <v:shape id="Cuadro de texto 245" o:spid="_x0000_s1033" type="#_x0000_t202" style="position:absolute;left:0;text-align:left;margin-left:53.9pt;margin-top:-27.9pt;width:220.5pt;height:65.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" fillcolor="white [3212]" stroked="f" strokeweight=".5pt">
              <v:textbox>
                <w:txbxContent>
                  <w:p w14:paraId="20FCC50E"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1C206150"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2141E885"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78820177" w14:textId="77777777" w:rsidR="00BA4056" w:rsidRPr="00F45C80" w:rsidRDefault="00BA4056" w:rsidP="002C0967">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2E7F398D" w14:textId="7465E043" w:rsidR="00BA4056" w:rsidRPr="00F45C80" w:rsidRDefault="00BA4056" w:rsidP="002C0967">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1552" behindDoc="1" locked="0" layoutInCell="1" allowOverlap="1" wp14:anchorId="10AA3661" wp14:editId="6CF4E161">
          <wp:simplePos x="0" y="0"/>
          <wp:positionH relativeFrom="column">
            <wp:posOffset>-1076325</wp:posOffset>
          </wp:positionH>
          <wp:positionV relativeFrom="paragraph">
            <wp:posOffset>-734060</wp:posOffset>
          </wp:positionV>
          <wp:extent cx="3093621" cy="1283913"/>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2E1A1690" w14:textId="77777777" w:rsidR="00BA4056" w:rsidRDefault="00BA4056" w:rsidP="002C0967">
    <w:pPr>
      <w:pStyle w:val="Encabezado"/>
      <w:tabs>
        <w:tab w:val="left" w:pos="1276"/>
      </w:tabs>
      <w:rPr>
        <w:rFonts w:asciiTheme="majorHAnsi" w:hAnsiTheme="majorHAnsi" w:cs="Arial"/>
        <w:b/>
        <w:color w:val="5B9BD5" w:themeColor="accent1"/>
        <w:lang w:val="es-MX"/>
      </w:rPr>
    </w:pPr>
    <w:r>
      <w:rPr>
        <w:rFonts w:ascii="Arial Black" w:hAnsi="Arial Black" w:cs="Times New Roman"/>
        <w:b/>
        <w:color w:val="5B9BD5" w:themeColor="accent1"/>
        <w:lang w:val="es-MX"/>
      </w:rPr>
      <w:t xml:space="preserve">       </w:t>
    </w:r>
  </w:p>
  <w:p w14:paraId="39E04AF6" w14:textId="77777777" w:rsidR="00BA4056" w:rsidRPr="002C0967" w:rsidRDefault="00BA4056" w:rsidP="002C0967">
    <w:pPr>
      <w:pStyle w:val="Encabezado"/>
      <w:tabs>
        <w:tab w:val="left" w:pos="1276"/>
      </w:tabs>
      <w:rPr>
        <w:rFonts w:asciiTheme="majorHAnsi" w:hAnsiTheme="majorHAnsi" w:cs="Arial"/>
        <w:b/>
        <w:color w:val="5B9BD5" w:themeColor="accent1"/>
        <w:sz w:val="10"/>
        <w:lang w:val="es-MX"/>
      </w:rPr>
    </w:pPr>
  </w:p>
  <w:p w14:paraId="6CA87F21" w14:textId="77777777" w:rsidR="00BA4056" w:rsidRPr="008030B6" w:rsidRDefault="00BA4056">
    <w:pPr>
      <w:pStyle w:val="Encabezado"/>
      <w:rPr>
        <w:lang w:val="es-MX"/>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0641B"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w:drawing>
        <wp:anchor distT="0" distB="0" distL="114300" distR="114300" simplePos="0" relativeHeight="251673600" behindDoc="1" locked="0" layoutInCell="1" allowOverlap="1" wp14:anchorId="097744A5" wp14:editId="3F9131E7">
          <wp:simplePos x="0" y="0"/>
          <wp:positionH relativeFrom="column">
            <wp:posOffset>-1076325</wp:posOffset>
          </wp:positionH>
          <wp:positionV relativeFrom="paragraph">
            <wp:posOffset>-734060</wp:posOffset>
          </wp:positionV>
          <wp:extent cx="3093621" cy="1283913"/>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565D6747" w14:textId="77777777" w:rsidR="00BA4056" w:rsidRPr="008030B6" w:rsidRDefault="00BA4056" w:rsidP="008030B6">
    <w:pPr>
      <w:pStyle w:val="Encabezado"/>
      <w:tabs>
        <w:tab w:val="left" w:pos="1276"/>
      </w:tabs>
      <w:rPr>
        <w:rFonts w:ascii="Arial Black" w:hAnsi="Arial Black" w:cs="Times New Roman"/>
        <w:b/>
        <w:color w:val="5B9BD5" w:themeColor="accent1"/>
        <w:sz w:val="24"/>
        <w:lang w:val="es-MX"/>
      </w:rPr>
    </w:pPr>
    <w:r>
      <w:rPr>
        <w:rFonts w:ascii="Arial Black" w:hAnsi="Arial Black" w:cs="Times New Roman"/>
        <w:b/>
        <w:color w:val="5B9BD5" w:themeColor="accent1"/>
        <w:lang w:val="es-MX"/>
      </w:rPr>
      <w:t xml:space="preserve">                 </w:t>
    </w:r>
    <w:r w:rsidRPr="008030B6">
      <w:rPr>
        <w:rFonts w:asciiTheme="majorHAnsi" w:hAnsiTheme="majorHAnsi" w:cs="Arial"/>
        <w:b/>
        <w:color w:val="5B9BD5" w:themeColor="accent1"/>
        <w:lang w:val="es-MX"/>
      </w:rPr>
      <w:t>Dirección de Análisis y Política Fiscal</w:t>
    </w:r>
  </w:p>
  <w:p w14:paraId="584FF837" w14:textId="77777777" w:rsidR="00BA4056" w:rsidRPr="008030B6" w:rsidRDefault="00BA4056" w:rsidP="008030B6">
    <w:pPr>
      <w:pStyle w:val="Encabezado"/>
      <w:rPr>
        <w:rFonts w:asciiTheme="majorHAnsi" w:hAnsiTheme="majorHAnsi" w:cs="Arial"/>
        <w:b/>
        <w:color w:val="5B9BD5" w:themeColor="accent1"/>
        <w:lang w:val="es-MX"/>
      </w:rPr>
    </w:pPr>
    <w:r w:rsidRPr="008030B6">
      <w:rPr>
        <w:rFonts w:asciiTheme="majorHAnsi" w:hAnsiTheme="majorHAnsi" w:cs="Arial"/>
        <w:b/>
        <w:color w:val="5B9BD5" w:themeColor="accent1"/>
        <w:lang w:val="es-MX"/>
      </w:rPr>
      <w:t xml:space="preserve">                      </w:t>
    </w:r>
    <w:r>
      <w:rPr>
        <w:rFonts w:asciiTheme="majorHAnsi" w:hAnsiTheme="majorHAnsi" w:cs="Arial"/>
        <w:b/>
        <w:color w:val="5B9BD5" w:themeColor="accent1"/>
        <w:lang w:val="es-MX"/>
      </w:rPr>
      <w:t xml:space="preserve">   </w:t>
    </w:r>
    <w:r w:rsidRPr="008030B6">
      <w:rPr>
        <w:rFonts w:asciiTheme="majorHAnsi" w:hAnsiTheme="majorHAnsi" w:cs="Arial"/>
        <w:b/>
        <w:color w:val="5B9BD5" w:themeColor="accent1"/>
        <w:lang w:val="es-MX"/>
      </w:rPr>
      <w:t>Informe de las Finanzas Públicas, enero 2022</w:t>
    </w:r>
  </w:p>
  <w:p w14:paraId="0EF245A0" w14:textId="77777777" w:rsidR="00BA4056" w:rsidRPr="008030B6" w:rsidRDefault="00BA4056">
    <w:pPr>
      <w:pStyle w:val="Encabezado"/>
      <w:rPr>
        <w:lang w:val="es-MX"/>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EA222" w14:textId="77777777" w:rsidR="00BA4056" w:rsidRDefault="00BA4056" w:rsidP="008030B6">
    <w:pPr>
      <w:pStyle w:val="Encabezado"/>
      <w:jc w:val="right"/>
      <w:rPr>
        <w:rFonts w:ascii="Times New Roman" w:hAnsi="Times New Roman" w:cs="Times New Roman"/>
        <w:color w:val="44546A" w:themeColor="text2"/>
        <w:sz w:val="20"/>
        <w:lang w:val="es-MX"/>
      </w:rPr>
    </w:pPr>
    <w:r>
      <w:rPr>
        <w:noProof/>
        <w:lang w:eastAsia="es-GT"/>
      </w:rPr>
      <mc:AlternateContent>
        <mc:Choice Requires="wps">
          <w:drawing>
            <wp:anchor distT="0" distB="0" distL="114300" distR="114300" simplePos="0" relativeHeight="251698176" behindDoc="0" locked="0" layoutInCell="1" allowOverlap="1" wp14:anchorId="34208B44" wp14:editId="03577EEF">
              <wp:simplePos x="0" y="0"/>
              <wp:positionH relativeFrom="column">
                <wp:posOffset>675005</wp:posOffset>
              </wp:positionH>
              <wp:positionV relativeFrom="paragraph">
                <wp:posOffset>-384175</wp:posOffset>
              </wp:positionV>
              <wp:extent cx="2787015" cy="826770"/>
              <wp:effectExtent l="0" t="0" r="0" b="0"/>
              <wp:wrapSquare wrapText="bothSides"/>
              <wp:docPr id="231" name="Cuadro de texto 231"/>
              <wp:cNvGraphicFramePr/>
              <a:graphic xmlns:a="http://schemas.openxmlformats.org/drawingml/2006/main">
                <a:graphicData uri="http://schemas.microsoft.com/office/word/2010/wordprocessingShape">
                  <wps:wsp>
                    <wps:cNvSpPr txBox="1"/>
                    <wps:spPr>
                      <a:xfrm>
                        <a:off x="0" y="0"/>
                        <a:ext cx="2787015" cy="826770"/>
                      </a:xfrm>
                      <a:prstGeom prst="rect">
                        <a:avLst/>
                      </a:prstGeom>
                      <a:solidFill>
                        <a:schemeClr val="bg1"/>
                      </a:solidFill>
                      <a:ln w="6350">
                        <a:noFill/>
                      </a:ln>
                    </wps:spPr>
                    <wps:txbx>
                      <w:txbxContent>
                        <w:p w14:paraId="22B3EC72"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42C9279E"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208B44" id="_x0000_t202" coordsize="21600,21600" o:spt="202" path="m,l,21600r21600,l21600,xe">
              <v:stroke joinstyle="miter"/>
              <v:path gradientshapeok="t" o:connecttype="rect"/>
            </v:shapetype>
            <v:shape id="Cuadro de texto 231" o:spid="_x0000_s1035" type="#_x0000_t202" style="position:absolute;left:0;text-align:left;margin-left:53.15pt;margin-top:-30.25pt;width:219.45pt;height:65.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" fillcolor="white [3212]" stroked="f" strokeweight=".5pt">
              <v:textbox>
                <w:txbxContent>
                  <w:p w14:paraId="22B3EC72"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MINISTERIO</w:t>
                    </w:r>
                  </w:p>
                  <w:p w14:paraId="6B82A3E8"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DE FINANZAS</w:t>
                    </w:r>
                  </w:p>
                  <w:p w14:paraId="0DD6FAF6"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PÚBLICAS</w:t>
                    </w:r>
                  </w:p>
                  <w:p w14:paraId="0B6676A1" w14:textId="77777777" w:rsidR="00BA4056" w:rsidRPr="00F45C80" w:rsidRDefault="00BA4056" w:rsidP="00F45C80">
                    <w:pPr>
                      <w:pStyle w:val="Encabezado"/>
                      <w:tabs>
                        <w:tab w:val="left" w:pos="1134"/>
                      </w:tabs>
                      <w:rPr>
                        <w:rFonts w:asciiTheme="majorHAnsi" w:hAnsiTheme="majorHAnsi" w:cs="Arial"/>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DIRECCIÓN DE ANÁLISIS Y POLÍTICA FISCAL</w:t>
                    </w:r>
                  </w:p>
                  <w:p w14:paraId="74E1A7FF" w14:textId="42C9279E" w:rsidR="00BA4056" w:rsidRPr="00F45C80" w:rsidRDefault="00BA4056" w:rsidP="00F45C80">
                    <w:pPr>
                      <w:pStyle w:val="Encabezado"/>
                      <w:tabs>
                        <w:tab w:val="left" w:pos="1134"/>
                      </w:tabs>
                      <w:rPr>
                        <w:rFonts w:ascii="Arial Black" w:hAnsi="Arial Black" w:cs="Times New Roman"/>
                        <w:color w:val="323E4F" w:themeColor="text2" w:themeShade="BF"/>
                        <w:sz w:val="18"/>
                        <w:szCs w:val="20"/>
                        <w:lang w:val="es-MX"/>
                      </w:rPr>
                    </w:pPr>
                    <w:r w:rsidRPr="00F45C80">
                      <w:rPr>
                        <w:rFonts w:asciiTheme="majorHAnsi" w:hAnsiTheme="majorHAnsi" w:cs="Arial"/>
                        <w:color w:val="323E4F" w:themeColor="text2" w:themeShade="BF"/>
                        <w:sz w:val="18"/>
                        <w:szCs w:val="20"/>
                        <w:lang w:val="es-MX"/>
                      </w:rPr>
                      <w:t>INFORME</w:t>
                    </w:r>
                    <w:r>
                      <w:rPr>
                        <w:rFonts w:asciiTheme="majorHAnsi" w:hAnsiTheme="majorHAnsi" w:cs="Arial"/>
                        <w:color w:val="323E4F" w:themeColor="text2" w:themeShade="BF"/>
                        <w:sz w:val="18"/>
                        <w:szCs w:val="20"/>
                        <w:lang w:val="es-MX"/>
                      </w:rPr>
                      <w:t xml:space="preserve"> DE LAS FINANZAS PÚBLICAS, septiembre</w:t>
                    </w:r>
                    <w:r w:rsidRPr="00F45C80">
                      <w:rPr>
                        <w:rFonts w:asciiTheme="majorHAnsi" w:hAnsiTheme="majorHAnsi" w:cs="Arial"/>
                        <w:color w:val="323E4F" w:themeColor="text2" w:themeShade="BF"/>
                        <w:sz w:val="18"/>
                        <w:szCs w:val="20"/>
                        <w:lang w:val="es-MX"/>
                      </w:rPr>
                      <w:t xml:space="preserve"> 2022</w:t>
                    </w:r>
                  </w:p>
                </w:txbxContent>
              </v:textbox>
              <w10:wrap type="square"/>
            </v:shape>
          </w:pict>
        </mc:Fallback>
      </mc:AlternateContent>
    </w:r>
    <w:r>
      <w:rPr>
        <w:noProof/>
        <w:lang w:eastAsia="es-GT"/>
      </w:rPr>
      <w:drawing>
        <wp:anchor distT="0" distB="0" distL="114300" distR="114300" simplePos="0" relativeHeight="251679744" behindDoc="1" locked="0" layoutInCell="1" allowOverlap="1" wp14:anchorId="078FE684" wp14:editId="368B0E13">
          <wp:simplePos x="0" y="0"/>
          <wp:positionH relativeFrom="column">
            <wp:posOffset>-1076325</wp:posOffset>
          </wp:positionH>
          <wp:positionV relativeFrom="paragraph">
            <wp:posOffset>-734060</wp:posOffset>
          </wp:positionV>
          <wp:extent cx="3093621" cy="1283913"/>
          <wp:effectExtent l="0" t="0" r="0" b="0"/>
          <wp:wrapNone/>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3093621" cy="1283913"/>
                  </a:xfrm>
                  <a:prstGeom prst="rect">
                    <a:avLst/>
                  </a:prstGeom>
                </pic:spPr>
              </pic:pic>
            </a:graphicData>
          </a:graphic>
          <wp14:sizeRelH relativeFrom="page">
            <wp14:pctWidth>0</wp14:pctWidth>
          </wp14:sizeRelH>
          <wp14:sizeRelV relativeFrom="page">
            <wp14:pctHeight>0</wp14:pctHeight>
          </wp14:sizeRelV>
        </wp:anchor>
      </w:drawing>
    </w:r>
  </w:p>
  <w:p w14:paraId="17AED004" w14:textId="77777777" w:rsidR="00BA4056" w:rsidRPr="008030B6" w:rsidRDefault="00BA4056" w:rsidP="006906B8">
    <w:pPr>
      <w:pStyle w:val="Encabezado"/>
      <w:tabs>
        <w:tab w:val="left" w:pos="1276"/>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B5A27"/>
    <w:multiLevelType w:val="hybridMultilevel"/>
    <w:tmpl w:val="8182DE76"/>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start w:val="1"/>
      <w:numFmt w:val="decimal"/>
      <w:lvlText w:val="%4."/>
      <w:lvlJc w:val="left"/>
      <w:pPr>
        <w:ind w:left="2880" w:hanging="360"/>
      </w:pPr>
    </w:lvl>
    <w:lvl w:ilvl="4" w:tplc="100A0019">
      <w:start w:val="1"/>
      <w:numFmt w:val="lowerLetter"/>
      <w:lvlText w:val="%5."/>
      <w:lvlJc w:val="left"/>
      <w:pPr>
        <w:ind w:left="3600" w:hanging="360"/>
      </w:pPr>
    </w:lvl>
    <w:lvl w:ilvl="5" w:tplc="100A001B">
      <w:start w:val="1"/>
      <w:numFmt w:val="lowerRoman"/>
      <w:lvlText w:val="%6."/>
      <w:lvlJc w:val="right"/>
      <w:pPr>
        <w:ind w:left="4320" w:hanging="180"/>
      </w:pPr>
    </w:lvl>
    <w:lvl w:ilvl="6" w:tplc="100A000F">
      <w:start w:val="1"/>
      <w:numFmt w:val="decimal"/>
      <w:lvlText w:val="%7."/>
      <w:lvlJc w:val="left"/>
      <w:pPr>
        <w:ind w:left="5040" w:hanging="360"/>
      </w:pPr>
    </w:lvl>
    <w:lvl w:ilvl="7" w:tplc="100A0019">
      <w:start w:val="1"/>
      <w:numFmt w:val="lowerLetter"/>
      <w:lvlText w:val="%8."/>
      <w:lvlJc w:val="left"/>
      <w:pPr>
        <w:ind w:left="5760" w:hanging="360"/>
      </w:pPr>
    </w:lvl>
    <w:lvl w:ilvl="8" w:tplc="100A001B">
      <w:start w:val="1"/>
      <w:numFmt w:val="lowerRoman"/>
      <w:lvlText w:val="%9."/>
      <w:lvlJc w:val="right"/>
      <w:pPr>
        <w:ind w:left="6480" w:hanging="180"/>
      </w:pPr>
    </w:lvl>
  </w:abstractNum>
  <w:abstractNum w:abstractNumId="1" w15:restartNumberingAfterBreak="0">
    <w:nsid w:val="49DA7F8C"/>
    <w:multiLevelType w:val="hybridMultilevel"/>
    <w:tmpl w:val="EE3061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16cid:durableId="8004611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016867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0B6"/>
    <w:rsid w:val="00000E44"/>
    <w:rsid w:val="00004F98"/>
    <w:rsid w:val="00006406"/>
    <w:rsid w:val="000075D4"/>
    <w:rsid w:val="00010AD5"/>
    <w:rsid w:val="00011AE9"/>
    <w:rsid w:val="00013059"/>
    <w:rsid w:val="000150E7"/>
    <w:rsid w:val="00015E02"/>
    <w:rsid w:val="000217B0"/>
    <w:rsid w:val="0002331B"/>
    <w:rsid w:val="00037748"/>
    <w:rsid w:val="00040839"/>
    <w:rsid w:val="000468DA"/>
    <w:rsid w:val="00055701"/>
    <w:rsid w:val="00055C7A"/>
    <w:rsid w:val="0006294D"/>
    <w:rsid w:val="000650ED"/>
    <w:rsid w:val="00067ED3"/>
    <w:rsid w:val="0008042E"/>
    <w:rsid w:val="00086FED"/>
    <w:rsid w:val="000908C0"/>
    <w:rsid w:val="00093D7C"/>
    <w:rsid w:val="00095D7D"/>
    <w:rsid w:val="000A533D"/>
    <w:rsid w:val="000B3BF1"/>
    <w:rsid w:val="000D411C"/>
    <w:rsid w:val="000E3CBB"/>
    <w:rsid w:val="000E4207"/>
    <w:rsid w:val="000F2612"/>
    <w:rsid w:val="000F63A0"/>
    <w:rsid w:val="00100628"/>
    <w:rsid w:val="00102B6B"/>
    <w:rsid w:val="001042A3"/>
    <w:rsid w:val="00112F6C"/>
    <w:rsid w:val="0011435E"/>
    <w:rsid w:val="00117D7D"/>
    <w:rsid w:val="001240EF"/>
    <w:rsid w:val="00154800"/>
    <w:rsid w:val="00170115"/>
    <w:rsid w:val="001761C9"/>
    <w:rsid w:val="0019075F"/>
    <w:rsid w:val="001A725F"/>
    <w:rsid w:val="001A7D31"/>
    <w:rsid w:val="001B456C"/>
    <w:rsid w:val="001B4AA9"/>
    <w:rsid w:val="001C01B8"/>
    <w:rsid w:val="001C3AFC"/>
    <w:rsid w:val="001C5768"/>
    <w:rsid w:val="001C5B4A"/>
    <w:rsid w:val="001E0B46"/>
    <w:rsid w:val="001E5527"/>
    <w:rsid w:val="001F0689"/>
    <w:rsid w:val="001F1CD8"/>
    <w:rsid w:val="001F2081"/>
    <w:rsid w:val="001F3812"/>
    <w:rsid w:val="001F3983"/>
    <w:rsid w:val="00201813"/>
    <w:rsid w:val="002023FA"/>
    <w:rsid w:val="00215D81"/>
    <w:rsid w:val="0021637E"/>
    <w:rsid w:val="0022064E"/>
    <w:rsid w:val="0022584C"/>
    <w:rsid w:val="0023120C"/>
    <w:rsid w:val="00233911"/>
    <w:rsid w:val="00237CDC"/>
    <w:rsid w:val="0024077F"/>
    <w:rsid w:val="00243E44"/>
    <w:rsid w:val="0025066B"/>
    <w:rsid w:val="00250970"/>
    <w:rsid w:val="00250C9B"/>
    <w:rsid w:val="00250FE3"/>
    <w:rsid w:val="00251076"/>
    <w:rsid w:val="00252096"/>
    <w:rsid w:val="00260D42"/>
    <w:rsid w:val="002617F1"/>
    <w:rsid w:val="00283D03"/>
    <w:rsid w:val="00285F51"/>
    <w:rsid w:val="00286DB5"/>
    <w:rsid w:val="002A7BB4"/>
    <w:rsid w:val="002B49C9"/>
    <w:rsid w:val="002C0967"/>
    <w:rsid w:val="002C0ADD"/>
    <w:rsid w:val="002C0D64"/>
    <w:rsid w:val="002C5760"/>
    <w:rsid w:val="002E635D"/>
    <w:rsid w:val="002F0F7E"/>
    <w:rsid w:val="003266B4"/>
    <w:rsid w:val="003476E1"/>
    <w:rsid w:val="00353F94"/>
    <w:rsid w:val="00371E68"/>
    <w:rsid w:val="0037734C"/>
    <w:rsid w:val="003854FF"/>
    <w:rsid w:val="003860E1"/>
    <w:rsid w:val="0039109B"/>
    <w:rsid w:val="0039212B"/>
    <w:rsid w:val="00394977"/>
    <w:rsid w:val="00395039"/>
    <w:rsid w:val="003A48F5"/>
    <w:rsid w:val="003B043B"/>
    <w:rsid w:val="003B53FC"/>
    <w:rsid w:val="003C7880"/>
    <w:rsid w:val="003E3201"/>
    <w:rsid w:val="0040097F"/>
    <w:rsid w:val="004146ED"/>
    <w:rsid w:val="00421C7D"/>
    <w:rsid w:val="00421FDB"/>
    <w:rsid w:val="004229AD"/>
    <w:rsid w:val="00451C7E"/>
    <w:rsid w:val="004577E8"/>
    <w:rsid w:val="00463DA6"/>
    <w:rsid w:val="00467154"/>
    <w:rsid w:val="00467708"/>
    <w:rsid w:val="004747BE"/>
    <w:rsid w:val="00475265"/>
    <w:rsid w:val="00480E57"/>
    <w:rsid w:val="0049255C"/>
    <w:rsid w:val="00492F01"/>
    <w:rsid w:val="004A0389"/>
    <w:rsid w:val="004A768C"/>
    <w:rsid w:val="004B0480"/>
    <w:rsid w:val="004B1AE0"/>
    <w:rsid w:val="004B368F"/>
    <w:rsid w:val="004B7EF3"/>
    <w:rsid w:val="004C41E9"/>
    <w:rsid w:val="004D1906"/>
    <w:rsid w:val="004E4CAA"/>
    <w:rsid w:val="004E6BD0"/>
    <w:rsid w:val="004F07CD"/>
    <w:rsid w:val="004F1CB9"/>
    <w:rsid w:val="004F6834"/>
    <w:rsid w:val="00501CF3"/>
    <w:rsid w:val="00503B5E"/>
    <w:rsid w:val="00507174"/>
    <w:rsid w:val="00511BE9"/>
    <w:rsid w:val="00515068"/>
    <w:rsid w:val="00515677"/>
    <w:rsid w:val="00515AED"/>
    <w:rsid w:val="005334BA"/>
    <w:rsid w:val="005419C5"/>
    <w:rsid w:val="0055103F"/>
    <w:rsid w:val="0055579D"/>
    <w:rsid w:val="00556819"/>
    <w:rsid w:val="00560D6F"/>
    <w:rsid w:val="00562442"/>
    <w:rsid w:val="00570B6A"/>
    <w:rsid w:val="00572820"/>
    <w:rsid w:val="005806F0"/>
    <w:rsid w:val="00585A69"/>
    <w:rsid w:val="00586547"/>
    <w:rsid w:val="0058660F"/>
    <w:rsid w:val="00590009"/>
    <w:rsid w:val="00597915"/>
    <w:rsid w:val="005A2CF4"/>
    <w:rsid w:val="005A2F2F"/>
    <w:rsid w:val="005A4DB0"/>
    <w:rsid w:val="005B5C01"/>
    <w:rsid w:val="005B6627"/>
    <w:rsid w:val="005B6AD5"/>
    <w:rsid w:val="005E386C"/>
    <w:rsid w:val="006170B5"/>
    <w:rsid w:val="006266DD"/>
    <w:rsid w:val="006302AC"/>
    <w:rsid w:val="00655596"/>
    <w:rsid w:val="00672F97"/>
    <w:rsid w:val="006765A4"/>
    <w:rsid w:val="0067690E"/>
    <w:rsid w:val="0068012D"/>
    <w:rsid w:val="006906B8"/>
    <w:rsid w:val="00697BAE"/>
    <w:rsid w:val="006A2A15"/>
    <w:rsid w:val="006B4A2A"/>
    <w:rsid w:val="006D31E9"/>
    <w:rsid w:val="006D3A8A"/>
    <w:rsid w:val="00700651"/>
    <w:rsid w:val="007063EC"/>
    <w:rsid w:val="0071038C"/>
    <w:rsid w:val="00711E49"/>
    <w:rsid w:val="00721A61"/>
    <w:rsid w:val="00730CBF"/>
    <w:rsid w:val="00734E2E"/>
    <w:rsid w:val="00736DFB"/>
    <w:rsid w:val="0075021C"/>
    <w:rsid w:val="00752414"/>
    <w:rsid w:val="007602BA"/>
    <w:rsid w:val="0076345F"/>
    <w:rsid w:val="00767975"/>
    <w:rsid w:val="00776700"/>
    <w:rsid w:val="007876AF"/>
    <w:rsid w:val="00795BF0"/>
    <w:rsid w:val="007B0601"/>
    <w:rsid w:val="007B344C"/>
    <w:rsid w:val="007C1DEB"/>
    <w:rsid w:val="007C36FF"/>
    <w:rsid w:val="007C49F4"/>
    <w:rsid w:val="007D40CD"/>
    <w:rsid w:val="007D4ABC"/>
    <w:rsid w:val="007E74D2"/>
    <w:rsid w:val="008030B6"/>
    <w:rsid w:val="00815C32"/>
    <w:rsid w:val="00816A9D"/>
    <w:rsid w:val="0082027C"/>
    <w:rsid w:val="00821B3D"/>
    <w:rsid w:val="008338D5"/>
    <w:rsid w:val="008359E2"/>
    <w:rsid w:val="00840733"/>
    <w:rsid w:val="00841A3C"/>
    <w:rsid w:val="00854981"/>
    <w:rsid w:val="00863E34"/>
    <w:rsid w:val="00871E6D"/>
    <w:rsid w:val="00872BB9"/>
    <w:rsid w:val="00874C9B"/>
    <w:rsid w:val="008837D1"/>
    <w:rsid w:val="0089134E"/>
    <w:rsid w:val="00895F40"/>
    <w:rsid w:val="008A026E"/>
    <w:rsid w:val="008A32ED"/>
    <w:rsid w:val="008A4F88"/>
    <w:rsid w:val="008B1626"/>
    <w:rsid w:val="008B221F"/>
    <w:rsid w:val="008B2C28"/>
    <w:rsid w:val="008C2E50"/>
    <w:rsid w:val="008E00B7"/>
    <w:rsid w:val="008E3EEE"/>
    <w:rsid w:val="008F6F4F"/>
    <w:rsid w:val="008F7BCD"/>
    <w:rsid w:val="00907BD2"/>
    <w:rsid w:val="009169FC"/>
    <w:rsid w:val="0092174E"/>
    <w:rsid w:val="00921E7F"/>
    <w:rsid w:val="0094207C"/>
    <w:rsid w:val="0094241B"/>
    <w:rsid w:val="00960BE9"/>
    <w:rsid w:val="00973FD3"/>
    <w:rsid w:val="009811E3"/>
    <w:rsid w:val="009871A3"/>
    <w:rsid w:val="00991CB3"/>
    <w:rsid w:val="00993DD2"/>
    <w:rsid w:val="00993EED"/>
    <w:rsid w:val="0099630E"/>
    <w:rsid w:val="009A002A"/>
    <w:rsid w:val="009A198C"/>
    <w:rsid w:val="009C126C"/>
    <w:rsid w:val="009C2E0C"/>
    <w:rsid w:val="009D2F40"/>
    <w:rsid w:val="009E0410"/>
    <w:rsid w:val="009E27D3"/>
    <w:rsid w:val="00A01418"/>
    <w:rsid w:val="00A02862"/>
    <w:rsid w:val="00A02F83"/>
    <w:rsid w:val="00A05516"/>
    <w:rsid w:val="00A070D9"/>
    <w:rsid w:val="00A30D0C"/>
    <w:rsid w:val="00A327F7"/>
    <w:rsid w:val="00A32E01"/>
    <w:rsid w:val="00A412E3"/>
    <w:rsid w:val="00A57E56"/>
    <w:rsid w:val="00A604D3"/>
    <w:rsid w:val="00A749CF"/>
    <w:rsid w:val="00A765C2"/>
    <w:rsid w:val="00AC3377"/>
    <w:rsid w:val="00AC3505"/>
    <w:rsid w:val="00AD7B46"/>
    <w:rsid w:val="00AD7C37"/>
    <w:rsid w:val="00AE122B"/>
    <w:rsid w:val="00AE12E5"/>
    <w:rsid w:val="00AE7265"/>
    <w:rsid w:val="00AF0DA2"/>
    <w:rsid w:val="00B03113"/>
    <w:rsid w:val="00B04E1B"/>
    <w:rsid w:val="00B04E78"/>
    <w:rsid w:val="00B06193"/>
    <w:rsid w:val="00B1655A"/>
    <w:rsid w:val="00B218D0"/>
    <w:rsid w:val="00B31260"/>
    <w:rsid w:val="00B34521"/>
    <w:rsid w:val="00B51395"/>
    <w:rsid w:val="00B535BC"/>
    <w:rsid w:val="00B6454C"/>
    <w:rsid w:val="00B67897"/>
    <w:rsid w:val="00B77BCA"/>
    <w:rsid w:val="00B87B86"/>
    <w:rsid w:val="00B9195A"/>
    <w:rsid w:val="00BA23E7"/>
    <w:rsid w:val="00BA3966"/>
    <w:rsid w:val="00BA4056"/>
    <w:rsid w:val="00BB7EEC"/>
    <w:rsid w:val="00BD5286"/>
    <w:rsid w:val="00BE17ED"/>
    <w:rsid w:val="00BE1AC0"/>
    <w:rsid w:val="00BF4A4A"/>
    <w:rsid w:val="00C067A7"/>
    <w:rsid w:val="00C10066"/>
    <w:rsid w:val="00C1011D"/>
    <w:rsid w:val="00C17274"/>
    <w:rsid w:val="00C17FDF"/>
    <w:rsid w:val="00C24781"/>
    <w:rsid w:val="00C25708"/>
    <w:rsid w:val="00C31244"/>
    <w:rsid w:val="00C44B4C"/>
    <w:rsid w:val="00C503BE"/>
    <w:rsid w:val="00C56D80"/>
    <w:rsid w:val="00C60D3A"/>
    <w:rsid w:val="00C60DF9"/>
    <w:rsid w:val="00C66E5B"/>
    <w:rsid w:val="00C74C0C"/>
    <w:rsid w:val="00C76B98"/>
    <w:rsid w:val="00C85B13"/>
    <w:rsid w:val="00CA1EC8"/>
    <w:rsid w:val="00CB4C8F"/>
    <w:rsid w:val="00CC39FE"/>
    <w:rsid w:val="00CC4364"/>
    <w:rsid w:val="00CD5A70"/>
    <w:rsid w:val="00CE01A9"/>
    <w:rsid w:val="00CE5240"/>
    <w:rsid w:val="00D04A4E"/>
    <w:rsid w:val="00D06D9C"/>
    <w:rsid w:val="00D12478"/>
    <w:rsid w:val="00D13023"/>
    <w:rsid w:val="00D163E4"/>
    <w:rsid w:val="00D22BC7"/>
    <w:rsid w:val="00D26729"/>
    <w:rsid w:val="00D42071"/>
    <w:rsid w:val="00D43859"/>
    <w:rsid w:val="00D508C0"/>
    <w:rsid w:val="00D509EF"/>
    <w:rsid w:val="00D62B21"/>
    <w:rsid w:val="00DB32FE"/>
    <w:rsid w:val="00DC74EB"/>
    <w:rsid w:val="00DD0CF2"/>
    <w:rsid w:val="00DD3A94"/>
    <w:rsid w:val="00DD69DF"/>
    <w:rsid w:val="00DF059D"/>
    <w:rsid w:val="00DF6AE8"/>
    <w:rsid w:val="00DF7969"/>
    <w:rsid w:val="00E02D18"/>
    <w:rsid w:val="00E02DD8"/>
    <w:rsid w:val="00E13AB2"/>
    <w:rsid w:val="00E161E3"/>
    <w:rsid w:val="00E21B05"/>
    <w:rsid w:val="00E34FF8"/>
    <w:rsid w:val="00E35916"/>
    <w:rsid w:val="00E43170"/>
    <w:rsid w:val="00E46C09"/>
    <w:rsid w:val="00E564DE"/>
    <w:rsid w:val="00E747D9"/>
    <w:rsid w:val="00E81EF7"/>
    <w:rsid w:val="00E87621"/>
    <w:rsid w:val="00EA081D"/>
    <w:rsid w:val="00EA18EF"/>
    <w:rsid w:val="00EA3AF3"/>
    <w:rsid w:val="00EA4E46"/>
    <w:rsid w:val="00EB56B7"/>
    <w:rsid w:val="00EE3B08"/>
    <w:rsid w:val="00EF25AE"/>
    <w:rsid w:val="00EF31E4"/>
    <w:rsid w:val="00EF3AFD"/>
    <w:rsid w:val="00EF4A3C"/>
    <w:rsid w:val="00EF7D80"/>
    <w:rsid w:val="00F01A8C"/>
    <w:rsid w:val="00F01B17"/>
    <w:rsid w:val="00F0543B"/>
    <w:rsid w:val="00F05A6A"/>
    <w:rsid w:val="00F0629D"/>
    <w:rsid w:val="00F1085F"/>
    <w:rsid w:val="00F23E3F"/>
    <w:rsid w:val="00F40523"/>
    <w:rsid w:val="00F45C80"/>
    <w:rsid w:val="00F466B9"/>
    <w:rsid w:val="00F46A2C"/>
    <w:rsid w:val="00F72CD5"/>
    <w:rsid w:val="00F743E8"/>
    <w:rsid w:val="00F75D29"/>
    <w:rsid w:val="00F86729"/>
    <w:rsid w:val="00F979D8"/>
    <w:rsid w:val="00FA0E54"/>
    <w:rsid w:val="00FA25D8"/>
    <w:rsid w:val="00FA3475"/>
    <w:rsid w:val="00FB4B07"/>
    <w:rsid w:val="00FB4D90"/>
    <w:rsid w:val="00FB6185"/>
    <w:rsid w:val="00FC0ED3"/>
    <w:rsid w:val="00FC23EC"/>
    <w:rsid w:val="00FD5DE3"/>
    <w:rsid w:val="00FD6C71"/>
    <w:rsid w:val="00FE5E84"/>
    <w:rsid w:val="00FE7BE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012858"/>
  <w15:chartTrackingRefBased/>
  <w15:docId w15:val="{C394E4AE-9D1E-41CB-A9C9-4360B2CFF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030B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30B6"/>
  </w:style>
  <w:style w:type="paragraph" w:styleId="Piedepgina">
    <w:name w:val="footer"/>
    <w:basedOn w:val="Normal"/>
    <w:link w:val="PiedepginaCar"/>
    <w:uiPriority w:val="99"/>
    <w:unhideWhenUsed/>
    <w:rsid w:val="008030B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30B6"/>
  </w:style>
  <w:style w:type="paragraph" w:styleId="Sinespaciado">
    <w:name w:val="No Spacing"/>
    <w:link w:val="SinespaciadoCar"/>
    <w:uiPriority w:val="1"/>
    <w:qFormat/>
    <w:rsid w:val="00C24781"/>
    <w:pPr>
      <w:spacing w:after="0" w:line="240" w:lineRule="auto"/>
    </w:pPr>
  </w:style>
  <w:style w:type="character" w:customStyle="1" w:styleId="SinespaciadoCar">
    <w:name w:val="Sin espaciado Car"/>
    <w:basedOn w:val="Fuentedeprrafopredeter"/>
    <w:link w:val="Sinespaciado"/>
    <w:uiPriority w:val="1"/>
    <w:locked/>
    <w:rsid w:val="00C24781"/>
  </w:style>
  <w:style w:type="paragraph" w:styleId="Textodeglobo">
    <w:name w:val="Balloon Text"/>
    <w:basedOn w:val="Normal"/>
    <w:link w:val="TextodegloboCar"/>
    <w:uiPriority w:val="99"/>
    <w:unhideWhenUsed/>
    <w:rsid w:val="00C56D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C56D80"/>
    <w:rPr>
      <w:rFonts w:ascii="Tahoma" w:hAnsi="Tahoma" w:cs="Tahoma"/>
      <w:sz w:val="16"/>
      <w:szCs w:val="16"/>
    </w:rPr>
  </w:style>
  <w:style w:type="paragraph" w:styleId="Prrafodelista">
    <w:name w:val="List Paragraph"/>
    <w:basedOn w:val="Normal"/>
    <w:uiPriority w:val="34"/>
    <w:qFormat/>
    <w:rsid w:val="0071038C"/>
    <w:pPr>
      <w:spacing w:line="256" w:lineRule="auto"/>
      <w:ind w:left="720"/>
      <w:contextualSpacing/>
    </w:pPr>
  </w:style>
  <w:style w:type="table" w:styleId="Tablaconcuadrcula4-nfasis1">
    <w:name w:val="Grid Table 4 Accent 1"/>
    <w:basedOn w:val="Tablanormal"/>
    <w:uiPriority w:val="49"/>
    <w:rsid w:val="0071038C"/>
    <w:pPr>
      <w:spacing w:after="0" w:line="240" w:lineRule="auto"/>
    </w:p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
    <w:name w:val="Table Grid"/>
    <w:basedOn w:val="Tablanormal"/>
    <w:uiPriority w:val="39"/>
    <w:rsid w:val="0071038C"/>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8F7BCD"/>
    <w:rPr>
      <w:i/>
      <w:iCs/>
    </w:rPr>
  </w:style>
  <w:style w:type="paragraph" w:styleId="Textonotapie">
    <w:name w:val="footnote text"/>
    <w:basedOn w:val="Normal"/>
    <w:link w:val="TextonotapieCar"/>
    <w:uiPriority w:val="99"/>
    <w:semiHidden/>
    <w:unhideWhenUsed/>
    <w:rsid w:val="009420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4207C"/>
    <w:rPr>
      <w:sz w:val="20"/>
      <w:szCs w:val="20"/>
    </w:rPr>
  </w:style>
  <w:style w:type="character" w:styleId="Refdenotaalpie">
    <w:name w:val="footnote reference"/>
    <w:basedOn w:val="Fuentedeprrafopredeter"/>
    <w:uiPriority w:val="99"/>
    <w:semiHidden/>
    <w:unhideWhenUsed/>
    <w:rsid w:val="0094207C"/>
    <w:rPr>
      <w:vertAlign w:val="superscript"/>
    </w:rPr>
  </w:style>
  <w:style w:type="character" w:styleId="Textoennegrita">
    <w:name w:val="Strong"/>
    <w:basedOn w:val="Fuentedeprrafopredeter"/>
    <w:uiPriority w:val="22"/>
    <w:qFormat/>
    <w:rsid w:val="00AF0D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6072">
      <w:bodyDiv w:val="1"/>
      <w:marLeft w:val="0"/>
      <w:marRight w:val="0"/>
      <w:marTop w:val="0"/>
      <w:marBottom w:val="0"/>
      <w:divBdr>
        <w:top w:val="none" w:sz="0" w:space="0" w:color="auto"/>
        <w:left w:val="none" w:sz="0" w:space="0" w:color="auto"/>
        <w:bottom w:val="none" w:sz="0" w:space="0" w:color="auto"/>
        <w:right w:val="none" w:sz="0" w:space="0" w:color="auto"/>
      </w:divBdr>
    </w:div>
    <w:div w:id="103505751">
      <w:bodyDiv w:val="1"/>
      <w:marLeft w:val="0"/>
      <w:marRight w:val="0"/>
      <w:marTop w:val="0"/>
      <w:marBottom w:val="0"/>
      <w:divBdr>
        <w:top w:val="none" w:sz="0" w:space="0" w:color="auto"/>
        <w:left w:val="none" w:sz="0" w:space="0" w:color="auto"/>
        <w:bottom w:val="none" w:sz="0" w:space="0" w:color="auto"/>
        <w:right w:val="none" w:sz="0" w:space="0" w:color="auto"/>
      </w:divBdr>
    </w:div>
    <w:div w:id="181475720">
      <w:bodyDiv w:val="1"/>
      <w:marLeft w:val="0"/>
      <w:marRight w:val="0"/>
      <w:marTop w:val="0"/>
      <w:marBottom w:val="0"/>
      <w:divBdr>
        <w:top w:val="none" w:sz="0" w:space="0" w:color="auto"/>
        <w:left w:val="none" w:sz="0" w:space="0" w:color="auto"/>
        <w:bottom w:val="none" w:sz="0" w:space="0" w:color="auto"/>
        <w:right w:val="none" w:sz="0" w:space="0" w:color="auto"/>
      </w:divBdr>
    </w:div>
    <w:div w:id="261765400">
      <w:bodyDiv w:val="1"/>
      <w:marLeft w:val="0"/>
      <w:marRight w:val="0"/>
      <w:marTop w:val="0"/>
      <w:marBottom w:val="0"/>
      <w:divBdr>
        <w:top w:val="none" w:sz="0" w:space="0" w:color="auto"/>
        <w:left w:val="none" w:sz="0" w:space="0" w:color="auto"/>
        <w:bottom w:val="none" w:sz="0" w:space="0" w:color="auto"/>
        <w:right w:val="none" w:sz="0" w:space="0" w:color="auto"/>
      </w:divBdr>
    </w:div>
    <w:div w:id="327877152">
      <w:bodyDiv w:val="1"/>
      <w:marLeft w:val="0"/>
      <w:marRight w:val="0"/>
      <w:marTop w:val="0"/>
      <w:marBottom w:val="0"/>
      <w:divBdr>
        <w:top w:val="none" w:sz="0" w:space="0" w:color="auto"/>
        <w:left w:val="none" w:sz="0" w:space="0" w:color="auto"/>
        <w:bottom w:val="none" w:sz="0" w:space="0" w:color="auto"/>
        <w:right w:val="none" w:sz="0" w:space="0" w:color="auto"/>
      </w:divBdr>
    </w:div>
    <w:div w:id="377777290">
      <w:bodyDiv w:val="1"/>
      <w:marLeft w:val="0"/>
      <w:marRight w:val="0"/>
      <w:marTop w:val="0"/>
      <w:marBottom w:val="0"/>
      <w:divBdr>
        <w:top w:val="none" w:sz="0" w:space="0" w:color="auto"/>
        <w:left w:val="none" w:sz="0" w:space="0" w:color="auto"/>
        <w:bottom w:val="none" w:sz="0" w:space="0" w:color="auto"/>
        <w:right w:val="none" w:sz="0" w:space="0" w:color="auto"/>
      </w:divBdr>
    </w:div>
    <w:div w:id="486635466">
      <w:bodyDiv w:val="1"/>
      <w:marLeft w:val="0"/>
      <w:marRight w:val="0"/>
      <w:marTop w:val="0"/>
      <w:marBottom w:val="0"/>
      <w:divBdr>
        <w:top w:val="none" w:sz="0" w:space="0" w:color="auto"/>
        <w:left w:val="none" w:sz="0" w:space="0" w:color="auto"/>
        <w:bottom w:val="none" w:sz="0" w:space="0" w:color="auto"/>
        <w:right w:val="none" w:sz="0" w:space="0" w:color="auto"/>
      </w:divBdr>
    </w:div>
    <w:div w:id="501707035">
      <w:bodyDiv w:val="1"/>
      <w:marLeft w:val="0"/>
      <w:marRight w:val="0"/>
      <w:marTop w:val="0"/>
      <w:marBottom w:val="0"/>
      <w:divBdr>
        <w:top w:val="none" w:sz="0" w:space="0" w:color="auto"/>
        <w:left w:val="none" w:sz="0" w:space="0" w:color="auto"/>
        <w:bottom w:val="none" w:sz="0" w:space="0" w:color="auto"/>
        <w:right w:val="none" w:sz="0" w:space="0" w:color="auto"/>
      </w:divBdr>
    </w:div>
    <w:div w:id="596717636">
      <w:bodyDiv w:val="1"/>
      <w:marLeft w:val="0"/>
      <w:marRight w:val="0"/>
      <w:marTop w:val="0"/>
      <w:marBottom w:val="0"/>
      <w:divBdr>
        <w:top w:val="none" w:sz="0" w:space="0" w:color="auto"/>
        <w:left w:val="none" w:sz="0" w:space="0" w:color="auto"/>
        <w:bottom w:val="none" w:sz="0" w:space="0" w:color="auto"/>
        <w:right w:val="none" w:sz="0" w:space="0" w:color="auto"/>
      </w:divBdr>
    </w:div>
    <w:div w:id="631711215">
      <w:bodyDiv w:val="1"/>
      <w:marLeft w:val="0"/>
      <w:marRight w:val="0"/>
      <w:marTop w:val="0"/>
      <w:marBottom w:val="0"/>
      <w:divBdr>
        <w:top w:val="none" w:sz="0" w:space="0" w:color="auto"/>
        <w:left w:val="none" w:sz="0" w:space="0" w:color="auto"/>
        <w:bottom w:val="none" w:sz="0" w:space="0" w:color="auto"/>
        <w:right w:val="none" w:sz="0" w:space="0" w:color="auto"/>
      </w:divBdr>
    </w:div>
    <w:div w:id="664359927">
      <w:bodyDiv w:val="1"/>
      <w:marLeft w:val="0"/>
      <w:marRight w:val="0"/>
      <w:marTop w:val="0"/>
      <w:marBottom w:val="0"/>
      <w:divBdr>
        <w:top w:val="none" w:sz="0" w:space="0" w:color="auto"/>
        <w:left w:val="none" w:sz="0" w:space="0" w:color="auto"/>
        <w:bottom w:val="none" w:sz="0" w:space="0" w:color="auto"/>
        <w:right w:val="none" w:sz="0" w:space="0" w:color="auto"/>
      </w:divBdr>
    </w:div>
    <w:div w:id="767384405">
      <w:bodyDiv w:val="1"/>
      <w:marLeft w:val="0"/>
      <w:marRight w:val="0"/>
      <w:marTop w:val="0"/>
      <w:marBottom w:val="0"/>
      <w:divBdr>
        <w:top w:val="none" w:sz="0" w:space="0" w:color="auto"/>
        <w:left w:val="none" w:sz="0" w:space="0" w:color="auto"/>
        <w:bottom w:val="none" w:sz="0" w:space="0" w:color="auto"/>
        <w:right w:val="none" w:sz="0" w:space="0" w:color="auto"/>
      </w:divBdr>
    </w:div>
    <w:div w:id="836576555">
      <w:bodyDiv w:val="1"/>
      <w:marLeft w:val="0"/>
      <w:marRight w:val="0"/>
      <w:marTop w:val="0"/>
      <w:marBottom w:val="0"/>
      <w:divBdr>
        <w:top w:val="none" w:sz="0" w:space="0" w:color="auto"/>
        <w:left w:val="none" w:sz="0" w:space="0" w:color="auto"/>
        <w:bottom w:val="none" w:sz="0" w:space="0" w:color="auto"/>
        <w:right w:val="none" w:sz="0" w:space="0" w:color="auto"/>
      </w:divBdr>
    </w:div>
    <w:div w:id="845285489">
      <w:bodyDiv w:val="1"/>
      <w:marLeft w:val="0"/>
      <w:marRight w:val="0"/>
      <w:marTop w:val="0"/>
      <w:marBottom w:val="0"/>
      <w:divBdr>
        <w:top w:val="none" w:sz="0" w:space="0" w:color="auto"/>
        <w:left w:val="none" w:sz="0" w:space="0" w:color="auto"/>
        <w:bottom w:val="none" w:sz="0" w:space="0" w:color="auto"/>
        <w:right w:val="none" w:sz="0" w:space="0" w:color="auto"/>
      </w:divBdr>
    </w:div>
    <w:div w:id="890186851">
      <w:bodyDiv w:val="1"/>
      <w:marLeft w:val="0"/>
      <w:marRight w:val="0"/>
      <w:marTop w:val="0"/>
      <w:marBottom w:val="0"/>
      <w:divBdr>
        <w:top w:val="none" w:sz="0" w:space="0" w:color="auto"/>
        <w:left w:val="none" w:sz="0" w:space="0" w:color="auto"/>
        <w:bottom w:val="none" w:sz="0" w:space="0" w:color="auto"/>
        <w:right w:val="none" w:sz="0" w:space="0" w:color="auto"/>
      </w:divBdr>
    </w:div>
    <w:div w:id="1050685259">
      <w:bodyDiv w:val="1"/>
      <w:marLeft w:val="0"/>
      <w:marRight w:val="0"/>
      <w:marTop w:val="0"/>
      <w:marBottom w:val="0"/>
      <w:divBdr>
        <w:top w:val="none" w:sz="0" w:space="0" w:color="auto"/>
        <w:left w:val="none" w:sz="0" w:space="0" w:color="auto"/>
        <w:bottom w:val="none" w:sz="0" w:space="0" w:color="auto"/>
        <w:right w:val="none" w:sz="0" w:space="0" w:color="auto"/>
      </w:divBdr>
    </w:div>
    <w:div w:id="1080521399">
      <w:bodyDiv w:val="1"/>
      <w:marLeft w:val="0"/>
      <w:marRight w:val="0"/>
      <w:marTop w:val="0"/>
      <w:marBottom w:val="0"/>
      <w:divBdr>
        <w:top w:val="none" w:sz="0" w:space="0" w:color="auto"/>
        <w:left w:val="none" w:sz="0" w:space="0" w:color="auto"/>
        <w:bottom w:val="none" w:sz="0" w:space="0" w:color="auto"/>
        <w:right w:val="none" w:sz="0" w:space="0" w:color="auto"/>
      </w:divBdr>
    </w:div>
    <w:div w:id="1187863754">
      <w:bodyDiv w:val="1"/>
      <w:marLeft w:val="0"/>
      <w:marRight w:val="0"/>
      <w:marTop w:val="0"/>
      <w:marBottom w:val="0"/>
      <w:divBdr>
        <w:top w:val="none" w:sz="0" w:space="0" w:color="auto"/>
        <w:left w:val="none" w:sz="0" w:space="0" w:color="auto"/>
        <w:bottom w:val="none" w:sz="0" w:space="0" w:color="auto"/>
        <w:right w:val="none" w:sz="0" w:space="0" w:color="auto"/>
      </w:divBdr>
    </w:div>
    <w:div w:id="1265189035">
      <w:bodyDiv w:val="1"/>
      <w:marLeft w:val="0"/>
      <w:marRight w:val="0"/>
      <w:marTop w:val="0"/>
      <w:marBottom w:val="0"/>
      <w:divBdr>
        <w:top w:val="none" w:sz="0" w:space="0" w:color="auto"/>
        <w:left w:val="none" w:sz="0" w:space="0" w:color="auto"/>
        <w:bottom w:val="none" w:sz="0" w:space="0" w:color="auto"/>
        <w:right w:val="none" w:sz="0" w:space="0" w:color="auto"/>
      </w:divBdr>
    </w:div>
    <w:div w:id="1341351509">
      <w:bodyDiv w:val="1"/>
      <w:marLeft w:val="0"/>
      <w:marRight w:val="0"/>
      <w:marTop w:val="0"/>
      <w:marBottom w:val="0"/>
      <w:divBdr>
        <w:top w:val="none" w:sz="0" w:space="0" w:color="auto"/>
        <w:left w:val="none" w:sz="0" w:space="0" w:color="auto"/>
        <w:bottom w:val="none" w:sz="0" w:space="0" w:color="auto"/>
        <w:right w:val="none" w:sz="0" w:space="0" w:color="auto"/>
      </w:divBdr>
    </w:div>
    <w:div w:id="1443769499">
      <w:bodyDiv w:val="1"/>
      <w:marLeft w:val="0"/>
      <w:marRight w:val="0"/>
      <w:marTop w:val="0"/>
      <w:marBottom w:val="0"/>
      <w:divBdr>
        <w:top w:val="none" w:sz="0" w:space="0" w:color="auto"/>
        <w:left w:val="none" w:sz="0" w:space="0" w:color="auto"/>
        <w:bottom w:val="none" w:sz="0" w:space="0" w:color="auto"/>
        <w:right w:val="none" w:sz="0" w:space="0" w:color="auto"/>
      </w:divBdr>
    </w:div>
    <w:div w:id="1482190095">
      <w:bodyDiv w:val="1"/>
      <w:marLeft w:val="0"/>
      <w:marRight w:val="0"/>
      <w:marTop w:val="0"/>
      <w:marBottom w:val="0"/>
      <w:divBdr>
        <w:top w:val="none" w:sz="0" w:space="0" w:color="auto"/>
        <w:left w:val="none" w:sz="0" w:space="0" w:color="auto"/>
        <w:bottom w:val="none" w:sz="0" w:space="0" w:color="auto"/>
        <w:right w:val="none" w:sz="0" w:space="0" w:color="auto"/>
      </w:divBdr>
    </w:div>
    <w:div w:id="1537154837">
      <w:bodyDiv w:val="1"/>
      <w:marLeft w:val="0"/>
      <w:marRight w:val="0"/>
      <w:marTop w:val="0"/>
      <w:marBottom w:val="0"/>
      <w:divBdr>
        <w:top w:val="none" w:sz="0" w:space="0" w:color="auto"/>
        <w:left w:val="none" w:sz="0" w:space="0" w:color="auto"/>
        <w:bottom w:val="none" w:sz="0" w:space="0" w:color="auto"/>
        <w:right w:val="none" w:sz="0" w:space="0" w:color="auto"/>
      </w:divBdr>
    </w:div>
    <w:div w:id="1557231769">
      <w:bodyDiv w:val="1"/>
      <w:marLeft w:val="0"/>
      <w:marRight w:val="0"/>
      <w:marTop w:val="0"/>
      <w:marBottom w:val="0"/>
      <w:divBdr>
        <w:top w:val="none" w:sz="0" w:space="0" w:color="auto"/>
        <w:left w:val="none" w:sz="0" w:space="0" w:color="auto"/>
        <w:bottom w:val="none" w:sz="0" w:space="0" w:color="auto"/>
        <w:right w:val="none" w:sz="0" w:space="0" w:color="auto"/>
      </w:divBdr>
    </w:div>
    <w:div w:id="1586843155">
      <w:bodyDiv w:val="1"/>
      <w:marLeft w:val="0"/>
      <w:marRight w:val="0"/>
      <w:marTop w:val="0"/>
      <w:marBottom w:val="0"/>
      <w:divBdr>
        <w:top w:val="none" w:sz="0" w:space="0" w:color="auto"/>
        <w:left w:val="none" w:sz="0" w:space="0" w:color="auto"/>
        <w:bottom w:val="none" w:sz="0" w:space="0" w:color="auto"/>
        <w:right w:val="none" w:sz="0" w:space="0" w:color="auto"/>
      </w:divBdr>
    </w:div>
    <w:div w:id="1701971485">
      <w:bodyDiv w:val="1"/>
      <w:marLeft w:val="0"/>
      <w:marRight w:val="0"/>
      <w:marTop w:val="0"/>
      <w:marBottom w:val="0"/>
      <w:divBdr>
        <w:top w:val="none" w:sz="0" w:space="0" w:color="auto"/>
        <w:left w:val="none" w:sz="0" w:space="0" w:color="auto"/>
        <w:bottom w:val="none" w:sz="0" w:space="0" w:color="auto"/>
        <w:right w:val="none" w:sz="0" w:space="0" w:color="auto"/>
      </w:divBdr>
    </w:div>
    <w:div w:id="1707951862">
      <w:bodyDiv w:val="1"/>
      <w:marLeft w:val="0"/>
      <w:marRight w:val="0"/>
      <w:marTop w:val="0"/>
      <w:marBottom w:val="0"/>
      <w:divBdr>
        <w:top w:val="none" w:sz="0" w:space="0" w:color="auto"/>
        <w:left w:val="none" w:sz="0" w:space="0" w:color="auto"/>
        <w:bottom w:val="none" w:sz="0" w:space="0" w:color="auto"/>
        <w:right w:val="none" w:sz="0" w:space="0" w:color="auto"/>
      </w:divBdr>
    </w:div>
    <w:div w:id="1856381021">
      <w:bodyDiv w:val="1"/>
      <w:marLeft w:val="0"/>
      <w:marRight w:val="0"/>
      <w:marTop w:val="0"/>
      <w:marBottom w:val="0"/>
      <w:divBdr>
        <w:top w:val="none" w:sz="0" w:space="0" w:color="auto"/>
        <w:left w:val="none" w:sz="0" w:space="0" w:color="auto"/>
        <w:bottom w:val="none" w:sz="0" w:space="0" w:color="auto"/>
        <w:right w:val="none" w:sz="0" w:space="0" w:color="auto"/>
      </w:divBdr>
    </w:div>
    <w:div w:id="199016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5.xml"/><Relationship Id="rId26" Type="http://schemas.openxmlformats.org/officeDocument/2006/relationships/chart" Target="charts/chart7.xml"/><Relationship Id="rId39"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chart" Target="charts/chart12.xml"/><Relationship Id="rId42" Type="http://schemas.openxmlformats.org/officeDocument/2006/relationships/footer" Target="footer10.xml"/><Relationship Id="rId47" Type="http://schemas.openxmlformats.org/officeDocument/2006/relationships/chart" Target="charts/chart16.xml"/><Relationship Id="rId50"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oter" Target="footer4.xml"/><Relationship Id="rId29" Type="http://schemas.openxmlformats.org/officeDocument/2006/relationships/chart" Target="charts/chart10.xml"/><Relationship Id="rId41" Type="http://schemas.openxmlformats.org/officeDocument/2006/relationships/header" Target="header1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chart" Target="charts/chart14.xml"/><Relationship Id="rId45" Type="http://schemas.openxmlformats.org/officeDocument/2006/relationships/header" Target="header1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6.xml"/><Relationship Id="rId28" Type="http://schemas.openxmlformats.org/officeDocument/2006/relationships/chart" Target="charts/chart9.xml"/><Relationship Id="rId36" Type="http://schemas.openxmlformats.org/officeDocument/2006/relationships/footer" Target="footer8.xml"/><Relationship Id="rId49" Type="http://schemas.openxmlformats.org/officeDocument/2006/relationships/footer" Target="footer12.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2.emf"/><Relationship Id="rId44" Type="http://schemas.openxmlformats.org/officeDocument/2006/relationships/chart" Target="charts/chart15.xml"/><Relationship Id="rId52"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eader" Target="header8.xml"/><Relationship Id="rId43" Type="http://schemas.openxmlformats.org/officeDocument/2006/relationships/image" Target="media/image3.emf"/><Relationship Id="rId48" Type="http://schemas.openxmlformats.org/officeDocument/2006/relationships/header" Target="header12.xml"/><Relationship Id="rId8" Type="http://schemas.openxmlformats.org/officeDocument/2006/relationships/header" Target="header1.xml"/><Relationship Id="rId51" Type="http://schemas.openxmlformats.org/officeDocument/2006/relationships/footer" Target="footer13.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12.xml.rels><?xml version="1.0" encoding="UTF-8" standalone="yes"?>
<Relationships xmlns="http://schemas.openxmlformats.org/package/2006/relationships"><Relationship Id="rId1" Type="http://schemas.openxmlformats.org/officeDocument/2006/relationships/image" Target="media/image1.jpg"/></Relationships>
</file>

<file path=word/_rels/header1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seargueta\Desktop\Informes%202022\Sitfin%202022\Septiembre%202022\Sitfin%20al%20300922%20(171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68757494926169"/>
          <c:y val="4.2637403722032341E-2"/>
          <c:w val="0.82641991543317783"/>
          <c:h val="0.81671453724684795"/>
        </c:manualLayout>
      </c:layout>
      <c:barChart>
        <c:barDir val="col"/>
        <c:grouping val="clustered"/>
        <c:varyColors val="0"/>
        <c:ser>
          <c:idx val="0"/>
          <c:order val="0"/>
          <c:tx>
            <c:strRef>
              <c:f>'[Sitfin al 300922 (171022).xlsx]Reporte Diario'!$L$62</c:f>
              <c:strCache>
                <c:ptCount val="1"/>
                <c:pt idx="0">
                  <c:v> Déficit </c:v>
                </c:pt>
              </c:strCache>
            </c:strRef>
          </c:tx>
          <c:spPr>
            <a:solidFill>
              <a:schemeClr val="accent1">
                <a:lumMod val="50000"/>
              </a:schemeClr>
            </a:solidFill>
            <a:ln>
              <a:noFill/>
            </a:ln>
            <a:effectLst/>
            <a:scene3d>
              <a:camera prst="orthographicFront"/>
              <a:lightRig rig="threePt" dir="t"/>
            </a:scene3d>
            <a:sp3d>
              <a:bevelT w="165100" prst="coolSlant"/>
            </a:sp3d>
          </c:spPr>
          <c:invertIfNegative val="0"/>
          <c:dPt>
            <c:idx val="3"/>
            <c:invertIfNegative val="0"/>
            <c:bubble3D val="0"/>
            <c:spPr>
              <a:solidFill>
                <a:srgbClr val="C00000"/>
              </a:solidFill>
              <a:ln>
                <a:noFill/>
              </a:ln>
              <a:effectLst/>
              <a:scene3d>
                <a:camera prst="orthographicFront"/>
                <a:lightRig rig="threePt" dir="t"/>
              </a:scene3d>
              <a:sp3d>
                <a:bevelT w="165100" prst="coolSlant"/>
              </a:sp3d>
            </c:spPr>
            <c:extLst>
              <c:ext xmlns:c16="http://schemas.microsoft.com/office/drawing/2014/chart" uri="{C3380CC4-5D6E-409C-BE32-E72D297353CC}">
                <c16:uniqueId val="{00000001-540C-4AEA-8204-2B71D0C1FCD0}"/>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'[Sitfin al 300922 (171022).xlsx]Reporte Diario'!$M$61:$P$61</c:f>
              <c:numCache>
                <c:formatCode>General</c:formatCode>
                <c:ptCount val="4"/>
                <c:pt idx="0">
                  <c:v>2019</c:v>
                </c:pt>
                <c:pt idx="1">
                  <c:v>2020</c:v>
                </c:pt>
                <c:pt idx="2">
                  <c:v>2021</c:v>
                </c:pt>
                <c:pt idx="3">
                  <c:v>2022</c:v>
                </c:pt>
              </c:numCache>
            </c:numRef>
          </c:cat>
          <c:val>
            <c:numRef>
              <c:f>'[Sitfin al 300922 (171022).xlsx]Reporte Diario'!$M$62:$P$62</c:f>
              <c:numCache>
                <c:formatCode>_-* #,##0.0_-;\-* #,##0.0_-;_-* "-"??_-;_-@_-</c:formatCode>
                <c:ptCount val="4"/>
                <c:pt idx="0">
                  <c:v>-7887.1024730199988</c:v>
                </c:pt>
                <c:pt idx="1">
                  <c:v>-19428.427970539997</c:v>
                </c:pt>
                <c:pt idx="2">
                  <c:v>-3546.6734581200017</c:v>
                </c:pt>
                <c:pt idx="3">
                  <c:v>-4380.1437521699991</c:v>
                </c:pt>
              </c:numCache>
            </c:numRef>
          </c:val>
          <c:extLst>
            <c:ext xmlns:c16="http://schemas.microsoft.com/office/drawing/2014/chart" uri="{C3380CC4-5D6E-409C-BE32-E72D297353CC}">
              <c16:uniqueId val="{00000002-540C-4AEA-8204-2B71D0C1FCD0}"/>
            </c:ext>
          </c:extLst>
        </c:ser>
        <c:dLbls>
          <c:showLegendKey val="0"/>
          <c:showVal val="0"/>
          <c:showCatName val="0"/>
          <c:showSerName val="0"/>
          <c:showPercent val="0"/>
          <c:showBubbleSize val="0"/>
        </c:dLbls>
        <c:gapWidth val="63"/>
        <c:overlap val="-27"/>
        <c:axId val="674696352"/>
        <c:axId val="674709472"/>
      </c:barChart>
      <c:catAx>
        <c:axId val="674696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709472"/>
        <c:crosses val="autoZero"/>
        <c:auto val="1"/>
        <c:lblAlgn val="ctr"/>
        <c:lblOffset val="100"/>
        <c:noMultiLvlLbl val="0"/>
      </c:catAx>
      <c:valAx>
        <c:axId val="674709472"/>
        <c:scaling>
          <c:orientation val="minMax"/>
          <c:max val="2200"/>
        </c:scaling>
        <c:delete val="0"/>
        <c:axPos val="l"/>
        <c:numFmt formatCode="_-* #,##0.0_-;\-* #,##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74696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11229258735818"/>
          <c:y val="2.4095706923896593E-2"/>
          <c:w val="0.60628867758312222"/>
          <c:h val="0.91978616142967484"/>
        </c:manualLayout>
      </c:layout>
      <c:barChart>
        <c:barDir val="bar"/>
        <c:grouping val="clustered"/>
        <c:varyColors val="0"/>
        <c:ser>
          <c:idx val="0"/>
          <c:order val="0"/>
          <c:tx>
            <c:strRef>
              <c:f>Hoja1!$B$1</c:f>
              <c:strCache>
                <c:ptCount val="1"/>
                <c:pt idx="0">
                  <c:v>%</c:v>
                </c:pt>
              </c:strCache>
            </c:strRef>
          </c:tx>
          <c:spPr>
            <a:solidFill>
              <a:srgbClr val="FF9999">
                <a:alpha val="75000"/>
              </a:srgbClr>
            </a:solidFill>
            <a:ln>
              <a:solidFill>
                <a:schemeClr val="tx1">
                  <a:lumMod val="95000"/>
                  <a:lumOff val="5000"/>
                </a:schemeClr>
              </a:solidFill>
            </a:ln>
            <a:effectLst/>
          </c:spPr>
          <c:invertIfNegative val="0"/>
          <c:dPt>
            <c:idx val="2"/>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1-2634-418E-A317-51CD9141A071}"/>
              </c:ext>
            </c:extLst>
          </c:dPt>
          <c:dPt>
            <c:idx val="4"/>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3-2634-418E-A317-51CD9141A071}"/>
              </c:ext>
            </c:extLst>
          </c:dPt>
          <c:dPt>
            <c:idx val="6"/>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5-2634-418E-A317-51CD9141A071}"/>
              </c:ext>
            </c:extLst>
          </c:dPt>
          <c:dPt>
            <c:idx val="7"/>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7-2634-418E-A317-51CD9141A071}"/>
              </c:ext>
            </c:extLst>
          </c:dPt>
          <c:dPt>
            <c:idx val="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09-2634-418E-A317-51CD9141A071}"/>
              </c:ext>
            </c:extLst>
          </c:dPt>
          <c:dPt>
            <c:idx val="9"/>
            <c:invertIfNegative val="0"/>
            <c:bubble3D val="0"/>
            <c:spPr>
              <a:solidFill>
                <a:srgbClr val="FF7C80">
                  <a:alpha val="74902"/>
                </a:srgbClr>
              </a:solidFill>
              <a:ln>
                <a:solidFill>
                  <a:schemeClr val="tx1">
                    <a:lumMod val="95000"/>
                    <a:lumOff val="5000"/>
                  </a:schemeClr>
                </a:solidFill>
              </a:ln>
              <a:effectLst/>
            </c:spPr>
            <c:extLst>
              <c:ext xmlns:c16="http://schemas.microsoft.com/office/drawing/2014/chart" uri="{C3380CC4-5D6E-409C-BE32-E72D297353CC}">
                <c16:uniqueId val="{0000000B-2634-418E-A317-51CD9141A071}"/>
              </c:ext>
            </c:extLst>
          </c:dPt>
          <c:dPt>
            <c:idx val="10"/>
            <c:invertIfNegative val="0"/>
            <c:bubble3D val="0"/>
            <c:spPr>
              <a:solidFill>
                <a:srgbClr val="FF9999"/>
              </a:solidFill>
              <a:ln>
                <a:solidFill>
                  <a:schemeClr val="tx1">
                    <a:lumMod val="95000"/>
                    <a:lumOff val="5000"/>
                  </a:schemeClr>
                </a:solidFill>
              </a:ln>
              <a:effectLst/>
            </c:spPr>
            <c:extLst>
              <c:ext xmlns:c16="http://schemas.microsoft.com/office/drawing/2014/chart" uri="{C3380CC4-5D6E-409C-BE32-E72D297353CC}">
                <c16:uniqueId val="{0000000D-2634-418E-A317-51CD9141A071}"/>
              </c:ext>
            </c:extLst>
          </c:dPt>
          <c:dPt>
            <c:idx val="11"/>
            <c:invertIfNegative val="0"/>
            <c:bubble3D val="0"/>
            <c:spPr>
              <a:solidFill>
                <a:srgbClr val="C00000">
                  <a:alpha val="74902"/>
                </a:srgbClr>
              </a:solidFill>
              <a:ln>
                <a:solidFill>
                  <a:schemeClr val="tx1">
                    <a:lumMod val="95000"/>
                    <a:lumOff val="5000"/>
                  </a:schemeClr>
                </a:solidFill>
              </a:ln>
              <a:effectLst/>
            </c:spPr>
            <c:extLst>
              <c:ext xmlns:c16="http://schemas.microsoft.com/office/drawing/2014/chart" uri="{C3380CC4-5D6E-409C-BE32-E72D297353CC}">
                <c16:uniqueId val="{0000000F-2634-418E-A317-51CD9141A071}"/>
              </c:ext>
            </c:extLst>
          </c:dPt>
          <c:dPt>
            <c:idx val="12"/>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1-2634-418E-A317-51CD9141A071}"/>
              </c:ext>
            </c:extLst>
          </c:dPt>
          <c:dPt>
            <c:idx val="18"/>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3-2634-418E-A317-51CD9141A071}"/>
              </c:ext>
            </c:extLst>
          </c:dPt>
          <c:dPt>
            <c:idx val="19"/>
            <c:invertIfNegative val="0"/>
            <c:bubble3D val="0"/>
            <c:spPr>
              <a:solidFill>
                <a:srgbClr val="FF9999">
                  <a:alpha val="74902"/>
                </a:srgbClr>
              </a:solidFill>
              <a:ln>
                <a:solidFill>
                  <a:schemeClr val="tx1">
                    <a:lumMod val="95000"/>
                    <a:lumOff val="5000"/>
                  </a:schemeClr>
                </a:solidFill>
              </a:ln>
              <a:effectLst/>
            </c:spPr>
            <c:extLst>
              <c:ext xmlns:c16="http://schemas.microsoft.com/office/drawing/2014/chart" uri="{C3380CC4-5D6E-409C-BE32-E72D297353CC}">
                <c16:uniqueId val="{00000015-2634-418E-A317-51CD9141A071}"/>
              </c:ext>
            </c:extLst>
          </c:dPt>
          <c:dLbls>
            <c:dLbl>
              <c:idx val="1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6="http://schemas.microsoft.com/office/drawing/2014/chart" uri="{C3380CC4-5D6E-409C-BE32-E72D297353CC}">
                  <c16:uniqueId val="{0000000F-2634-418E-A317-51CD9141A071}"/>
                </c:ext>
              </c:extLst>
            </c:dLbl>
            <c:dLbl>
              <c:idx val="16"/>
              <c:layout>
                <c:manualLayout>
                  <c:x val="-9.840098400984010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634-418E-A317-51CD9141A07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Hoja1!$A$2:$A$21</c:f>
              <c:strCache>
                <c:ptCount val="20"/>
                <c:pt idx="0">
                  <c:v>Comunicaciones</c:v>
                </c:pt>
                <c:pt idx="1">
                  <c:v>Cultura</c:v>
                </c:pt>
                <c:pt idx="2">
                  <c:v>Agricultura</c:v>
                </c:pt>
                <c:pt idx="3">
                  <c:v>Economía</c:v>
                </c:pt>
                <c:pt idx="4">
                  <c:v>Secretarías</c:v>
                </c:pt>
                <c:pt idx="5">
                  <c:v>Finanzas</c:v>
                </c:pt>
                <c:pt idx="6">
                  <c:v>Salud Pública </c:v>
                </c:pt>
                <c:pt idx="7">
                  <c:v>Gobernación</c:v>
                </c:pt>
                <c:pt idx="8">
                  <c:v>Desarrollo</c:v>
                </c:pt>
                <c:pt idx="9">
                  <c:v>Ambiente </c:v>
                </c:pt>
                <c:pt idx="10">
                  <c:v>MINREX</c:v>
                </c:pt>
                <c:pt idx="11">
                  <c:v>Total</c:v>
                </c:pt>
                <c:pt idx="12">
                  <c:v>Obligaciones </c:v>
                </c:pt>
                <c:pt idx="13">
                  <c:v>Deuda Pública</c:v>
                </c:pt>
                <c:pt idx="14">
                  <c:v>Defensa </c:v>
                </c:pt>
                <c:pt idx="15">
                  <c:v>Trabajo </c:v>
                </c:pt>
                <c:pt idx="16">
                  <c:v>PGN</c:v>
                </c:pt>
                <c:pt idx="17">
                  <c:v>Presidencia</c:v>
                </c:pt>
                <c:pt idx="18">
                  <c:v>Educación </c:v>
                </c:pt>
                <c:pt idx="19">
                  <c:v>Energía</c:v>
                </c:pt>
              </c:strCache>
            </c:strRef>
          </c:cat>
          <c:val>
            <c:numRef>
              <c:f>Hoja1!$B$2:$B$21</c:f>
              <c:numCache>
                <c:formatCode>0.0</c:formatCode>
                <c:ptCount val="20"/>
                <c:pt idx="0">
                  <c:v>48.032387182218649</c:v>
                </c:pt>
                <c:pt idx="1">
                  <c:v>53.544846041853646</c:v>
                </c:pt>
                <c:pt idx="2">
                  <c:v>56.701598670472521</c:v>
                </c:pt>
                <c:pt idx="3">
                  <c:v>57.80218246597407</c:v>
                </c:pt>
                <c:pt idx="4">
                  <c:v>59.351214870104798</c:v>
                </c:pt>
                <c:pt idx="5">
                  <c:v>60.564528567341988</c:v>
                </c:pt>
                <c:pt idx="6">
                  <c:v>62.081853868390944</c:v>
                </c:pt>
                <c:pt idx="7">
                  <c:v>63.142067855264415</c:v>
                </c:pt>
                <c:pt idx="8">
                  <c:v>63.564127633426772</c:v>
                </c:pt>
                <c:pt idx="9">
                  <c:v>64.208954458359528</c:v>
                </c:pt>
                <c:pt idx="10">
                  <c:v>65.95810471666266</c:v>
                </c:pt>
                <c:pt idx="11">
                  <c:v>66.739885645560292</c:v>
                </c:pt>
                <c:pt idx="12">
                  <c:v>67.666435571365156</c:v>
                </c:pt>
                <c:pt idx="13">
                  <c:v>70.182316539642116</c:v>
                </c:pt>
                <c:pt idx="14">
                  <c:v>70.337995268760849</c:v>
                </c:pt>
                <c:pt idx="15">
                  <c:v>70.63246611127984</c:v>
                </c:pt>
                <c:pt idx="16">
                  <c:v>71.808650829493075</c:v>
                </c:pt>
                <c:pt idx="17">
                  <c:v>72.065408375609763</c:v>
                </c:pt>
                <c:pt idx="18">
                  <c:v>72.228653587342762</c:v>
                </c:pt>
                <c:pt idx="19">
                  <c:v>96.101905607713192</c:v>
                </c:pt>
              </c:numCache>
            </c:numRef>
          </c:val>
          <c:extLst>
            <c:ext xmlns:c16="http://schemas.microsoft.com/office/drawing/2014/chart" uri="{C3380CC4-5D6E-409C-BE32-E72D297353CC}">
              <c16:uniqueId val="{00000017-2634-418E-A317-51CD9141A071}"/>
            </c:ext>
          </c:extLst>
        </c:ser>
        <c:dLbls>
          <c:showLegendKey val="0"/>
          <c:showVal val="0"/>
          <c:showCatName val="0"/>
          <c:showSerName val="0"/>
          <c:showPercent val="0"/>
          <c:showBubbleSize val="0"/>
        </c:dLbls>
        <c:gapWidth val="100"/>
        <c:axId val="527800896"/>
        <c:axId val="527796960"/>
      </c:barChart>
      <c:catAx>
        <c:axId val="52780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796960"/>
        <c:crosses val="autoZero"/>
        <c:auto val="1"/>
        <c:lblAlgn val="ctr"/>
        <c:lblOffset val="100"/>
        <c:noMultiLvlLbl val="0"/>
      </c:catAx>
      <c:valAx>
        <c:axId val="527796960"/>
        <c:scaling>
          <c:orientation val="minMax"/>
          <c:max val="100"/>
          <c:min val="20"/>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527800896"/>
        <c:crosses val="autoZero"/>
        <c:crossBetween val="between"/>
        <c:majorUnit val="10"/>
        <c:minorUnit val="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69356571311071"/>
          <c:y val="2.232876132418932E-2"/>
          <c:w val="0.78227548773872879"/>
          <c:h val="0.80385551604436545"/>
        </c:manualLayout>
      </c:layout>
      <c:barChart>
        <c:barDir val="col"/>
        <c:grouping val="clustered"/>
        <c:varyColors val="0"/>
        <c:ser>
          <c:idx val="0"/>
          <c:order val="0"/>
          <c:tx>
            <c:strRef>
              <c:f>Sheet1!$B$1</c:f>
              <c:strCache>
                <c:ptCount val="1"/>
                <c:pt idx="0">
                  <c:v>Cuota</c:v>
                </c:pt>
              </c:strCache>
            </c:strRef>
          </c:tx>
          <c:spPr>
            <a:solidFill>
              <a:srgbClr val="006666"/>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#,##0.0</c:formatCode>
                <c:ptCount val="4"/>
                <c:pt idx="0">
                  <c:v>7127.2606620000015</c:v>
                </c:pt>
                <c:pt idx="1">
                  <c:v>9988.8227660800003</c:v>
                </c:pt>
                <c:pt idx="2">
                  <c:v>7270.6422689999999</c:v>
                </c:pt>
                <c:pt idx="3">
                  <c:v>9336.0520151700002</c:v>
                </c:pt>
              </c:numCache>
            </c:numRef>
          </c:val>
          <c:extLst>
            <c:ext xmlns:c16="http://schemas.microsoft.com/office/drawing/2014/chart" uri="{C3380CC4-5D6E-409C-BE32-E72D297353CC}">
              <c16:uniqueId val="{00000000-96E5-4D30-BDE4-B395A230B66A}"/>
            </c:ext>
          </c:extLst>
        </c:ser>
        <c:ser>
          <c:idx val="1"/>
          <c:order val="1"/>
          <c:tx>
            <c:strRef>
              <c:f>Sheet1!$C$1</c:f>
              <c:strCache>
                <c:ptCount val="1"/>
                <c:pt idx="0">
                  <c:v>Ejecución</c:v>
                </c:pt>
              </c:strCache>
            </c:strRef>
          </c:tx>
          <c:spPr>
            <a:solidFill>
              <a:schemeClr val="accent6">
                <a:lumMod val="75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#,##0.0</c:formatCode>
                <c:ptCount val="4"/>
                <c:pt idx="0">
                  <c:v>6727.1857269399998</c:v>
                </c:pt>
                <c:pt idx="1">
                  <c:v>8940.8984402799997</c:v>
                </c:pt>
                <c:pt idx="2">
                  <c:v>6834.2737948800022</c:v>
                </c:pt>
                <c:pt idx="3">
                  <c:v>8883.8506405700009</c:v>
                </c:pt>
              </c:numCache>
            </c:numRef>
          </c:val>
          <c:extLst>
            <c:ext xmlns:c16="http://schemas.microsoft.com/office/drawing/2014/chart" uri="{C3380CC4-5D6E-409C-BE32-E72D297353CC}">
              <c16:uniqueId val="{00000001-96E5-4D30-BDE4-B395A230B66A}"/>
            </c:ext>
          </c:extLst>
        </c:ser>
        <c:dLbls>
          <c:showLegendKey val="0"/>
          <c:showVal val="0"/>
          <c:showCatName val="0"/>
          <c:showSerName val="0"/>
          <c:showPercent val="0"/>
          <c:showBubbleSize val="0"/>
        </c:dLbls>
        <c:gapWidth val="104"/>
        <c:axId val="371228440"/>
        <c:axId val="371228768"/>
      </c:barChart>
      <c:lineChart>
        <c:grouping val="standard"/>
        <c:varyColors val="0"/>
        <c:ser>
          <c:idx val="2"/>
          <c:order val="2"/>
          <c:tx>
            <c:strRef>
              <c:f>Sheet1!$D$1</c:f>
              <c:strCache>
                <c:ptCount val="1"/>
                <c:pt idx="0">
                  <c:v>% de Ejecución</c:v>
                </c:pt>
              </c:strCache>
            </c:strRef>
          </c:tx>
          <c:spPr>
            <a:ln w="28575" cap="rnd">
              <a:noFill/>
              <a:round/>
            </a:ln>
            <a:effectLst/>
          </c:spPr>
          <c:marker>
            <c:symbol val="star"/>
            <c:size val="8"/>
            <c:spPr>
              <a:noFill/>
              <a:ln w="9525">
                <a:solidFill>
                  <a:schemeClr val="accent5"/>
                </a:solidFill>
              </a:ln>
              <a:effectLst/>
            </c:spPr>
          </c:marker>
          <c:dLbls>
            <c:dLbl>
              <c:idx val="0"/>
              <c:layout>
                <c:manualLayout>
                  <c:x val="-9.9630996309963096E-2"/>
                  <c:y val="-5.6539969540844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E5-4D30-BDE4-B395A230B66A}"/>
                </c:ext>
              </c:extLst>
            </c:dLbl>
            <c:dLbl>
              <c:idx val="1"/>
              <c:layout>
                <c:manualLayout>
                  <c:x val="-8.9790897908979095E-2"/>
                  <c:y val="-7.36625514403292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6E5-4D30-BDE4-B395A230B66A}"/>
                </c:ext>
              </c:extLst>
            </c:dLbl>
            <c:dLbl>
              <c:idx val="2"/>
              <c:layout>
                <c:manualLayout>
                  <c:x val="-8.9790897908979095E-2"/>
                  <c:y val="-7.0404069861637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E5-4D30-BDE4-B395A230B66A}"/>
                </c:ext>
              </c:extLst>
            </c:dLbl>
            <c:dLbl>
              <c:idx val="3"/>
              <c:layout>
                <c:manualLayout>
                  <c:x val="-1.8627228791972959E-2"/>
                  <c:y val="-2.428604281313868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E5-4D30-BDE4-B395A230B66A}"/>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2019</c:v>
                </c:pt>
                <c:pt idx="1">
                  <c:v>2020</c:v>
                </c:pt>
                <c:pt idx="2">
                  <c:v>2021</c:v>
                </c:pt>
                <c:pt idx="3">
                  <c:v>2022</c:v>
                </c:pt>
              </c:numCache>
            </c:numRef>
          </c:cat>
          <c:val>
            <c:numRef>
              <c:f>Sheet1!$D$2:$D$5</c:f>
              <c:numCache>
                <c:formatCode>0.0%</c:formatCode>
                <c:ptCount val="4"/>
                <c:pt idx="0">
                  <c:v>0.94386694214888789</c:v>
                </c:pt>
                <c:pt idx="1">
                  <c:v>0.89509030740253626</c:v>
                </c:pt>
                <c:pt idx="2">
                  <c:v>0.93998212840417805</c:v>
                </c:pt>
                <c:pt idx="3">
                  <c:v>0.95156396152621847</c:v>
                </c:pt>
              </c:numCache>
            </c:numRef>
          </c:val>
          <c:smooth val="0"/>
          <c:extLst>
            <c:ext xmlns:c16="http://schemas.microsoft.com/office/drawing/2014/chart" uri="{C3380CC4-5D6E-409C-BE32-E72D297353CC}">
              <c16:uniqueId val="{00000006-96E5-4D30-BDE4-B395A230B66A}"/>
            </c:ext>
          </c:extLst>
        </c:ser>
        <c:dLbls>
          <c:showLegendKey val="0"/>
          <c:showVal val="0"/>
          <c:showCatName val="0"/>
          <c:showSerName val="0"/>
          <c:showPercent val="0"/>
          <c:showBubbleSize val="0"/>
        </c:dLbls>
        <c:marker val="1"/>
        <c:smooth val="0"/>
        <c:axId val="295759368"/>
        <c:axId val="295755760"/>
      </c:lineChart>
      <c:catAx>
        <c:axId val="371228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1228768"/>
        <c:crosses val="autoZero"/>
        <c:auto val="1"/>
        <c:lblAlgn val="ctr"/>
        <c:lblOffset val="100"/>
        <c:noMultiLvlLbl val="0"/>
      </c:catAx>
      <c:valAx>
        <c:axId val="371228768"/>
        <c:scaling>
          <c:orientation val="minMax"/>
          <c:max val="11000"/>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1228440"/>
        <c:crosses val="autoZero"/>
        <c:crossBetween val="between"/>
      </c:valAx>
      <c:valAx>
        <c:axId val="295755760"/>
        <c:scaling>
          <c:orientation val="minMax"/>
          <c:max val="1.1000000000000001"/>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5759368"/>
        <c:crosses val="max"/>
        <c:crossBetween val="between"/>
      </c:valAx>
      <c:catAx>
        <c:axId val="295759368"/>
        <c:scaling>
          <c:orientation val="minMax"/>
        </c:scaling>
        <c:delete val="1"/>
        <c:axPos val="b"/>
        <c:numFmt formatCode="General" sourceLinked="1"/>
        <c:majorTickMark val="out"/>
        <c:minorTickMark val="none"/>
        <c:tickLblPos val="nextTo"/>
        <c:crossAx val="295755760"/>
        <c:crosses val="autoZero"/>
        <c:auto val="1"/>
        <c:lblAlgn val="ctr"/>
        <c:lblOffset val="100"/>
        <c:noMultiLvlLbl val="0"/>
      </c:catAx>
      <c:spPr>
        <a:pattFill prst="wdDnDiag">
          <a:fgClr>
            <a:schemeClr val="bg1">
              <a:lumMod val="85000"/>
            </a:schemeClr>
          </a:fgClr>
          <a:bgClr>
            <a:schemeClr val="bg1"/>
          </a:bgClr>
        </a:pattFill>
        <a:ln w="25400">
          <a:noFill/>
        </a:ln>
        <a:effectLst/>
      </c:spPr>
    </c:plotArea>
    <c:legend>
      <c:legendPos val="b"/>
      <c:layout>
        <c:manualLayout>
          <c:xMode val="edge"/>
          <c:yMode val="edge"/>
          <c:x val="0.15186498243325167"/>
          <c:y val="0.92507355431377514"/>
          <c:w val="0.66121254645149541"/>
          <c:h val="7.238749894166454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139340054817867E-2"/>
          <c:y val="3.3430232558139532E-2"/>
          <c:w val="0.94388122148938025"/>
          <c:h val="0.92151162790697672"/>
        </c:manualLayout>
      </c:layout>
      <c:ofPieChart>
        <c:ofPieType val="bar"/>
        <c:varyColors val="1"/>
        <c:ser>
          <c:idx val="0"/>
          <c:order val="0"/>
          <c:tx>
            <c:strRef>
              <c:f>Sheet1!$B$1</c:f>
              <c:strCache>
                <c:ptCount val="1"/>
                <c:pt idx="0">
                  <c:v>Column1</c:v>
                </c:pt>
              </c:strCache>
            </c:strRef>
          </c:tx>
          <c:spPr>
            <a:ln w="3175">
              <a:solidFill>
                <a:schemeClr val="tx1"/>
              </a:solidFill>
            </a:ln>
          </c:spPr>
          <c:dPt>
            <c:idx val="0"/>
            <c:bubble3D val="0"/>
            <c:spPr>
              <a:solidFill>
                <a:schemeClr val="accent1"/>
              </a:solidFill>
              <a:ln w="3175">
                <a:solidFill>
                  <a:schemeClr val="tx1"/>
                </a:solidFill>
              </a:ln>
              <a:effectLst/>
            </c:spPr>
            <c:extLst>
              <c:ext xmlns:c16="http://schemas.microsoft.com/office/drawing/2014/chart" uri="{C3380CC4-5D6E-409C-BE32-E72D297353CC}">
                <c16:uniqueId val="{00000001-9FAE-4B7F-94FB-00601F26C53A}"/>
              </c:ext>
            </c:extLst>
          </c:dPt>
          <c:dPt>
            <c:idx val="1"/>
            <c:bubble3D val="0"/>
            <c:spPr>
              <a:solidFill>
                <a:schemeClr val="accent2"/>
              </a:solidFill>
              <a:ln w="3175">
                <a:solidFill>
                  <a:schemeClr val="tx1"/>
                </a:solidFill>
              </a:ln>
              <a:effectLst/>
            </c:spPr>
            <c:extLst>
              <c:ext xmlns:c16="http://schemas.microsoft.com/office/drawing/2014/chart" uri="{C3380CC4-5D6E-409C-BE32-E72D297353CC}">
                <c16:uniqueId val="{00000003-9FAE-4B7F-94FB-00601F26C53A}"/>
              </c:ext>
            </c:extLst>
          </c:dPt>
          <c:dPt>
            <c:idx val="2"/>
            <c:bubble3D val="0"/>
            <c:spPr>
              <a:solidFill>
                <a:schemeClr val="accent3"/>
              </a:solidFill>
              <a:ln w="3175">
                <a:solidFill>
                  <a:schemeClr val="tx1"/>
                </a:solidFill>
              </a:ln>
              <a:effectLst/>
            </c:spPr>
            <c:extLst>
              <c:ext xmlns:c16="http://schemas.microsoft.com/office/drawing/2014/chart" uri="{C3380CC4-5D6E-409C-BE32-E72D297353CC}">
                <c16:uniqueId val="{00000005-9FAE-4B7F-94FB-00601F26C53A}"/>
              </c:ext>
            </c:extLst>
          </c:dPt>
          <c:dPt>
            <c:idx val="3"/>
            <c:bubble3D val="0"/>
            <c:spPr>
              <a:solidFill>
                <a:srgbClr val="FF0000"/>
              </a:solidFill>
              <a:ln w="3175">
                <a:solidFill>
                  <a:schemeClr val="tx1"/>
                </a:solidFill>
              </a:ln>
              <a:effectLst/>
            </c:spPr>
            <c:extLst>
              <c:ext xmlns:c16="http://schemas.microsoft.com/office/drawing/2014/chart" uri="{C3380CC4-5D6E-409C-BE32-E72D297353CC}">
                <c16:uniqueId val="{00000007-9FAE-4B7F-94FB-00601F26C53A}"/>
              </c:ext>
            </c:extLst>
          </c:dPt>
          <c:dPt>
            <c:idx val="4"/>
            <c:bubble3D val="0"/>
            <c:spPr>
              <a:solidFill>
                <a:schemeClr val="accent5"/>
              </a:solidFill>
              <a:ln w="3175">
                <a:solidFill>
                  <a:schemeClr val="tx1"/>
                </a:solidFill>
              </a:ln>
              <a:effectLst/>
            </c:spPr>
            <c:extLst>
              <c:ext xmlns:c16="http://schemas.microsoft.com/office/drawing/2014/chart" uri="{C3380CC4-5D6E-409C-BE32-E72D297353CC}">
                <c16:uniqueId val="{00000009-9FAE-4B7F-94FB-00601F26C53A}"/>
              </c:ext>
            </c:extLst>
          </c:dPt>
          <c:dLbls>
            <c:dLbl>
              <c:idx val="0"/>
              <c:layout>
                <c:manualLayout>
                  <c:x val="4.9217628284269344E-2"/>
                  <c:y val="-1.2592898551146266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7183260629006739"/>
                      <c:h val="0.33156843692410787"/>
                    </c:manualLayout>
                  </c15:layout>
                </c:ext>
                <c:ext xmlns:c16="http://schemas.microsoft.com/office/drawing/2014/chart" uri="{C3380CC4-5D6E-409C-BE32-E72D297353CC}">
                  <c16:uniqueId val="{00000001-9FAE-4B7F-94FB-00601F26C53A}"/>
                </c:ext>
              </c:extLst>
            </c:dLbl>
            <c:dLbl>
              <c:idx val="1"/>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AE-4B7F-94FB-00601F26C53A}"/>
                </c:ext>
              </c:extLst>
            </c:dLbl>
            <c:dLbl>
              <c:idx val="2"/>
              <c:layout>
                <c:manualLayout>
                  <c:x val="-1.3255599147667517E-2"/>
                  <c:y val="-4.1703195855597473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1588356333507089"/>
                      <c:h val="0.31207688345654794"/>
                    </c:manualLayout>
                  </c15:layout>
                </c:ext>
                <c:ext xmlns:c16="http://schemas.microsoft.com/office/drawing/2014/chart" uri="{C3380CC4-5D6E-409C-BE32-E72D297353CC}">
                  <c16:uniqueId val="{00000005-9FAE-4B7F-94FB-00601F26C53A}"/>
                </c:ext>
              </c:extLst>
            </c:dLbl>
            <c:dLbl>
              <c:idx val="3"/>
              <c:layout>
                <c:manualLayout>
                  <c:x val="-4.6128380293926672E-4"/>
                  <c:y val="4.9647603617334918E-2"/>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36998070363155827"/>
                      <c:h val="0.27440308259339918"/>
                    </c:manualLayout>
                  </c15:layout>
                </c:ext>
                <c:ext xmlns:c16="http://schemas.microsoft.com/office/drawing/2014/chart" uri="{C3380CC4-5D6E-409C-BE32-E72D297353CC}">
                  <c16:uniqueId val="{00000007-9FAE-4B7F-94FB-00601F26C53A}"/>
                </c:ext>
              </c:extLst>
            </c:dLbl>
            <c:dLbl>
              <c:idx val="4"/>
              <c:layout>
                <c:manualLayout>
                  <c:x val="-0.29481229480461291"/>
                  <c:y val="-1.3514975755477924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800" b="1" baseline="0">
                        <a:solidFill>
                          <a:schemeClr val="bg1"/>
                        </a:solidFill>
                        <a:latin typeface="Times New Roman" panose="02020603050405020304" pitchFamily="18" charset="0"/>
                        <a:cs typeface="Times New Roman" panose="02020603050405020304" pitchFamily="18" charset="0"/>
                      </a:rPr>
                      <a:t>Colocado;
</a:t>
                    </a:r>
                    <a:fld id="{62AA4768-CB93-4CB1-A2D8-F7A71AE79038}" type="VALUE">
                      <a:rPr lang="en-US" sz="800" b="1" baseline="0">
                        <a:solidFill>
                          <a:schemeClr val="bg1"/>
                        </a:solidFill>
                        <a:latin typeface="Times New Roman" panose="02020603050405020304" pitchFamily="18" charset="0"/>
                        <a:cs typeface="Times New Roman" panose="02020603050405020304" pitchFamily="18" charset="0"/>
                      </a:rPr>
                      <a:pPr>
                        <a:defRPr>
                          <a:latin typeface="Times New Roman" panose="02020603050405020304" pitchFamily="18" charset="0"/>
                          <a:cs typeface="Times New Roman" panose="02020603050405020304" pitchFamily="18" charset="0"/>
                        </a:defRPr>
                      </a:pPr>
                      <a:t>[VALOR]</a:t>
                    </a:fld>
                    <a:endParaRPr lang="en-US" sz="800" b="1" baseline="0">
                      <a:solidFill>
                        <a:schemeClr val="bg1"/>
                      </a:solidFill>
                      <a:latin typeface="Times New Roman" panose="02020603050405020304" pitchFamily="18" charset="0"/>
                      <a:cs typeface="Times New Roman" panose="02020603050405020304" pitchFamily="18" charset="0"/>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extLst>
                <c:ext xmlns:c15="http://schemas.microsoft.com/office/drawing/2012/chart" uri="{CE6537A1-D6FC-4f65-9D91-7224C49458BB}">
                  <c15:layout>
                    <c:manualLayout>
                      <c:w val="0.25065196118777838"/>
                      <c:h val="0.25749505779862619"/>
                    </c:manualLayout>
                  </c15:layout>
                  <c15:dlblFieldTable/>
                  <c15:showDataLabelsRange val="0"/>
                </c:ext>
                <c:ext xmlns:c16="http://schemas.microsoft.com/office/drawing/2014/chart" uri="{C3380CC4-5D6E-409C-BE32-E72D297353CC}">
                  <c16:uniqueId val="{00000009-9FAE-4B7F-94FB-00601F26C5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Por Colocar</c:v>
                </c:pt>
                <c:pt idx="1">
                  <c:v>Colocado</c:v>
                </c:pt>
                <c:pt idx="2">
                  <c:v>Nuevo Endeudamiento</c:v>
                </c:pt>
                <c:pt idx="3">
                  <c:v>Roll Over</c:v>
                </c:pt>
              </c:strCache>
            </c:strRef>
          </c:cat>
          <c:val>
            <c:numRef>
              <c:f>Sheet1!$B$2:$B$5</c:f>
              <c:numCache>
                <c:formatCode>General</c:formatCode>
                <c:ptCount val="4"/>
                <c:pt idx="0" formatCode="#,##0.0">
                  <c:v>5239.8270187999988</c:v>
                </c:pt>
                <c:pt idx="2" formatCode="#,##0.0">
                  <c:v>11664.5789812</c:v>
                </c:pt>
                <c:pt idx="3" formatCode="#,##0.0">
                  <c:v>1085.3989999999999</c:v>
                </c:pt>
              </c:numCache>
            </c:numRef>
          </c:val>
          <c:extLst>
            <c:ext xmlns:c16="http://schemas.microsoft.com/office/drawing/2014/chart" uri="{C3380CC4-5D6E-409C-BE32-E72D297353CC}">
              <c16:uniqueId val="{0000000A-9FAE-4B7F-94FB-00601F26C53A}"/>
            </c:ext>
          </c:extLst>
        </c:ser>
        <c:dLbls>
          <c:showLegendKey val="0"/>
          <c:showVal val="0"/>
          <c:showCatName val="0"/>
          <c:showSerName val="0"/>
          <c:showPercent val="0"/>
          <c:showBubbleSize val="0"/>
          <c:showLeaderLines val="1"/>
        </c:dLbls>
        <c:gapWidth val="54"/>
        <c:splitType val="pos"/>
        <c:splitPos val="2"/>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85240820912146"/>
          <c:y val="6.3931806073521572E-2"/>
          <c:w val="0.82699053762191144"/>
          <c:h val="0.68990522018081069"/>
        </c:manualLayout>
      </c:layout>
      <c:barChart>
        <c:barDir val="col"/>
        <c:grouping val="clustered"/>
        <c:varyColors val="0"/>
        <c:ser>
          <c:idx val="0"/>
          <c:order val="0"/>
          <c:tx>
            <c:strRef>
              <c:f>Sheet1!$B$1</c:f>
              <c:strCache>
                <c:ptCount val="1"/>
                <c:pt idx="0">
                  <c:v>Presupuesto </c:v>
                </c:pt>
              </c:strCache>
            </c:strRef>
          </c:tx>
          <c:spPr>
            <a:solidFill>
              <a:schemeClr val="accent1">
                <a:lumMod val="50000"/>
              </a:schemeClr>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Sheet1!$B$2:$B$4</c:f>
              <c:numCache>
                <c:formatCode>#,##0.0</c:formatCode>
                <c:ptCount val="3"/>
                <c:pt idx="0">
                  <c:v>435.93</c:v>
                </c:pt>
                <c:pt idx="1">
                  <c:v>1476.14</c:v>
                </c:pt>
                <c:pt idx="2">
                  <c:v>3.86</c:v>
                </c:pt>
              </c:numCache>
            </c:numRef>
          </c:val>
          <c:extLst>
            <c:ext xmlns:c16="http://schemas.microsoft.com/office/drawing/2014/chart" uri="{C3380CC4-5D6E-409C-BE32-E72D297353CC}">
              <c16:uniqueId val="{00000000-8392-4B09-A52B-0CDDA6326286}"/>
            </c:ext>
          </c:extLst>
        </c:ser>
        <c:ser>
          <c:idx val="1"/>
          <c:order val="1"/>
          <c:tx>
            <c:strRef>
              <c:f>Sheet1!$C$1</c:f>
              <c:strCache>
                <c:ptCount val="1"/>
                <c:pt idx="0">
                  <c:v>Ejecución</c:v>
                </c:pt>
              </c:strCache>
            </c:strRef>
          </c:tx>
          <c:spPr>
            <a:solidFill>
              <a:schemeClr val="accent5">
                <a:lumMod val="60000"/>
                <a:lumOff val="40000"/>
              </a:schemeClr>
            </a:solidFill>
            <a:ln>
              <a:noFill/>
            </a:ln>
            <a:effectLst/>
          </c:spPr>
          <c:invertIfNegative val="0"/>
          <c:dLbls>
            <c:dLbl>
              <c:idx val="0"/>
              <c:layout>
                <c:manualLayout>
                  <c:x val="4.92004920049196E-3"/>
                  <c:y val="1.2345679012345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92-4B09-A52B-0CDDA6326286}"/>
                </c:ext>
              </c:extLst>
            </c:dLbl>
            <c:dLbl>
              <c:idx val="1"/>
              <c:layout>
                <c:manualLayout>
                  <c:x val="4.9200492004919149E-3"/>
                  <c:y val="5.3276505061267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392-4B09-A52B-0CDDA6326286}"/>
                </c:ext>
              </c:extLst>
            </c:dLbl>
            <c:spPr>
              <a:noFill/>
              <a:ln>
                <a:noFill/>
              </a:ln>
              <a:effectLst/>
            </c:spPr>
            <c:txPr>
              <a:bodyPr rot="0" spcFirstLastPara="1" vertOverflow="ellipsis" vert="horz" wrap="square" anchor="ctr" anchorCtr="1"/>
              <a:lstStyle/>
              <a:p>
                <a:pPr>
                  <a:defRPr sz="600" b="1" i="0" u="none" strike="noStrike" kern="1200" baseline="0">
                    <a:solidFill>
                      <a:schemeClr val="accent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Sheet1!$A$2:$A$4</c:f>
              <c:strCache>
                <c:ptCount val="3"/>
                <c:pt idx="0">
                  <c:v>Vacuna COVID-19</c:v>
                </c:pt>
                <c:pt idx="1">
                  <c:v>Prevención y tratamiento de COVID-19</c:v>
                </c:pt>
                <c:pt idx="2">
                  <c:v>Intervenciones varias</c:v>
                </c:pt>
              </c:strCache>
            </c:strRef>
          </c:cat>
          <c:val>
            <c:numRef>
              <c:f>Sheet1!$C$2:$C$4</c:f>
              <c:numCache>
                <c:formatCode>#,##0.0</c:formatCode>
                <c:ptCount val="3"/>
                <c:pt idx="0">
                  <c:v>170.05</c:v>
                </c:pt>
                <c:pt idx="1">
                  <c:v>838.14</c:v>
                </c:pt>
                <c:pt idx="2">
                  <c:v>3.37</c:v>
                </c:pt>
              </c:numCache>
            </c:numRef>
          </c:val>
          <c:extLst>
            <c:ext xmlns:c16="http://schemas.microsoft.com/office/drawing/2014/chart" uri="{C3380CC4-5D6E-409C-BE32-E72D297353CC}">
              <c16:uniqueId val="{00000003-8392-4B09-A52B-0CDDA6326286}"/>
            </c:ext>
          </c:extLst>
        </c:ser>
        <c:dLbls>
          <c:showLegendKey val="0"/>
          <c:showVal val="0"/>
          <c:showCatName val="0"/>
          <c:showSerName val="0"/>
          <c:showPercent val="0"/>
          <c:showBubbleSize val="0"/>
        </c:dLbls>
        <c:gapWidth val="267"/>
        <c:overlap val="-4"/>
        <c:axId val="372949896"/>
        <c:axId val="372950552"/>
      </c:barChart>
      <c:catAx>
        <c:axId val="3729498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50552"/>
        <c:crosses val="autoZero"/>
        <c:auto val="1"/>
        <c:lblAlgn val="ctr"/>
        <c:lblOffset val="100"/>
        <c:noMultiLvlLbl val="0"/>
      </c:catAx>
      <c:valAx>
        <c:axId val="372950552"/>
        <c:scaling>
          <c:orientation val="minMax"/>
          <c:max val="1800"/>
          <c:min val="0"/>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72949896"/>
        <c:crosses val="autoZero"/>
        <c:crossBetween val="between"/>
        <c:majorUnit val="500"/>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21721978479627316"/>
          <c:y val="0.91009526845905053"/>
          <c:w val="0.60000038740544881"/>
          <c:h val="7.3921780022569092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sz="6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5106294370032"/>
          <c:y val="5.1764705882352942E-2"/>
          <c:w val="0.73781910102565595"/>
          <c:h val="0.59729133858267713"/>
        </c:manualLayout>
      </c:layout>
      <c:barChart>
        <c:barDir val="col"/>
        <c:grouping val="clustered"/>
        <c:varyColors val="0"/>
        <c:ser>
          <c:idx val="0"/>
          <c:order val="0"/>
          <c:tx>
            <c:strRef>
              <c:f>Hoja1!$B$1</c:f>
              <c:strCache>
                <c:ptCount val="1"/>
                <c:pt idx="0">
                  <c:v>Vigente</c:v>
                </c:pt>
              </c:strCache>
            </c:strRef>
          </c:tx>
          <c:spPr>
            <a:solidFill>
              <a:schemeClr val="accent2">
                <a:lumMod val="50000"/>
              </a:schemeClr>
            </a:solidFill>
            <a:ln>
              <a:solidFill>
                <a:schemeClr val="tx1"/>
              </a:solidFill>
            </a:ln>
            <a:effectLst/>
          </c:spPr>
          <c:invertIfNegative val="0"/>
          <c:dLbls>
            <c:dLbl>
              <c:idx val="1"/>
              <c:layout>
                <c:manualLayout>
                  <c:x val="-9.8400984009840101E-3"/>
                  <c:y val="4.7058823529411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A5-4488-92F3-ABB45B6ADB67}"/>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Comunicaciones</c:v>
                </c:pt>
                <c:pt idx="1">
                  <c:v>Defensa Nacional</c:v>
                </c:pt>
                <c:pt idx="2">
                  <c:v>Desarrollo Social</c:v>
                </c:pt>
                <c:pt idx="3">
                  <c:v>Educación</c:v>
                </c:pt>
                <c:pt idx="4">
                  <c:v>Cultura y Deportes</c:v>
                </c:pt>
                <c:pt idx="5">
                  <c:v>Secretarias</c:v>
                </c:pt>
              </c:strCache>
            </c:strRef>
          </c:cat>
          <c:val>
            <c:numRef>
              <c:f>Hoja1!$B$2:$B$7</c:f>
              <c:numCache>
                <c:formatCode>0.0</c:formatCode>
                <c:ptCount val="6"/>
                <c:pt idx="0">
                  <c:v>752.92</c:v>
                </c:pt>
                <c:pt idx="1">
                  <c:v>142.25</c:v>
                </c:pt>
                <c:pt idx="2">
                  <c:v>55</c:v>
                </c:pt>
                <c:pt idx="3">
                  <c:v>9.15</c:v>
                </c:pt>
                <c:pt idx="4">
                  <c:v>2.4900000000000002</c:v>
                </c:pt>
                <c:pt idx="5">
                  <c:v>2.13</c:v>
                </c:pt>
              </c:numCache>
            </c:numRef>
          </c:val>
          <c:extLst>
            <c:ext xmlns:c16="http://schemas.microsoft.com/office/drawing/2014/chart" uri="{C3380CC4-5D6E-409C-BE32-E72D297353CC}">
              <c16:uniqueId val="{00000001-35A5-4488-92F3-ABB45B6ADB67}"/>
            </c:ext>
          </c:extLst>
        </c:ser>
        <c:ser>
          <c:idx val="1"/>
          <c:order val="1"/>
          <c:tx>
            <c:strRef>
              <c:f>Hoja1!$C$1</c:f>
              <c:strCache>
                <c:ptCount val="1"/>
                <c:pt idx="0">
                  <c:v>Devengado</c:v>
                </c:pt>
              </c:strCache>
            </c:strRef>
          </c:tx>
          <c:spPr>
            <a:solidFill>
              <a:schemeClr val="accent2">
                <a:lumMod val="60000"/>
                <a:lumOff val="40000"/>
              </a:schemeClr>
            </a:solidFill>
            <a:ln>
              <a:solidFill>
                <a:schemeClr val="tx1"/>
              </a:solidFill>
            </a:ln>
            <a:effectLst/>
          </c:spPr>
          <c:invertIfNegative val="0"/>
          <c:dLbls>
            <c:dLbl>
              <c:idx val="0"/>
              <c:layout>
                <c:manualLayout>
                  <c:x val="2.4600246002460024E-2"/>
                  <c:y val="-4.7058823529411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A5-4488-92F3-ABB45B6ADB67}"/>
                </c:ext>
              </c:extLst>
            </c:dLbl>
            <c:dLbl>
              <c:idx val="1"/>
              <c:layout>
                <c:manualLayout>
                  <c:x val="2.460024600246002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A5-4488-92F3-ABB45B6ADB67}"/>
                </c:ext>
              </c:extLst>
            </c:dLbl>
            <c:dLbl>
              <c:idx val="2"/>
              <c:layout>
                <c:manualLayout>
                  <c:x val="1.968019680196802E-2"/>
                  <c:y val="-8.62735131649354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A5-4488-92F3-ABB45B6ADB67}"/>
                </c:ext>
              </c:extLst>
            </c:dLbl>
            <c:dLbl>
              <c:idx val="4"/>
              <c:layout>
                <c:manualLayout>
                  <c:x val="9.8400984009838297E-3"/>
                  <c:y val="-8.62735131649354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5A5-4488-92F3-ABB45B6ADB67}"/>
                </c:ext>
              </c:extLst>
            </c:dLbl>
            <c:dLbl>
              <c:idx val="5"/>
              <c:layout>
                <c:manualLayout>
                  <c:x val="9.8400984009840101E-3"/>
                  <c:y val="-4.70588235294117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5A5-4488-92F3-ABB45B6ADB67}"/>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Comunicaciones</c:v>
                </c:pt>
                <c:pt idx="1">
                  <c:v>Defensa Nacional</c:v>
                </c:pt>
                <c:pt idx="2">
                  <c:v>Desarrollo Social</c:v>
                </c:pt>
                <c:pt idx="3">
                  <c:v>Educación</c:v>
                </c:pt>
                <c:pt idx="4">
                  <c:v>Cultura y Deportes</c:v>
                </c:pt>
                <c:pt idx="5">
                  <c:v>Secretarias</c:v>
                </c:pt>
              </c:strCache>
            </c:strRef>
          </c:cat>
          <c:val>
            <c:numRef>
              <c:f>Hoja1!$C$2:$C$7</c:f>
              <c:numCache>
                <c:formatCode>0.0</c:formatCode>
                <c:ptCount val="6"/>
                <c:pt idx="0">
                  <c:v>228.1</c:v>
                </c:pt>
                <c:pt idx="1">
                  <c:v>139.25</c:v>
                </c:pt>
                <c:pt idx="2">
                  <c:v>42.34</c:v>
                </c:pt>
                <c:pt idx="3">
                  <c:v>8.9700000000000006</c:v>
                </c:pt>
                <c:pt idx="4">
                  <c:v>0</c:v>
                </c:pt>
                <c:pt idx="5">
                  <c:v>1.3</c:v>
                </c:pt>
              </c:numCache>
            </c:numRef>
          </c:val>
          <c:extLst>
            <c:ext xmlns:c16="http://schemas.microsoft.com/office/drawing/2014/chart" uri="{C3380CC4-5D6E-409C-BE32-E72D297353CC}">
              <c16:uniqueId val="{00000007-35A5-4488-92F3-ABB45B6ADB67}"/>
            </c:ext>
          </c:extLst>
        </c:ser>
        <c:dLbls>
          <c:showLegendKey val="0"/>
          <c:showVal val="0"/>
          <c:showCatName val="0"/>
          <c:showSerName val="0"/>
          <c:showPercent val="0"/>
          <c:showBubbleSize val="0"/>
        </c:dLbls>
        <c:gapWidth val="79"/>
        <c:axId val="664466543"/>
        <c:axId val="664472783"/>
      </c:barChart>
      <c:lineChart>
        <c:grouping val="stacked"/>
        <c:varyColors val="0"/>
        <c:ser>
          <c:idx val="2"/>
          <c:order val="2"/>
          <c:tx>
            <c:strRef>
              <c:f>Hoja1!$D$1</c:f>
              <c:strCache>
                <c:ptCount val="1"/>
                <c:pt idx="0">
                  <c:v>% de Ejecución</c:v>
                </c:pt>
              </c:strCache>
            </c:strRef>
          </c:tx>
          <c:spPr>
            <a:ln w="28575" cap="rnd">
              <a:noFill/>
              <a:round/>
            </a:ln>
            <a:effectLst/>
          </c:spPr>
          <c:marker>
            <c:symbol val="circle"/>
            <c:size val="5"/>
            <c:spPr>
              <a:solidFill>
                <a:schemeClr val="bg1"/>
              </a:solidFill>
              <a:ln w="15875">
                <a:solidFill>
                  <a:schemeClr val="tx1"/>
                </a:solidFill>
              </a:ln>
              <a:effectLst/>
            </c:spPr>
          </c:marker>
          <c:dLbls>
            <c:dLbl>
              <c:idx val="0"/>
              <c:layout>
                <c:manualLayout>
                  <c:x val="-0.14637146371463716"/>
                  <c:y val="-2.56470588235294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5A5-4488-92F3-ABB45B6ADB67}"/>
                </c:ext>
              </c:extLst>
            </c:dLbl>
            <c:dLbl>
              <c:idx val="4"/>
              <c:layout>
                <c:manualLayout>
                  <c:x val="-1.107011070110701E-2"/>
                  <c:y val="2.61176470588234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5A5-4488-92F3-ABB45B6ADB67}"/>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Comunicaciones</c:v>
                </c:pt>
                <c:pt idx="1">
                  <c:v>Defensa Nacional</c:v>
                </c:pt>
                <c:pt idx="2">
                  <c:v>Desarrollo Social</c:v>
                </c:pt>
                <c:pt idx="3">
                  <c:v>Educación</c:v>
                </c:pt>
                <c:pt idx="4">
                  <c:v>Cultura y Deportes</c:v>
                </c:pt>
                <c:pt idx="5">
                  <c:v>Secretarias</c:v>
                </c:pt>
              </c:strCache>
            </c:strRef>
          </c:cat>
          <c:val>
            <c:numRef>
              <c:f>Hoja1!$D$2:$D$7</c:f>
              <c:numCache>
                <c:formatCode>0.0</c:formatCode>
                <c:ptCount val="6"/>
                <c:pt idx="0">
                  <c:v>30.295383307655527</c:v>
                </c:pt>
                <c:pt idx="1">
                  <c:v>97.89103690685414</c:v>
                </c:pt>
                <c:pt idx="2">
                  <c:v>76.981818181818184</c:v>
                </c:pt>
                <c:pt idx="3">
                  <c:v>98.032786885245898</c:v>
                </c:pt>
                <c:pt idx="4">
                  <c:v>0</c:v>
                </c:pt>
                <c:pt idx="5">
                  <c:v>61.032863849765263</c:v>
                </c:pt>
              </c:numCache>
            </c:numRef>
          </c:val>
          <c:smooth val="0"/>
          <c:extLst>
            <c:ext xmlns:c16="http://schemas.microsoft.com/office/drawing/2014/chart" uri="{C3380CC4-5D6E-409C-BE32-E72D297353CC}">
              <c16:uniqueId val="{0000000A-35A5-4488-92F3-ABB45B6ADB67}"/>
            </c:ext>
          </c:extLst>
        </c:ser>
        <c:dLbls>
          <c:showLegendKey val="0"/>
          <c:showVal val="0"/>
          <c:showCatName val="0"/>
          <c:showSerName val="0"/>
          <c:showPercent val="0"/>
          <c:showBubbleSize val="0"/>
        </c:dLbls>
        <c:marker val="1"/>
        <c:smooth val="0"/>
        <c:axId val="664654895"/>
        <c:axId val="664666127"/>
      </c:lineChart>
      <c:catAx>
        <c:axId val="664466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64472783"/>
        <c:crosses val="autoZero"/>
        <c:auto val="1"/>
        <c:lblAlgn val="ctr"/>
        <c:lblOffset val="100"/>
        <c:noMultiLvlLbl val="0"/>
      </c:catAx>
      <c:valAx>
        <c:axId val="664472783"/>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64466543"/>
        <c:crosses val="autoZero"/>
        <c:crossBetween val="between"/>
      </c:valAx>
      <c:valAx>
        <c:axId val="664666127"/>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64654895"/>
        <c:crosses val="max"/>
        <c:crossBetween val="between"/>
      </c:valAx>
      <c:catAx>
        <c:axId val="664654895"/>
        <c:scaling>
          <c:orientation val="minMax"/>
        </c:scaling>
        <c:delete val="1"/>
        <c:axPos val="b"/>
        <c:numFmt formatCode="General" sourceLinked="1"/>
        <c:majorTickMark val="out"/>
        <c:minorTickMark val="none"/>
        <c:tickLblPos val="nextTo"/>
        <c:crossAx val="6646661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91515820670018"/>
          <c:y val="1.8327753706884931E-2"/>
          <c:w val="0.82596430058788772"/>
          <c:h val="0.76559627738267633"/>
        </c:manualLayout>
      </c:layout>
      <c:barChart>
        <c:barDir val="col"/>
        <c:grouping val="clustered"/>
        <c:varyColors val="0"/>
        <c:ser>
          <c:idx val="0"/>
          <c:order val="0"/>
          <c:tx>
            <c:strRef>
              <c:f>Hoja1!$B$1</c:f>
              <c:strCache>
                <c:ptCount val="1"/>
                <c:pt idx="0">
                  <c:v>Presupuesto</c:v>
                </c:pt>
              </c:strCache>
            </c:strRef>
          </c:tx>
          <c:spPr>
            <a:solidFill>
              <a:schemeClr val="accent5">
                <a:lumMod val="75000"/>
              </a:schemeClr>
            </a:solidFill>
            <a:ln cap="rnd">
              <a:solidFill>
                <a:schemeClr val="tx1"/>
              </a:solidFill>
              <a:bevel/>
            </a:ln>
            <a:effectLst>
              <a:outerShdw blurRad="50800" dist="38100" dir="18900000" algn="bl" rotWithShape="0">
                <a:prstClr val="black">
                  <a:alpha val="40000"/>
                </a:prstClr>
              </a:outerShdw>
            </a:effectLst>
          </c:spPr>
          <c:invertIfNegative val="0"/>
          <c:dLbls>
            <c:dLbl>
              <c:idx val="1"/>
              <c:layout>
                <c:manualLayout>
                  <c:x val="-1.4760147601476014E-2"/>
                  <c:y val="9.9280218416480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88C-4DD2-8776-03FFAA09B2D3}"/>
                </c:ext>
              </c:extLst>
            </c:dLbl>
            <c:dLbl>
              <c:idx val="2"/>
              <c:layout>
                <c:manualLayout>
                  <c:x val="-1.4760147601476014E-2"/>
                  <c:y val="4.9640109208240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8C-4DD2-8776-03FFAA09B2D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Hoja1!$B$2:$B$6</c:f>
              <c:numCache>
                <c:formatCode>#,##0.0</c:formatCode>
                <c:ptCount val="5"/>
                <c:pt idx="0">
                  <c:v>2791.2400000000002</c:v>
                </c:pt>
                <c:pt idx="1">
                  <c:v>2260</c:v>
                </c:pt>
                <c:pt idx="2">
                  <c:v>333.51</c:v>
                </c:pt>
                <c:pt idx="3">
                  <c:v>227.5</c:v>
                </c:pt>
                <c:pt idx="4">
                  <c:v>91.427999999999997</c:v>
                </c:pt>
              </c:numCache>
            </c:numRef>
          </c:val>
          <c:extLst>
            <c:ext xmlns:c16="http://schemas.microsoft.com/office/drawing/2014/chart" uri="{C3380CC4-5D6E-409C-BE32-E72D297353CC}">
              <c16:uniqueId val="{00000002-088C-4DD2-8776-03FFAA09B2D3}"/>
            </c:ext>
          </c:extLst>
        </c:ser>
        <c:ser>
          <c:idx val="1"/>
          <c:order val="1"/>
          <c:tx>
            <c:strRef>
              <c:f>Hoja1!$C$1</c:f>
              <c:strCache>
                <c:ptCount val="1"/>
                <c:pt idx="0">
                  <c:v>Devengado</c:v>
                </c:pt>
              </c:strCache>
            </c:strRef>
          </c:tx>
          <c:spPr>
            <a:solidFill>
              <a:schemeClr val="accent1">
                <a:lumMod val="60000"/>
                <a:lumOff val="40000"/>
              </a:schemeClr>
            </a:solidFill>
            <a:ln>
              <a:solidFill>
                <a:schemeClr val="tx1"/>
              </a:solidFill>
            </a:ln>
            <a:effectLst>
              <a:outerShdw blurRad="50800" dist="38100" dir="2700000" algn="tl" rotWithShape="0">
                <a:prstClr val="black">
                  <a:alpha val="40000"/>
                </a:prstClr>
              </a:outerShdw>
            </a:effectLst>
          </c:spPr>
          <c:invertIfNegative val="0"/>
          <c:dLbls>
            <c:dLbl>
              <c:idx val="0"/>
              <c:layout>
                <c:manualLayout>
                  <c:x val="2.4600246002460004E-2"/>
                  <c:y val="2.48200546041200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88C-4DD2-8776-03FFAA09B2D3}"/>
                </c:ext>
              </c:extLst>
            </c:dLbl>
            <c:dLbl>
              <c:idx val="1"/>
              <c:layout>
                <c:manualLayout>
                  <c:x val="2.4600246002459979E-2"/>
                  <c:y val="2.275145389370661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8C-4DD2-8776-03FFAA09B2D3}"/>
                </c:ext>
              </c:extLst>
            </c:dLbl>
            <c:dLbl>
              <c:idx val="2"/>
              <c:layout>
                <c:manualLayout>
                  <c:x val="5.2530800198017952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88C-4DD2-8776-03FFAA09B2D3}"/>
                </c:ext>
              </c:extLst>
            </c:dLbl>
            <c:dLbl>
              <c:idx val="3"/>
              <c:layout>
                <c:manualLayout>
                  <c:x val="9.8400984009839199E-3"/>
                  <c:y val="-9.1005815574826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88C-4DD2-8776-03FFAA09B2D3}"/>
                </c:ext>
              </c:extLst>
            </c:dLbl>
            <c:dLbl>
              <c:idx val="4"/>
              <c:layout>
                <c:manualLayout>
                  <c:x val="4.9200492004920051E-3"/>
                  <c:y val="-9.100581557482646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88C-4DD2-8776-03FFAA09B2D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accent1">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Hoja1!$C$2:$C$6</c:f>
              <c:numCache>
                <c:formatCode>#,##0.0</c:formatCode>
                <c:ptCount val="5"/>
                <c:pt idx="0">
                  <c:v>648.41</c:v>
                </c:pt>
                <c:pt idx="1">
                  <c:v>2193.66</c:v>
                </c:pt>
                <c:pt idx="2">
                  <c:v>327.7</c:v>
                </c:pt>
                <c:pt idx="3">
                  <c:v>90</c:v>
                </c:pt>
                <c:pt idx="4">
                  <c:v>91.42</c:v>
                </c:pt>
              </c:numCache>
            </c:numRef>
          </c:val>
          <c:extLst>
            <c:ext xmlns:c16="http://schemas.microsoft.com/office/drawing/2014/chart" uri="{C3380CC4-5D6E-409C-BE32-E72D297353CC}">
              <c16:uniqueId val="{00000008-088C-4DD2-8776-03FFAA09B2D3}"/>
            </c:ext>
          </c:extLst>
        </c:ser>
        <c:dLbls>
          <c:showLegendKey val="0"/>
          <c:showVal val="0"/>
          <c:showCatName val="0"/>
          <c:showSerName val="0"/>
          <c:showPercent val="0"/>
          <c:showBubbleSize val="0"/>
        </c:dLbls>
        <c:gapWidth val="50"/>
        <c:axId val="145766399"/>
        <c:axId val="145768895"/>
      </c:barChart>
      <c:lineChart>
        <c:grouping val="standard"/>
        <c:varyColors val="0"/>
        <c:ser>
          <c:idx val="2"/>
          <c:order val="2"/>
          <c:tx>
            <c:strRef>
              <c:f>Hoja1!$D$1</c:f>
              <c:strCache>
                <c:ptCount val="1"/>
                <c:pt idx="0">
                  <c:v>% de ejecución</c:v>
                </c:pt>
              </c:strCache>
            </c:strRef>
          </c:tx>
          <c:spPr>
            <a:ln w="28575" cap="rnd">
              <a:noFill/>
              <a:round/>
            </a:ln>
            <a:effectLst/>
          </c:spPr>
          <c:marker>
            <c:symbol val="circle"/>
            <c:size val="6"/>
            <c:spPr>
              <a:solidFill>
                <a:schemeClr val="bg1">
                  <a:lumMod val="65000"/>
                </a:schemeClr>
              </a:solidFill>
              <a:ln w="9525">
                <a:solidFill>
                  <a:schemeClr val="tx1">
                    <a:lumMod val="95000"/>
                    <a:lumOff val="5000"/>
                  </a:schemeClr>
                </a:solidFill>
              </a:ln>
              <a:effectLst/>
            </c:spPr>
          </c:marker>
          <c:dPt>
            <c:idx val="0"/>
            <c:marker>
              <c:symbol val="circle"/>
              <c:size val="6"/>
              <c:spPr>
                <a:solidFill>
                  <a:schemeClr val="bg1">
                    <a:lumMod val="65000"/>
                  </a:schemeClr>
                </a:solidFill>
                <a:ln w="9525">
                  <a:solidFill>
                    <a:schemeClr val="tx1">
                      <a:lumMod val="95000"/>
                      <a:lumOff val="5000"/>
                    </a:schemeClr>
                  </a:solidFill>
                </a:ln>
                <a:effectLst/>
              </c:spPr>
            </c:marker>
            <c:bubble3D val="0"/>
            <c:extLst>
              <c:ext xmlns:c16="http://schemas.microsoft.com/office/drawing/2014/chart" uri="{C3380CC4-5D6E-409C-BE32-E72D297353CC}">
                <c16:uniqueId val="{00000009-088C-4DD2-8776-03FFAA09B2D3}"/>
              </c:ext>
            </c:extLst>
          </c:dPt>
          <c:dLbls>
            <c:dLbl>
              <c:idx val="0"/>
              <c:layout>
                <c:manualLayout>
                  <c:x val="-3.4440344403444033E-2"/>
                  <c:y val="-7.4460163812360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88C-4DD2-8776-03FFAA09B2D3}"/>
                </c:ext>
              </c:extLst>
            </c:dLbl>
            <c:dLbl>
              <c:idx val="1"/>
              <c:layout>
                <c:manualLayout>
                  <c:x val="-7.8720787207872123E-2"/>
                  <c:y val="4.3338942274806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88C-4DD2-8776-03FFAA09B2D3}"/>
                </c:ext>
              </c:extLst>
            </c:dLbl>
            <c:dLbl>
              <c:idx val="2"/>
              <c:layout>
                <c:manualLayout>
                  <c:x val="-1.4760147601476105E-2"/>
                  <c:y val="-4.550290778741323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88C-4DD2-8776-03FFAA09B2D3}"/>
                </c:ext>
              </c:extLst>
            </c:dLbl>
            <c:dLbl>
              <c:idx val="3"/>
              <c:layout>
                <c:manualLayout>
                  <c:x val="-8.8560885608856083E-2"/>
                  <c:y val="-3.97120873665922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88C-4DD2-8776-03FFAA09B2D3}"/>
                </c:ext>
              </c:extLst>
            </c:dLbl>
            <c:dLbl>
              <c:idx val="4"/>
              <c:layout>
                <c:manualLayout>
                  <c:x val="-8.3640836408364172E-2"/>
                  <c:y val="5.16401756556305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88C-4DD2-8776-03FFAA09B2D3}"/>
                </c:ext>
              </c:extLst>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Hoja1!$A$2:$A$6</c:f>
              <c:strCache>
                <c:ptCount val="5"/>
                <c:pt idx="0">
                  <c:v>Infraestructura Estratégica</c:v>
                </c:pt>
                <c:pt idx="1">
                  <c:v>Subsidio Combustibles*</c:v>
                </c:pt>
                <c:pt idx="2">
                  <c:v>Subsidio Gas Propano**</c:v>
                </c:pt>
                <c:pt idx="3">
                  <c:v>Aporte Social Tarifa Eléctrica</c:v>
                </c:pt>
                <c:pt idx="4">
                  <c:v>Estipendios conservacion de suelos</c:v>
                </c:pt>
              </c:strCache>
            </c:strRef>
          </c:cat>
          <c:val>
            <c:numRef>
              <c:f>Hoja1!$D$2:$D$6</c:f>
              <c:numCache>
                <c:formatCode>0.0%</c:formatCode>
                <c:ptCount val="5"/>
                <c:pt idx="0">
                  <c:v>0.23230177268884078</c:v>
                </c:pt>
                <c:pt idx="1">
                  <c:v>0.97064601769911496</c:v>
                </c:pt>
                <c:pt idx="2">
                  <c:v>0.98257923300650651</c:v>
                </c:pt>
                <c:pt idx="3">
                  <c:v>0.39560439560439559</c:v>
                </c:pt>
                <c:pt idx="4">
                  <c:v>0.99991249945312166</c:v>
                </c:pt>
              </c:numCache>
            </c:numRef>
          </c:val>
          <c:smooth val="0"/>
          <c:extLst>
            <c:ext xmlns:c16="http://schemas.microsoft.com/office/drawing/2014/chart" uri="{C3380CC4-5D6E-409C-BE32-E72D297353CC}">
              <c16:uniqueId val="{0000000E-088C-4DD2-8776-03FFAA09B2D3}"/>
            </c:ext>
          </c:extLst>
        </c:ser>
        <c:dLbls>
          <c:showLegendKey val="0"/>
          <c:showVal val="0"/>
          <c:showCatName val="0"/>
          <c:showSerName val="0"/>
          <c:showPercent val="0"/>
          <c:showBubbleSize val="0"/>
        </c:dLbls>
        <c:marker val="1"/>
        <c:smooth val="0"/>
        <c:axId val="292013535"/>
        <c:axId val="292006047"/>
      </c:lineChart>
      <c:catAx>
        <c:axId val="145766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8895"/>
        <c:crosses val="autoZero"/>
        <c:auto val="1"/>
        <c:lblAlgn val="ctr"/>
        <c:lblOffset val="100"/>
        <c:noMultiLvlLbl val="0"/>
      </c:catAx>
      <c:valAx>
        <c:axId val="145768895"/>
        <c:scaling>
          <c:orientation val="minMax"/>
          <c:max val="3000"/>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145766399"/>
        <c:crosses val="autoZero"/>
        <c:crossBetween val="between"/>
        <c:majorUnit val="500"/>
      </c:valAx>
      <c:valAx>
        <c:axId val="292006047"/>
        <c:scaling>
          <c:orientation val="minMax"/>
          <c:max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92013535"/>
        <c:crosses val="max"/>
        <c:crossBetween val="between"/>
      </c:valAx>
      <c:catAx>
        <c:axId val="292013535"/>
        <c:scaling>
          <c:orientation val="minMax"/>
        </c:scaling>
        <c:delete val="1"/>
        <c:axPos val="b"/>
        <c:numFmt formatCode="General" sourceLinked="1"/>
        <c:majorTickMark val="out"/>
        <c:minorTickMark val="none"/>
        <c:tickLblPos val="nextTo"/>
        <c:crossAx val="29200604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19693761844722"/>
          <c:y val="1.7955458537979783E-2"/>
          <c:w val="0.52631665754771595"/>
          <c:h val="0.91399682960422024"/>
        </c:manualLayout>
      </c:layout>
      <c:barChart>
        <c:barDir val="bar"/>
        <c:grouping val="clustered"/>
        <c:varyColors val="0"/>
        <c:ser>
          <c:idx val="0"/>
          <c:order val="0"/>
          <c:tx>
            <c:strRef>
              <c:f>Hoja1!$B$3</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1" i="0" u="none" strike="noStrike" kern="1200" baseline="0">
                    <a:solidFill>
                      <a:schemeClr val="accent1"/>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Hoja1!$A$4:$A$21</c:f>
              <c:strCache>
                <c:ptCount val="18"/>
                <c:pt idx="0">
                  <c:v>Haití</c:v>
                </c:pt>
                <c:pt idx="1">
                  <c:v>Paraguay</c:v>
                </c:pt>
                <c:pt idx="2">
                  <c:v>México</c:v>
                </c:pt>
                <c:pt idx="3">
                  <c:v>Chile</c:v>
                </c:pt>
                <c:pt idx="4">
                  <c:v>El Salvador</c:v>
                </c:pt>
                <c:pt idx="5">
                  <c:v>Brasil</c:v>
                </c:pt>
                <c:pt idx="6">
                  <c:v>Perú</c:v>
                </c:pt>
                <c:pt idx="7">
                  <c:v>Ecuador</c:v>
                </c:pt>
                <c:pt idx="8">
                  <c:v>Costa Rica</c:v>
                </c:pt>
                <c:pt idx="9">
                  <c:v>Guatemala</c:v>
                </c:pt>
                <c:pt idx="10">
                  <c:v>Honduras</c:v>
                </c:pt>
                <c:pt idx="11">
                  <c:v>Nicaragua</c:v>
                </c:pt>
                <c:pt idx="12">
                  <c:v>Bolivia</c:v>
                </c:pt>
                <c:pt idx="13">
                  <c:v>Argentina</c:v>
                </c:pt>
                <c:pt idx="14">
                  <c:v>Uruguay</c:v>
                </c:pt>
                <c:pt idx="15">
                  <c:v>República Dominicana</c:v>
                </c:pt>
                <c:pt idx="16">
                  <c:v>Panamá</c:v>
                </c:pt>
                <c:pt idx="17">
                  <c:v>Colombia</c:v>
                </c:pt>
              </c:strCache>
            </c:strRef>
          </c:cat>
          <c:val>
            <c:numRef>
              <c:f>Hoja1!$B$4:$B$21</c:f>
              <c:numCache>
                <c:formatCode>0.0%</c:formatCode>
                <c:ptCount val="18"/>
                <c:pt idx="0">
                  <c:v>-1.4999999999999999E-2</c:v>
                </c:pt>
                <c:pt idx="1">
                  <c:v>-3.0000000000000001E-3</c:v>
                </c:pt>
                <c:pt idx="2">
                  <c:v>1.7999999999999999E-2</c:v>
                </c:pt>
                <c:pt idx="3">
                  <c:v>1.7999999999999999E-2</c:v>
                </c:pt>
                <c:pt idx="4">
                  <c:v>2.4E-2</c:v>
                </c:pt>
                <c:pt idx="5">
                  <c:v>2.5000000000000001E-2</c:v>
                </c:pt>
                <c:pt idx="6">
                  <c:v>2.7E-2</c:v>
                </c:pt>
                <c:pt idx="7">
                  <c:v>2.8000000000000001E-2</c:v>
                </c:pt>
                <c:pt idx="8">
                  <c:v>3.3000000000000002E-2</c:v>
                </c:pt>
                <c:pt idx="9">
                  <c:v>3.4000000000000002E-2</c:v>
                </c:pt>
                <c:pt idx="10">
                  <c:v>3.5000000000000003E-2</c:v>
                </c:pt>
                <c:pt idx="11">
                  <c:v>4.1000000000000002E-2</c:v>
                </c:pt>
                <c:pt idx="12">
                  <c:v>4.1000000000000002E-2</c:v>
                </c:pt>
                <c:pt idx="13">
                  <c:v>4.2000000000000003E-2</c:v>
                </c:pt>
                <c:pt idx="14">
                  <c:v>4.8000000000000001E-2</c:v>
                </c:pt>
                <c:pt idx="15">
                  <c:v>0.05</c:v>
                </c:pt>
                <c:pt idx="16">
                  <c:v>6.2E-2</c:v>
                </c:pt>
                <c:pt idx="17">
                  <c:v>7.0999999999999994E-2</c:v>
                </c:pt>
              </c:numCache>
            </c:numRef>
          </c:val>
          <c:extLst>
            <c:ext xmlns:c16="http://schemas.microsoft.com/office/drawing/2014/chart" uri="{C3380CC4-5D6E-409C-BE32-E72D297353CC}">
              <c16:uniqueId val="{00000000-9F5A-4A5D-A9BA-38B3FD4585DE}"/>
            </c:ext>
          </c:extLst>
        </c:ser>
        <c:ser>
          <c:idx val="1"/>
          <c:order val="1"/>
          <c:tx>
            <c:strRef>
              <c:f>Hoja1!$C$3</c:f>
              <c:strCache>
                <c:ptCount val="1"/>
                <c:pt idx="0">
                  <c:v>2023</c:v>
                </c:pt>
              </c:strCache>
            </c:strRef>
          </c:tx>
          <c:spPr>
            <a:solidFill>
              <a:schemeClr val="accent2"/>
            </a:solidFill>
            <a:ln>
              <a:noFill/>
            </a:ln>
            <a:effectLst/>
          </c:spPr>
          <c:invertIfNegative val="0"/>
          <c:dLbls>
            <c:dLbl>
              <c:idx val="0"/>
              <c:layout>
                <c:manualLayout>
                  <c:x val="8.674294557628952E-17"/>
                  <c:y val="-3.75798571965426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F5A-4A5D-A9BA-38B3FD4585DE}"/>
                </c:ext>
              </c:extLst>
            </c:dLbl>
            <c:dLbl>
              <c:idx val="2"/>
              <c:layout>
                <c:manualLayout>
                  <c:x val="0"/>
                  <c:y val="-7.51597143930866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F5A-4A5D-A9BA-38B3FD4585DE}"/>
                </c:ext>
              </c:extLst>
            </c:dLbl>
            <c:dLbl>
              <c:idx val="4"/>
              <c:layout>
                <c:manualLayout>
                  <c:x val="-8.674294557628952E-17"/>
                  <c:y val="-7.51597143930866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F5A-4A5D-A9BA-38B3FD4585DE}"/>
                </c:ext>
              </c:extLst>
            </c:dLbl>
            <c:dLbl>
              <c:idx val="5"/>
              <c:layout>
                <c:manualLayout>
                  <c:x val="-9.4629761059854198E-3"/>
                  <c:y val="-1.12739571589629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F5A-4A5D-A9BA-38B3FD4585DE}"/>
                </c:ext>
              </c:extLst>
            </c:dLbl>
            <c:dLbl>
              <c:idx val="6"/>
              <c:layout>
                <c:manualLayout>
                  <c:x val="-4.7314880529927533E-3"/>
                  <c:y val="-7.51597143930859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F5A-4A5D-A9BA-38B3FD4585DE}"/>
                </c:ext>
              </c:extLst>
            </c:dLbl>
            <c:dLbl>
              <c:idx val="7"/>
              <c:layout>
                <c:manualLayout>
                  <c:x val="-9.4629761059854198E-3"/>
                  <c:y val="-7.5159714393085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F5A-4A5D-A9BA-38B3FD4585DE}"/>
                </c:ext>
              </c:extLst>
            </c:dLbl>
            <c:dLbl>
              <c:idx val="8"/>
              <c:layout>
                <c:manualLayout>
                  <c:x val="8.674294557628952E-17"/>
                  <c:y val="-1.127395715896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F5A-4A5D-A9BA-38B3FD4585DE}"/>
                </c:ext>
              </c:extLst>
            </c:dLbl>
            <c:dLbl>
              <c:idx val="9"/>
              <c:layout>
                <c:manualLayout>
                  <c:x val="0"/>
                  <c:y val="-7.5159714393085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F5A-4A5D-A9BA-38B3FD4585DE}"/>
                </c:ext>
              </c:extLst>
            </c:dLbl>
            <c:dLbl>
              <c:idx val="10"/>
              <c:layout>
                <c:manualLayout>
                  <c:x val="-9.462976105985333E-3"/>
                  <c:y val="-7.5159714393085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F5A-4A5D-A9BA-38B3FD4585DE}"/>
                </c:ext>
              </c:extLst>
            </c:dLbl>
            <c:dLbl>
              <c:idx val="11"/>
              <c:layout>
                <c:manualLayout>
                  <c:x val="-8.674294557628952E-17"/>
                  <c:y val="-1.127395715896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5A-4A5D-A9BA-38B3FD4585DE}"/>
                </c:ext>
              </c:extLst>
            </c:dLbl>
            <c:dLbl>
              <c:idx val="12"/>
              <c:layout>
                <c:manualLayout>
                  <c:x val="0"/>
                  <c:y val="-1.127395715896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5A-4A5D-A9BA-38B3FD4585DE}"/>
                </c:ext>
              </c:extLst>
            </c:dLbl>
            <c:dLbl>
              <c:idx val="13"/>
              <c:layout>
                <c:manualLayout>
                  <c:x val="-8.674294557628952E-17"/>
                  <c:y val="-7.51597143930853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5A-4A5D-A9BA-38B3FD4585DE}"/>
                </c:ext>
              </c:extLst>
            </c:dLbl>
            <c:dLbl>
              <c:idx val="14"/>
              <c:layout>
                <c:manualLayout>
                  <c:x val="-8.674294557628952E-17"/>
                  <c:y val="-3.757985719654265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5A-4A5D-A9BA-38B3FD4585DE}"/>
                </c:ext>
              </c:extLst>
            </c:dLbl>
            <c:dLbl>
              <c:idx val="15"/>
              <c:layout>
                <c:manualLayout>
                  <c:x val="-4.7314880529926665E-3"/>
                  <c:y val="-1.127395715896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5A-4A5D-A9BA-38B3FD4585DE}"/>
                </c:ext>
              </c:extLst>
            </c:dLbl>
            <c:dLbl>
              <c:idx val="16"/>
              <c:layout>
                <c:manualLayout>
                  <c:x val="0"/>
                  <c:y val="-1.12739571589627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5A-4A5D-A9BA-38B3FD4585DE}"/>
                </c:ext>
              </c:extLst>
            </c:dLbl>
            <c:dLbl>
              <c:idx val="17"/>
              <c:layout>
                <c:manualLayout>
                  <c:x val="-4.7314880529926665E-3"/>
                  <c:y val="-1.50319428786170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5A-4A5D-A9BA-38B3FD4585DE}"/>
                </c:ext>
              </c:extLst>
            </c:dLbl>
            <c:spPr>
              <a:noFill/>
              <a:ln>
                <a:noFill/>
              </a:ln>
              <a:effectLst/>
            </c:spPr>
            <c:txPr>
              <a:bodyPr rot="0" spcFirstLastPara="1" vertOverflow="ellipsis" vert="horz" wrap="square" anchor="ctr" anchorCtr="1"/>
              <a:lstStyle/>
              <a:p>
                <a:pPr>
                  <a:defRPr sz="600" b="1"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Hoja1!$A$4:$A$21</c:f>
              <c:strCache>
                <c:ptCount val="18"/>
                <c:pt idx="0">
                  <c:v>Haití</c:v>
                </c:pt>
                <c:pt idx="1">
                  <c:v>Paraguay</c:v>
                </c:pt>
                <c:pt idx="2">
                  <c:v>México</c:v>
                </c:pt>
                <c:pt idx="3">
                  <c:v>Chile</c:v>
                </c:pt>
                <c:pt idx="4">
                  <c:v>El Salvador</c:v>
                </c:pt>
                <c:pt idx="5">
                  <c:v>Brasil</c:v>
                </c:pt>
                <c:pt idx="6">
                  <c:v>Perú</c:v>
                </c:pt>
                <c:pt idx="7">
                  <c:v>Ecuador</c:v>
                </c:pt>
                <c:pt idx="8">
                  <c:v>Costa Rica</c:v>
                </c:pt>
                <c:pt idx="9">
                  <c:v>Guatemala</c:v>
                </c:pt>
                <c:pt idx="10">
                  <c:v>Honduras</c:v>
                </c:pt>
                <c:pt idx="11">
                  <c:v>Nicaragua</c:v>
                </c:pt>
                <c:pt idx="12">
                  <c:v>Bolivia</c:v>
                </c:pt>
                <c:pt idx="13">
                  <c:v>Argentina</c:v>
                </c:pt>
                <c:pt idx="14">
                  <c:v>Uruguay</c:v>
                </c:pt>
                <c:pt idx="15">
                  <c:v>República Dominicana</c:v>
                </c:pt>
                <c:pt idx="16">
                  <c:v>Panamá</c:v>
                </c:pt>
                <c:pt idx="17">
                  <c:v>Colombia</c:v>
                </c:pt>
              </c:strCache>
            </c:strRef>
          </c:cat>
          <c:val>
            <c:numRef>
              <c:f>Hoja1!$C$4:$C$21</c:f>
              <c:numCache>
                <c:formatCode>0.0%</c:formatCode>
                <c:ptCount val="18"/>
                <c:pt idx="0">
                  <c:v>-1E-3</c:v>
                </c:pt>
                <c:pt idx="1">
                  <c:v>5.1999999999999998E-2</c:v>
                </c:pt>
                <c:pt idx="2">
                  <c:v>1.4999999999999999E-2</c:v>
                </c:pt>
                <c:pt idx="3">
                  <c:v>-5.0000000000000001E-3</c:v>
                </c:pt>
                <c:pt idx="4">
                  <c:v>0.02</c:v>
                </c:pt>
                <c:pt idx="5">
                  <c:v>8.0000000000000002E-3</c:v>
                </c:pt>
                <c:pt idx="6">
                  <c:v>2.5999999999999999E-2</c:v>
                </c:pt>
                <c:pt idx="7">
                  <c:v>0.03</c:v>
                </c:pt>
                <c:pt idx="8">
                  <c:v>2.9000000000000001E-2</c:v>
                </c:pt>
                <c:pt idx="9">
                  <c:v>3.1E-2</c:v>
                </c:pt>
                <c:pt idx="10">
                  <c:v>3.1E-2</c:v>
                </c:pt>
                <c:pt idx="11">
                  <c:v>0.02</c:v>
                </c:pt>
                <c:pt idx="12">
                  <c:v>2.8000000000000001E-2</c:v>
                </c:pt>
                <c:pt idx="13">
                  <c:v>0.02</c:v>
                </c:pt>
                <c:pt idx="14">
                  <c:v>2.7E-2</c:v>
                </c:pt>
                <c:pt idx="15">
                  <c:v>0.05</c:v>
                </c:pt>
                <c:pt idx="16">
                  <c:v>0.05</c:v>
                </c:pt>
                <c:pt idx="17">
                  <c:v>2.1000000000000001E-2</c:v>
                </c:pt>
              </c:numCache>
            </c:numRef>
          </c:val>
          <c:extLst>
            <c:ext xmlns:c16="http://schemas.microsoft.com/office/drawing/2014/chart" uri="{C3380CC4-5D6E-409C-BE32-E72D297353CC}">
              <c16:uniqueId val="{00000001-9F5A-4A5D-A9BA-38B3FD4585DE}"/>
            </c:ext>
          </c:extLst>
        </c:ser>
        <c:dLbls>
          <c:showLegendKey val="0"/>
          <c:showVal val="0"/>
          <c:showCatName val="0"/>
          <c:showSerName val="0"/>
          <c:showPercent val="0"/>
          <c:showBubbleSize val="0"/>
        </c:dLbls>
        <c:gapWidth val="182"/>
        <c:axId val="604507104"/>
        <c:axId val="604499232"/>
      </c:barChart>
      <c:catAx>
        <c:axId val="60450710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04499232"/>
        <c:crosses val="autoZero"/>
        <c:auto val="1"/>
        <c:lblAlgn val="ctr"/>
        <c:lblOffset val="550"/>
        <c:noMultiLvlLbl val="0"/>
      </c:catAx>
      <c:valAx>
        <c:axId val="604499232"/>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604507104"/>
        <c:crosses val="autoZero"/>
        <c:crossBetween val="between"/>
      </c:valAx>
      <c:spPr>
        <a:noFill/>
        <a:ln>
          <a:noFill/>
        </a:ln>
        <a:effectLst/>
      </c:spPr>
    </c:plotArea>
    <c:legend>
      <c:legendPos val="b"/>
      <c:layout>
        <c:manualLayout>
          <c:xMode val="edge"/>
          <c:yMode val="edge"/>
          <c:x val="0.79547230123558921"/>
          <c:y val="0.6386823969438995"/>
          <c:w val="0.18501906566150486"/>
          <c:h val="0.13959644559649884"/>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9.2258489217373119E-2"/>
          <c:w val="0.87195209498957349"/>
          <c:h val="0.88056584423179607"/>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5"/>
            <c:spPr>
              <a:solidFill>
                <a:schemeClr val="bg1"/>
              </a:solidFill>
              <a:ln w="15875">
                <a:solidFill>
                  <a:schemeClr val="accent1"/>
                </a:solidFill>
                <a:round/>
              </a:ln>
              <a:effectLst/>
            </c:spPr>
          </c:marker>
          <c:dLbls>
            <c:dLbl>
              <c:idx val="0"/>
              <c:layout>
                <c:manualLayout>
                  <c:x val="-0.12597551572334212"/>
                  <c:y val="0.1449238086119944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D81C-4B3C-B38E-CAA70ACB3A35}"/>
                </c:ext>
              </c:extLst>
            </c:dLbl>
            <c:dLbl>
              <c:idx val="1"/>
              <c:layout>
                <c:manualLayout>
                  <c:x val="-0.20949515898067012"/>
                  <c:y val="4.8076778769397172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81C-4B3C-B38E-CAA70ACB3A35}"/>
                </c:ext>
              </c:extLst>
            </c:dLbl>
            <c:dLbl>
              <c:idx val="2"/>
              <c:layout>
                <c:manualLayout>
                  <c:x val="-0.22965081607924914"/>
                  <c:y val="9.5663986792975345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D81C-4B3C-B38E-CAA70ACB3A35}"/>
                </c:ext>
              </c:extLst>
            </c:dLbl>
            <c:dLbl>
              <c:idx val="3"/>
              <c:layout>
                <c:manualLayout>
                  <c:x val="-0.1334753922763996"/>
                  <c:y val="-0.1524153795596452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81C-4B3C-B38E-CAA70ACB3A35}"/>
                </c:ext>
              </c:extLst>
            </c:dLbl>
            <c:dLbl>
              <c:idx val="4"/>
              <c:layout>
                <c:manualLayout>
                  <c:x val="-0.20087248500594454"/>
                  <c:y val="1.7495685204975405E-2"/>
                </c:manualLayout>
              </c:layout>
              <c:tx>
                <c:rich>
                  <a:bodyPr/>
                  <a:lstStyle/>
                  <a:p>
                    <a:fld id="{52DF71F8-E5FA-4266-9ED4-3D19A4469368}" type="CATEGORYNAME">
                      <a:rPr lang="en-US"/>
                      <a:pPr/>
                      <a:t>[NOMBRE DE CATEGORÍA]</a:t>
                    </a:fld>
                    <a:r>
                      <a:rPr lang="en-US" baseline="0"/>
                      <a:t>,</a:t>
                    </a:r>
                  </a:p>
                  <a:p>
                    <a:r>
                      <a:rPr lang="en-US" baseline="0"/>
                      <a:t> </a:t>
                    </a:r>
                    <a:fld id="{561AC7E4-96CC-4054-A9F3-8B5D5E356786}" type="VALUE">
                      <a:rPr lang="en-US" baseline="0"/>
                      <a:pPr/>
                      <a:t>[VALOR]</a:t>
                    </a:fld>
                    <a:endParaRPr lang="en-US" baseline="0"/>
                  </a:p>
                </c:rich>
              </c:tx>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D81C-4B3C-B38E-CAA70ACB3A35}"/>
                </c:ext>
              </c:extLst>
            </c:dLbl>
            <c:dLbl>
              <c:idx val="5"/>
              <c:layout>
                <c:manualLayout>
                  <c:x val="-9.1559647663434163E-2"/>
                  <c:y val="9.8586920801840283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81C-4B3C-B38E-CAA70ACB3A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Hoja1!$B$2:$B$7</c:f>
              <c:numCache>
                <c:formatCode>#,##0.0</c:formatCode>
                <c:ptCount val="6"/>
                <c:pt idx="0">
                  <c:v>3965.7264863199944</c:v>
                </c:pt>
                <c:pt idx="1">
                  <c:v>858.91279556999996</c:v>
                </c:pt>
                <c:pt idx="2">
                  <c:v>15.413951489999363</c:v>
                </c:pt>
                <c:pt idx="3">
                  <c:v>458.04230621999932</c:v>
                </c:pt>
                <c:pt idx="4">
                  <c:v>3186.182795269995</c:v>
                </c:pt>
                <c:pt idx="5">
                  <c:v>1102.1007887099877</c:v>
                </c:pt>
              </c:numCache>
            </c:numRef>
          </c:val>
          <c:smooth val="1"/>
          <c:extLst>
            <c:ext xmlns:c16="http://schemas.microsoft.com/office/drawing/2014/chart" uri="{C3380CC4-5D6E-409C-BE32-E72D297353CC}">
              <c16:uniqueId val="{00000006-D81C-4B3C-B38E-CAA70ACB3A35}"/>
            </c:ext>
          </c:extLst>
        </c:ser>
        <c:ser>
          <c:idx val="1"/>
          <c:order val="1"/>
          <c:tx>
            <c:strRef>
              <c:f>Hoja1!$C$1</c:f>
              <c:strCache>
                <c:ptCount val="1"/>
                <c:pt idx="0">
                  <c:v>2022-Pres</c:v>
                </c:pt>
              </c:strCache>
            </c:strRef>
          </c:tx>
          <c:spPr>
            <a:ln w="22225" cap="rnd">
              <a:solidFill>
                <a:srgbClr val="FF0000"/>
              </a:solidFill>
              <a:round/>
            </a:ln>
            <a:effectLst/>
          </c:spPr>
          <c:marker>
            <c:symbol val="diamond"/>
            <c:size val="5"/>
            <c:spPr>
              <a:solidFill>
                <a:schemeClr val="bg1"/>
              </a:solidFill>
              <a:ln w="15875">
                <a:solidFill>
                  <a:srgbClr val="FF0000"/>
                </a:solidFill>
                <a:round/>
              </a:ln>
              <a:effectLst/>
            </c:spPr>
          </c:marker>
          <c:dLbls>
            <c:dLbl>
              <c:idx val="0"/>
              <c:layout>
                <c:manualLayout>
                  <c:x val="1.2610579972727722E-2"/>
                  <c:y val="-2.0008228514649604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81C-4B3C-B38E-CAA70ACB3A35}"/>
                </c:ext>
              </c:extLst>
            </c:dLbl>
            <c:dLbl>
              <c:idx val="1"/>
              <c:layout>
                <c:manualLayout>
                  <c:x val="-5.7654280190374177E-2"/>
                  <c:y val="-9.621100188634816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D81C-4B3C-B38E-CAA70ACB3A35}"/>
                </c:ext>
              </c:extLst>
            </c:dLbl>
            <c:dLbl>
              <c:idx val="2"/>
              <c:layout>
                <c:manualLayout>
                  <c:x val="-6.1096740620881149E-2"/>
                  <c:y val="-0.10732984699620401"/>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81C-4B3C-B38E-CAA70ACB3A35}"/>
                </c:ext>
              </c:extLst>
            </c:dLbl>
            <c:dLbl>
              <c:idx val="3"/>
              <c:layout>
                <c:manualLayout>
                  <c:x val="4.7088361422259828E-3"/>
                  <c:y val="5.9152152481104177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A-D81C-4B3C-B38E-CAA70ACB3A35}"/>
                </c:ext>
              </c:extLst>
            </c:dLbl>
            <c:dLbl>
              <c:idx val="4"/>
              <c:layout>
                <c:manualLayout>
                  <c:x val="-7.6547739781441845E-2"/>
                  <c:y val="0.12592836017088394"/>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D81C-4B3C-B38E-CAA70ACB3A35}"/>
                </c:ext>
              </c:extLst>
            </c:dLbl>
            <c:dLbl>
              <c:idx val="5"/>
              <c:layout>
                <c:manualLayout>
                  <c:x val="-1.5626483737289712E-3"/>
                  <c:y val="-0.27118493198537497"/>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C-D81C-4B3C-B38E-CAA70ACB3A3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1"/>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rgbClr val="FF0000"/>
                      </a:solidFill>
                      <a:prstDash val="sysDot"/>
                      <a:round/>
                    </a:ln>
                    <a:effectLst/>
                  </c:spPr>
                </c15:leaderLines>
              </c:ext>
            </c:extLst>
          </c:dLbls>
          <c:cat>
            <c:strRef>
              <c:f>Hoja1!$A$2:$A$7</c:f>
              <c:strCache>
                <c:ptCount val="6"/>
                <c:pt idx="0">
                  <c:v>IVA imp</c:v>
                </c:pt>
                <c:pt idx="1">
                  <c:v>Los demás</c:v>
                </c:pt>
                <c:pt idx="2">
                  <c:v>Petróleo</c:v>
                </c:pt>
                <c:pt idx="3">
                  <c:v>ISO</c:v>
                </c:pt>
                <c:pt idx="4">
                  <c:v>ISR</c:v>
                </c:pt>
                <c:pt idx="5">
                  <c:v>IVA dom</c:v>
                </c:pt>
              </c:strCache>
            </c:strRef>
          </c:cat>
          <c:val>
            <c:numRef>
              <c:f>Hoja1!$C$2:$C$7</c:f>
              <c:numCache>
                <c:formatCode>#,##0.0</c:formatCode>
                <c:ptCount val="6"/>
                <c:pt idx="0">
                  <c:v>4639.4286249600082</c:v>
                </c:pt>
                <c:pt idx="1">
                  <c:v>998.33814960226164</c:v>
                </c:pt>
                <c:pt idx="2">
                  <c:v>21.299220899999455</c:v>
                </c:pt>
                <c:pt idx="3">
                  <c:v>254.26368891999846</c:v>
                </c:pt>
                <c:pt idx="4">
                  <c:v>2566.5873765800206</c:v>
                </c:pt>
                <c:pt idx="5">
                  <c:v>676.6416849699981</c:v>
                </c:pt>
              </c:numCache>
            </c:numRef>
          </c:val>
          <c:smooth val="1"/>
          <c:extLst>
            <c:ext xmlns:c16="http://schemas.microsoft.com/office/drawing/2014/chart" uri="{C3380CC4-5D6E-409C-BE32-E72D297353CC}">
              <c16:uniqueId val="{0000000D-D81C-4B3C-B38E-CAA70ACB3A35}"/>
            </c:ext>
          </c:extLst>
        </c:ser>
        <c:dLbls>
          <c:showLegendKey val="0"/>
          <c:showVal val="0"/>
          <c:showCatName val="0"/>
          <c:showSerName val="0"/>
          <c:showPercent val="0"/>
          <c:showBubbleSize val="0"/>
        </c:dLbls>
        <c:marker val="1"/>
        <c:smooth val="0"/>
        <c:axId val="717364616"/>
        <c:axId val="717367568"/>
      </c:lineChart>
      <c:catAx>
        <c:axId val="71736461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717367568"/>
        <c:crosses val="autoZero"/>
        <c:auto val="1"/>
        <c:lblAlgn val="ctr"/>
        <c:lblOffset val="100"/>
        <c:noMultiLvlLbl val="1"/>
      </c:cat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33986960055713655"/>
          <c:y val="2.5268776499091455E-2"/>
          <c:w val="0.60594304869319271"/>
          <c:h val="7.3816284266942409E-2"/>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65100219925478"/>
          <c:y val="0.13531559458781092"/>
          <c:w val="0.87195209498957349"/>
          <c:h val="0.83750857136942669"/>
        </c:manualLayout>
      </c:layout>
      <c:lineChart>
        <c:grouping val="standard"/>
        <c:varyColors val="0"/>
        <c:ser>
          <c:idx val="0"/>
          <c:order val="0"/>
          <c:tx>
            <c:strRef>
              <c:f>Hoja1!$B$1</c:f>
              <c:strCache>
                <c:ptCount val="1"/>
                <c:pt idx="0">
                  <c:v>2022-2021</c:v>
                </c:pt>
              </c:strCache>
            </c:strRef>
          </c:tx>
          <c:spPr>
            <a:ln w="22225" cap="rnd">
              <a:solidFill>
                <a:schemeClr val="accent1"/>
              </a:solidFill>
              <a:round/>
            </a:ln>
            <a:effectLst/>
          </c:spPr>
          <c:marker>
            <c:symbol val="circle"/>
            <c:size val="3"/>
            <c:spPr>
              <a:solidFill>
                <a:schemeClr val="bg1"/>
              </a:solidFill>
              <a:ln w="12700">
                <a:solidFill>
                  <a:schemeClr val="accent1"/>
                </a:solidFill>
                <a:round/>
              </a:ln>
              <a:effectLst/>
            </c:spPr>
          </c:marker>
          <c:dLbls>
            <c:dLbl>
              <c:idx val="32"/>
              <c:layout>
                <c:manualLayout>
                  <c:x val="-5.7887120115774328E-2"/>
                  <c:y val="0.11656952539550375"/>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F5-4C1B-A0EB-D9EC06658DE3}"/>
                </c:ext>
              </c:extLst>
            </c:dLbl>
            <c:dLbl>
              <c:idx val="44"/>
              <c:layout>
                <c:manualLayout>
                  <c:x val="0"/>
                  <c:y val="9.1590341382181445E-2"/>
                </c:manualLayout>
              </c:layout>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9F5-4C1B-A0EB-D9EC06658DE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0070C0"/>
                      </a:solidFill>
                      <a:prstDash val="sysDash"/>
                      <a:round/>
                    </a:ln>
                    <a:effectLst/>
                  </c:spPr>
                </c15:leaderLines>
              </c:ext>
            </c:extLst>
          </c:dLbls>
          <c:cat>
            <c:numRef>
              <c:f>Hoja1!$A$2:$A$46</c:f>
              <c:numCache>
                <c:formatCode>mmm\-yy</c:formatCode>
                <c:ptCount val="45"/>
                <c:pt idx="0">
                  <c:v>43466</c:v>
                </c:pt>
                <c:pt idx="1">
                  <c:v>43497</c:v>
                </c:pt>
                <c:pt idx="2">
                  <c:v>43525</c:v>
                </c:pt>
                <c:pt idx="3">
                  <c:v>43556</c:v>
                </c:pt>
                <c:pt idx="4">
                  <c:v>43586</c:v>
                </c:pt>
                <c:pt idx="5">
                  <c:v>43617</c:v>
                </c:pt>
                <c:pt idx="6">
                  <c:v>43647</c:v>
                </c:pt>
                <c:pt idx="7">
                  <c:v>43678</c:v>
                </c:pt>
                <c:pt idx="8">
                  <c:v>43709</c:v>
                </c:pt>
                <c:pt idx="9">
                  <c:v>43739</c:v>
                </c:pt>
                <c:pt idx="10">
                  <c:v>43770</c:v>
                </c:pt>
                <c:pt idx="11">
                  <c:v>43800</c:v>
                </c:pt>
                <c:pt idx="12">
                  <c:v>43831</c:v>
                </c:pt>
                <c:pt idx="13">
                  <c:v>43862</c:v>
                </c:pt>
                <c:pt idx="14">
                  <c:v>43891</c:v>
                </c:pt>
                <c:pt idx="15">
                  <c:v>43922</c:v>
                </c:pt>
                <c:pt idx="16">
                  <c:v>43952</c:v>
                </c:pt>
                <c:pt idx="17">
                  <c:v>43983</c:v>
                </c:pt>
                <c:pt idx="18">
                  <c:v>44013</c:v>
                </c:pt>
                <c:pt idx="19">
                  <c:v>44044</c:v>
                </c:pt>
                <c:pt idx="20">
                  <c:v>44075</c:v>
                </c:pt>
                <c:pt idx="21">
                  <c:v>44105</c:v>
                </c:pt>
                <c:pt idx="22">
                  <c:v>44136</c:v>
                </c:pt>
                <c:pt idx="23">
                  <c:v>44166</c:v>
                </c:pt>
                <c:pt idx="24">
                  <c:v>44197</c:v>
                </c:pt>
                <c:pt idx="25">
                  <c:v>44228</c:v>
                </c:pt>
                <c:pt idx="26">
                  <c:v>44256</c:v>
                </c:pt>
                <c:pt idx="27">
                  <c:v>44287</c:v>
                </c:pt>
                <c:pt idx="28">
                  <c:v>44317</c:v>
                </c:pt>
                <c:pt idx="29">
                  <c:v>44348</c:v>
                </c:pt>
                <c:pt idx="30">
                  <c:v>44378</c:v>
                </c:pt>
                <c:pt idx="31">
                  <c:v>44409</c:v>
                </c:pt>
                <c:pt idx="32">
                  <c:v>44440</c:v>
                </c:pt>
                <c:pt idx="33">
                  <c:v>44470</c:v>
                </c:pt>
                <c:pt idx="34">
                  <c:v>44501</c:v>
                </c:pt>
                <c:pt idx="35">
                  <c:v>44531</c:v>
                </c:pt>
                <c:pt idx="36">
                  <c:v>44562</c:v>
                </c:pt>
                <c:pt idx="37">
                  <c:v>44593</c:v>
                </c:pt>
                <c:pt idx="38">
                  <c:v>44621</c:v>
                </c:pt>
                <c:pt idx="39">
                  <c:v>44652</c:v>
                </c:pt>
                <c:pt idx="40">
                  <c:v>44682</c:v>
                </c:pt>
                <c:pt idx="41">
                  <c:v>44713</c:v>
                </c:pt>
                <c:pt idx="42">
                  <c:v>44743</c:v>
                </c:pt>
                <c:pt idx="43">
                  <c:v>44774</c:v>
                </c:pt>
                <c:pt idx="44">
                  <c:v>44805</c:v>
                </c:pt>
              </c:numCache>
            </c:numRef>
          </c:cat>
          <c:val>
            <c:numRef>
              <c:f>Hoja1!$B$2:$B$46</c:f>
              <c:numCache>
                <c:formatCode>0.0</c:formatCode>
                <c:ptCount val="45"/>
                <c:pt idx="0">
                  <c:v>51.38</c:v>
                </c:pt>
                <c:pt idx="1">
                  <c:v>55.01</c:v>
                </c:pt>
                <c:pt idx="2">
                  <c:v>58.17</c:v>
                </c:pt>
                <c:pt idx="3">
                  <c:v>63.88</c:v>
                </c:pt>
                <c:pt idx="4">
                  <c:v>60.77</c:v>
                </c:pt>
                <c:pt idx="5">
                  <c:v>54.71</c:v>
                </c:pt>
                <c:pt idx="6">
                  <c:v>57.54</c:v>
                </c:pt>
                <c:pt idx="7">
                  <c:v>54.84</c:v>
                </c:pt>
                <c:pt idx="8">
                  <c:v>56.88</c:v>
                </c:pt>
                <c:pt idx="9">
                  <c:v>54.01</c:v>
                </c:pt>
                <c:pt idx="10">
                  <c:v>57.12</c:v>
                </c:pt>
                <c:pt idx="11">
                  <c:v>59.86</c:v>
                </c:pt>
                <c:pt idx="12">
                  <c:v>57.53</c:v>
                </c:pt>
                <c:pt idx="13">
                  <c:v>50.54</c:v>
                </c:pt>
                <c:pt idx="14">
                  <c:v>30.45</c:v>
                </c:pt>
                <c:pt idx="15">
                  <c:v>16.7</c:v>
                </c:pt>
                <c:pt idx="16">
                  <c:v>28.53</c:v>
                </c:pt>
                <c:pt idx="17">
                  <c:v>38.31</c:v>
                </c:pt>
                <c:pt idx="18">
                  <c:v>40.770000000000003</c:v>
                </c:pt>
                <c:pt idx="19">
                  <c:v>42.39</c:v>
                </c:pt>
                <c:pt idx="20">
                  <c:v>39.630000000000003</c:v>
                </c:pt>
                <c:pt idx="21">
                  <c:v>39.56</c:v>
                </c:pt>
                <c:pt idx="22">
                  <c:v>41.13</c:v>
                </c:pt>
                <c:pt idx="23">
                  <c:v>47.02</c:v>
                </c:pt>
                <c:pt idx="24">
                  <c:v>52.1</c:v>
                </c:pt>
                <c:pt idx="25">
                  <c:v>59.06</c:v>
                </c:pt>
                <c:pt idx="26">
                  <c:v>62.36</c:v>
                </c:pt>
                <c:pt idx="27">
                  <c:v>61.7</c:v>
                </c:pt>
                <c:pt idx="28">
                  <c:v>65.16</c:v>
                </c:pt>
                <c:pt idx="29">
                  <c:v>71.349999999999994</c:v>
                </c:pt>
                <c:pt idx="30">
                  <c:v>72.430000000000007</c:v>
                </c:pt>
                <c:pt idx="31">
                  <c:v>67.709999999999994</c:v>
                </c:pt>
                <c:pt idx="32">
                  <c:v>71.55</c:v>
                </c:pt>
                <c:pt idx="33">
                  <c:v>81.22</c:v>
                </c:pt>
                <c:pt idx="34">
                  <c:v>79.180000000000007</c:v>
                </c:pt>
                <c:pt idx="35">
                  <c:v>71.69</c:v>
                </c:pt>
                <c:pt idx="36">
                  <c:v>82.98</c:v>
                </c:pt>
                <c:pt idx="37">
                  <c:v>91.63</c:v>
                </c:pt>
                <c:pt idx="38">
                  <c:v>108.26</c:v>
                </c:pt>
                <c:pt idx="39">
                  <c:v>101.64</c:v>
                </c:pt>
                <c:pt idx="40">
                  <c:v>109.26</c:v>
                </c:pt>
                <c:pt idx="41">
                  <c:v>114.34</c:v>
                </c:pt>
                <c:pt idx="42">
                  <c:v>99.39</c:v>
                </c:pt>
                <c:pt idx="43">
                  <c:v>91.48</c:v>
                </c:pt>
                <c:pt idx="44">
                  <c:v>83.8</c:v>
                </c:pt>
              </c:numCache>
            </c:numRef>
          </c:val>
          <c:smooth val="1"/>
          <c:extLst>
            <c:ext xmlns:c16="http://schemas.microsoft.com/office/drawing/2014/chart" uri="{C3380CC4-5D6E-409C-BE32-E72D297353CC}">
              <c16:uniqueId val="{00000002-19F5-4C1B-A0EB-D9EC06658DE3}"/>
            </c:ext>
          </c:extLst>
        </c:ser>
        <c:dLbls>
          <c:showLegendKey val="0"/>
          <c:showVal val="0"/>
          <c:showCatName val="0"/>
          <c:showSerName val="0"/>
          <c:showPercent val="0"/>
          <c:showBubbleSize val="0"/>
        </c:dLbls>
        <c:marker val="1"/>
        <c:smooth val="0"/>
        <c:axId val="717364616"/>
        <c:axId val="717367568"/>
      </c:lineChart>
      <c:dateAx>
        <c:axId val="717364616"/>
        <c:scaling>
          <c:orientation val="minMax"/>
          <c:max val="44835"/>
        </c:scaling>
        <c:delete val="0"/>
        <c:axPos val="b"/>
        <c:majorGridlines>
          <c:spPr>
            <a:ln w="9525" cap="flat" cmpd="sng" algn="ctr">
              <a:solidFill>
                <a:schemeClr val="dk1">
                  <a:lumMod val="15000"/>
                  <a:lumOff val="85000"/>
                </a:schemeClr>
              </a:solidFill>
              <a:round/>
            </a:ln>
            <a:effectLst/>
          </c:spPr>
        </c:majorGridlines>
        <c:numFmt formatCode="mmm\-yy"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6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7568"/>
        <c:crosses val="autoZero"/>
        <c:auto val="1"/>
        <c:lblOffset val="100"/>
        <c:baseTimeUnit val="months"/>
      </c:dateAx>
      <c:valAx>
        <c:axId val="717367568"/>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71736461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14143138099789"/>
          <c:w val="1"/>
          <c:h val="0.8885856861900211"/>
        </c:manualLayout>
      </c:layout>
      <c:pie3DChart>
        <c:varyColors val="1"/>
        <c:ser>
          <c:idx val="0"/>
          <c:order val="0"/>
          <c:tx>
            <c:strRef>
              <c:f>Hoja1!$B$1</c:f>
              <c:strCache>
                <c:ptCount val="1"/>
                <c:pt idx="0">
                  <c:v>Recaudado a julio</c:v>
                </c:pt>
              </c:strCache>
            </c:strRef>
          </c:tx>
          <c:dPt>
            <c:idx val="0"/>
            <c:bubble3D val="0"/>
            <c:explosion val="1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0DF-4E57-8F87-126F714E1E87}"/>
              </c:ext>
            </c:extLst>
          </c:dPt>
          <c:dPt>
            <c:idx val="1"/>
            <c:bubble3D val="0"/>
            <c:explosion val="16"/>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0DF-4E57-8F87-126F714E1E87}"/>
              </c:ext>
            </c:extLst>
          </c:dPt>
          <c:dPt>
            <c:idx val="2"/>
            <c:bubble3D val="0"/>
            <c:explosion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0DF-4E57-8F87-126F714E1E87}"/>
              </c:ext>
            </c:extLst>
          </c:dPt>
          <c:dPt>
            <c:idx val="3"/>
            <c:bubble3D val="0"/>
            <c:explosion val="4"/>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80DF-4E57-8F87-126F714E1E87}"/>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80DF-4E57-8F87-126F714E1E87}"/>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80DF-4E57-8F87-126F714E1E87}"/>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80DF-4E57-8F87-126F714E1E87}"/>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80DF-4E57-8F87-126F714E1E87}"/>
              </c:ext>
            </c:extLst>
          </c:dPt>
          <c:dPt>
            <c:idx val="8"/>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80DF-4E57-8F87-126F714E1E87}"/>
              </c:ext>
            </c:extLst>
          </c:dPt>
          <c:dLbls>
            <c:dLbl>
              <c:idx val="0"/>
              <c:layout>
                <c:manualLayout>
                  <c:x val="-5.4160512063023324E-2"/>
                  <c:y val="-0.16019719811765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0DF-4E57-8F87-126F714E1E87}"/>
                </c:ext>
              </c:extLst>
            </c:dLbl>
            <c:dLbl>
              <c:idx val="1"/>
              <c:layout>
                <c:manualLayout>
                  <c:x val="0.12429502067637212"/>
                  <c:y val="-1.8796992481203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0DF-4E57-8F87-126F714E1E87}"/>
                </c:ext>
              </c:extLst>
            </c:dLbl>
            <c:dLbl>
              <c:idx val="2"/>
              <c:layout>
                <c:manualLayout>
                  <c:x val="4.0699408976755599E-3"/>
                  <c:y val="0.1038089811142028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0DF-4E57-8F87-126F714E1E87}"/>
                </c:ext>
              </c:extLst>
            </c:dLbl>
            <c:dLbl>
              <c:idx val="3"/>
              <c:layout>
                <c:manualLayout>
                  <c:x val="0"/>
                  <c:y val="-2.5457344147771004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0DF-4E57-8F87-126F714E1E87}"/>
                </c:ext>
              </c:extLst>
            </c:dLbl>
            <c:dLbl>
              <c:idx val="4"/>
              <c:layout>
                <c:manualLayout>
                  <c:x val="-2.3225136426292037E-2"/>
                  <c:y val="-9.261292996270202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80DF-4E57-8F87-126F714E1E87}"/>
                </c:ext>
              </c:extLst>
            </c:dLbl>
            <c:dLbl>
              <c:idx val="5"/>
              <c:layout>
                <c:manualLayout>
                  <c:x val="5.2793292924715345E-2"/>
                  <c:y val="-3.6484666390385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80DF-4E57-8F87-126F714E1E87}"/>
                </c:ext>
              </c:extLst>
            </c:dLbl>
            <c:dLbl>
              <c:idx val="6"/>
              <c:layout>
                <c:manualLayout>
                  <c:x val="7.6092448875545185E-2"/>
                  <c:y val="-6.72399502693742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80DF-4E57-8F87-126F714E1E87}"/>
                </c:ext>
              </c:extLst>
            </c:dLbl>
            <c:dLbl>
              <c:idx val="7"/>
              <c:layout>
                <c:manualLayout>
                  <c:x val="0.15362752317830775"/>
                  <c:y val="-5.63761766621277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0DF-4E57-8F87-126F714E1E87}"/>
                </c:ext>
              </c:extLst>
            </c:dLbl>
            <c:dLbl>
              <c:idx val="8"/>
              <c:layout>
                <c:manualLayout>
                  <c:x val="0.30026813195113183"/>
                  <c:y val="-4.77739624652181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0DF-4E57-8F87-126F714E1E8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Hoja1!$A$2:$A$10</c:f>
              <c:strCache>
                <c:ptCount val="9"/>
                <c:pt idx="0">
                  <c:v>Sobre la Renta</c:v>
                </c:pt>
                <c:pt idx="1">
                  <c:v>IVA Importaciones</c:v>
                </c:pt>
                <c:pt idx="2">
                  <c:v>IVA Doméstico</c:v>
                </c:pt>
                <c:pt idx="3">
                  <c:v>Impuesto de Solidaridad</c:v>
                </c:pt>
                <c:pt idx="4">
                  <c:v>Derivados del Petróleo</c:v>
                </c:pt>
                <c:pt idx="5">
                  <c:v>Derechos Arancelarios</c:v>
                </c:pt>
                <c:pt idx="6">
                  <c:v>IPRIMA</c:v>
                </c:pt>
                <c:pt idx="7">
                  <c:v>Bebidas</c:v>
                </c:pt>
                <c:pt idx="8">
                  <c:v>Los demás</c:v>
                </c:pt>
              </c:strCache>
            </c:strRef>
          </c:cat>
          <c:val>
            <c:numRef>
              <c:f>Hoja1!$B$2:$B$10</c:f>
              <c:numCache>
                <c:formatCode>_(* #,##0.0_);_(* \(#,##0.0\);_(* "-"??_);_(@_)</c:formatCode>
                <c:ptCount val="9"/>
                <c:pt idx="0">
                  <c:v>18997.92260731</c:v>
                </c:pt>
                <c:pt idx="1">
                  <c:v>18151.85634568</c:v>
                </c:pt>
                <c:pt idx="2">
                  <c:v>13413.621891660001</c:v>
                </c:pt>
                <c:pt idx="3">
                  <c:v>4433.0302775499995</c:v>
                </c:pt>
                <c:pt idx="4">
                  <c:v>3022.49839415</c:v>
                </c:pt>
                <c:pt idx="5">
                  <c:v>2800.1725200300002</c:v>
                </c:pt>
                <c:pt idx="6">
                  <c:v>1007.4331439100001</c:v>
                </c:pt>
                <c:pt idx="7">
                  <c:v>858.11973992999992</c:v>
                </c:pt>
                <c:pt idx="8">
                  <c:v>2386.1991987999791</c:v>
                </c:pt>
              </c:numCache>
            </c:numRef>
          </c:val>
          <c:extLst>
            <c:ext xmlns:c16="http://schemas.microsoft.com/office/drawing/2014/chart" uri="{C3380CC4-5D6E-409C-BE32-E72D297353CC}">
              <c16:uniqueId val="{00000012-80DF-4E57-8F87-126F714E1E87}"/>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82818583375525"/>
          <c:y val="3.6981214258088986E-2"/>
          <c:w val="0.83044594490993795"/>
          <c:h val="0.83507372737206131"/>
        </c:manualLayout>
      </c:layout>
      <c:barChart>
        <c:barDir val="col"/>
        <c:grouping val="clustered"/>
        <c:varyColors val="0"/>
        <c:ser>
          <c:idx val="0"/>
          <c:order val="0"/>
          <c:tx>
            <c:strRef>
              <c:f>Hoja1!$B$1</c:f>
              <c:strCache>
                <c:ptCount val="1"/>
                <c:pt idx="0">
                  <c:v>Obs</c:v>
                </c:pt>
              </c:strCache>
            </c:strRef>
          </c:tx>
          <c:spPr>
            <a:solidFill>
              <a:schemeClr val="accent1"/>
            </a:solidFill>
            <a:ln>
              <a:noFill/>
            </a:ln>
            <a:effectLst/>
          </c:spPr>
          <c:invertIfNegative val="0"/>
          <c:dLbls>
            <c:dLbl>
              <c:idx val="5"/>
              <c:layout>
                <c:manualLayout>
                  <c:x val="0"/>
                  <c:y val="-6.50142218610321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D0-4E33-8259-9C20739DE300}"/>
                </c:ext>
              </c:extLst>
            </c:dLbl>
            <c:dLbl>
              <c:idx val="7"/>
              <c:layout>
                <c:manualLayout>
                  <c:x val="0"/>
                  <c:y val="-8.1267777326290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D0-4E33-8259-9C20739DE300}"/>
                </c:ext>
              </c:extLst>
            </c:dLbl>
            <c:dLbl>
              <c:idx val="8"/>
              <c:layout>
                <c:manualLayout>
                  <c:x val="-4.7494656851105122E-3"/>
                  <c:y val="-0.186915887850467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D0-4E33-8259-9C20739DE30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chemeClr val="accent5"/>
                      </a:solidFill>
                      <a:prstDash val="sysDot"/>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Hoja1!$B$2:$B$13</c:f>
              <c:numCache>
                <c:formatCode>_(* #,##0.00_);_(* \(#,##0.00\);_(* "-"??_);_(@_)</c:formatCode>
                <c:ptCount val="12"/>
                <c:pt idx="0">
                  <c:v>7765.8525128800002</c:v>
                </c:pt>
                <c:pt idx="1">
                  <c:v>5227.6553224700001</c:v>
                </c:pt>
                <c:pt idx="2">
                  <c:v>7649.5032832999987</c:v>
                </c:pt>
                <c:pt idx="3">
                  <c:v>9239.0242157100001</c:v>
                </c:pt>
                <c:pt idx="4">
                  <c:v>6200.6288104499999</c:v>
                </c:pt>
                <c:pt idx="5">
                  <c:v>6204.378563299997</c:v>
                </c:pt>
                <c:pt idx="6">
                  <c:v>10336.16090209</c:v>
                </c:pt>
                <c:pt idx="7">
                  <c:v>6266.7419177700021</c:v>
                </c:pt>
                <c:pt idx="8">
                  <c:v>6216.2827947200021</c:v>
                </c:pt>
              </c:numCache>
            </c:numRef>
          </c:val>
          <c:extLst>
            <c:ext xmlns:c16="http://schemas.microsoft.com/office/drawing/2014/chart" uri="{C3380CC4-5D6E-409C-BE32-E72D297353CC}">
              <c16:uniqueId val="{00000003-7AD0-4E33-8259-9C20739DE300}"/>
            </c:ext>
          </c:extLst>
        </c:ser>
        <c:dLbls>
          <c:showLegendKey val="0"/>
          <c:showVal val="0"/>
          <c:showCatName val="0"/>
          <c:showSerName val="0"/>
          <c:showPercent val="0"/>
          <c:showBubbleSize val="0"/>
        </c:dLbls>
        <c:gapWidth val="20"/>
        <c:overlap val="-27"/>
        <c:axId val="500168472"/>
        <c:axId val="500165848"/>
      </c:barChart>
      <c:lineChart>
        <c:grouping val="standard"/>
        <c:varyColors val="0"/>
        <c:ser>
          <c:idx val="1"/>
          <c:order val="1"/>
          <c:tx>
            <c:strRef>
              <c:f>Hoja1!$C$1</c:f>
              <c:strCache>
                <c:ptCount val="1"/>
                <c:pt idx="0">
                  <c:v>Meta Pres</c:v>
                </c:pt>
              </c:strCache>
            </c:strRef>
          </c:tx>
          <c:spPr>
            <a:ln w="9525" cap="rnd">
              <a:solidFill>
                <a:srgbClr val="FF0000"/>
              </a:solidFill>
              <a:prstDash val="sysDash"/>
              <a:round/>
            </a:ln>
            <a:effectLst/>
          </c:spPr>
          <c:marker>
            <c:symbol val="circle"/>
            <c:size val="3"/>
            <c:spPr>
              <a:solidFill>
                <a:schemeClr val="bg1"/>
              </a:solidFill>
              <a:ln w="9525">
                <a:solidFill>
                  <a:srgbClr val="FF0000"/>
                </a:solidFill>
              </a:ln>
              <a:effectLst/>
            </c:spPr>
          </c:marker>
          <c:dLbls>
            <c:dLbl>
              <c:idx val="1"/>
              <c:delete val="1"/>
              <c:extLst>
                <c:ext xmlns:c15="http://schemas.microsoft.com/office/drawing/2012/chart" uri="{CE6537A1-D6FC-4f65-9D91-7224C49458BB}"/>
                <c:ext xmlns:c16="http://schemas.microsoft.com/office/drawing/2014/chart" uri="{C3380CC4-5D6E-409C-BE32-E72D297353CC}">
                  <c16:uniqueId val="{00000004-7AD0-4E33-8259-9C20739DE300}"/>
                </c:ext>
              </c:extLst>
            </c:dLbl>
            <c:dLbl>
              <c:idx val="2"/>
              <c:delete val="1"/>
              <c:extLst>
                <c:ext xmlns:c15="http://schemas.microsoft.com/office/drawing/2012/chart" uri="{CE6537A1-D6FC-4f65-9D91-7224C49458BB}"/>
                <c:ext xmlns:c16="http://schemas.microsoft.com/office/drawing/2014/chart" uri="{C3380CC4-5D6E-409C-BE32-E72D297353CC}">
                  <c16:uniqueId val="{00000005-7AD0-4E33-8259-9C20739DE300}"/>
                </c:ext>
              </c:extLst>
            </c:dLbl>
            <c:dLbl>
              <c:idx val="3"/>
              <c:delete val="1"/>
              <c:extLst>
                <c:ext xmlns:c15="http://schemas.microsoft.com/office/drawing/2012/chart" uri="{CE6537A1-D6FC-4f65-9D91-7224C49458BB}"/>
                <c:ext xmlns:c16="http://schemas.microsoft.com/office/drawing/2014/chart" uri="{C3380CC4-5D6E-409C-BE32-E72D297353CC}">
                  <c16:uniqueId val="{00000006-7AD0-4E33-8259-9C20739DE300}"/>
                </c:ext>
              </c:extLst>
            </c:dLbl>
            <c:dLbl>
              <c:idx val="4"/>
              <c:delete val="1"/>
              <c:extLst>
                <c:ext xmlns:c15="http://schemas.microsoft.com/office/drawing/2012/chart" uri="{CE6537A1-D6FC-4f65-9D91-7224C49458BB}"/>
                <c:ext xmlns:c16="http://schemas.microsoft.com/office/drawing/2014/chart" uri="{C3380CC4-5D6E-409C-BE32-E72D297353CC}">
                  <c16:uniqueId val="{00000007-7AD0-4E33-8259-9C20739DE300}"/>
                </c:ext>
              </c:extLst>
            </c:dLbl>
            <c:dLbl>
              <c:idx val="5"/>
              <c:layout>
                <c:manualLayout>
                  <c:x val="-0.11226128792794283"/>
                  <c:y val="-0.150897624997200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AD0-4E33-8259-9C20739DE300}"/>
                </c:ext>
              </c:extLst>
            </c:dLbl>
            <c:dLbl>
              <c:idx val="6"/>
              <c:delete val="1"/>
              <c:extLst>
                <c:ext xmlns:c15="http://schemas.microsoft.com/office/drawing/2012/chart" uri="{CE6537A1-D6FC-4f65-9D91-7224C49458BB}"/>
                <c:ext xmlns:c16="http://schemas.microsoft.com/office/drawing/2014/chart" uri="{C3380CC4-5D6E-409C-BE32-E72D297353CC}">
                  <c16:uniqueId val="{00000009-7AD0-4E33-8259-9C20739DE300}"/>
                </c:ext>
              </c:extLst>
            </c:dLbl>
            <c:dLbl>
              <c:idx val="7"/>
              <c:layout>
                <c:manualLayout>
                  <c:x val="-4.4342223100989779E-2"/>
                  <c:y val="-0.126838183231846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D0-4E33-8259-9C20739DE300}"/>
                </c:ext>
              </c:extLst>
            </c:dLbl>
            <c:dLbl>
              <c:idx val="8"/>
              <c:delete val="1"/>
              <c:extLst>
                <c:ext xmlns:c15="http://schemas.microsoft.com/office/drawing/2012/chart" uri="{CE6537A1-D6FC-4f65-9D91-7224C49458BB}"/>
                <c:ext xmlns:c16="http://schemas.microsoft.com/office/drawing/2014/chart" uri="{C3380CC4-5D6E-409C-BE32-E72D297353CC}">
                  <c16:uniqueId val="{0000000B-7AD0-4E33-8259-9C20739DE300}"/>
                </c:ext>
              </c:extLst>
            </c:dLbl>
            <c:dLbl>
              <c:idx val="9"/>
              <c:layout>
                <c:manualLayout>
                  <c:x val="-7.8612258483125461E-2"/>
                  <c:y val="0.132453678966683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D0-4E33-8259-9C20739DE300}"/>
                </c:ext>
              </c:extLst>
            </c:dLbl>
            <c:dLbl>
              <c:idx val="10"/>
              <c:layout>
                <c:manualLayout>
                  <c:x val="-6.6492519591545951E-2"/>
                  <c:y val="0.11632810425312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D0-4E33-8259-9C20739DE300}"/>
                </c:ext>
              </c:extLst>
            </c:dLbl>
            <c:dLbl>
              <c:idx val="11"/>
              <c:layout>
                <c:manualLayout>
                  <c:x val="-5.3366043564193521E-4"/>
                  <c:y val="7.8395249354497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D0-4E33-8259-9C20739DE30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5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175" cap="flat" cmpd="sng" algn="ctr">
                      <a:solidFill>
                        <a:srgbClr val="FF0000"/>
                      </a:solidFill>
                      <a:round/>
                    </a:ln>
                    <a:effectLst/>
                  </c:spPr>
                </c15:leaderLines>
              </c:ext>
            </c:extLst>
          </c:dLbls>
          <c:cat>
            <c:strRef>
              <c:f>Hoja1!$A$2:$A$13</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Hoja1!$C$2:$C$13</c:f>
              <c:numCache>
                <c:formatCode>General</c:formatCode>
                <c:ptCount val="12"/>
                <c:pt idx="8" formatCode="_(* #,##0.00_);_(* \(#,##0.00\);_(* &quot;-&quot;??_);_(@_)">
                  <c:v>6216.2827947200021</c:v>
                </c:pt>
                <c:pt idx="9" formatCode="_(* #,##0.00_);_(* \(#,##0.00\);_(* &quot;-&quot;??_);_(@_)">
                  <c:v>8763.6375448371746</c:v>
                </c:pt>
                <c:pt idx="10" formatCode="_(* #,##0.00_);_(* \(#,##0.00\);_(* &quot;-&quot;??_);_(@_)">
                  <c:v>5705.0171798479123</c:v>
                </c:pt>
                <c:pt idx="11" formatCode="_(* #,##0.00_);_(* \(#,##0.00\);_(* &quot;-&quot;??_);_(@_)">
                  <c:v>5896.5595820328872</c:v>
                </c:pt>
              </c:numCache>
            </c:numRef>
          </c:val>
          <c:smooth val="1"/>
          <c:extLst>
            <c:ext xmlns:c16="http://schemas.microsoft.com/office/drawing/2014/chart" uri="{C3380CC4-5D6E-409C-BE32-E72D297353CC}">
              <c16:uniqueId val="{0000000F-7AD0-4E33-8259-9C20739DE300}"/>
            </c:ext>
          </c:extLst>
        </c:ser>
        <c:dLbls>
          <c:showLegendKey val="0"/>
          <c:showVal val="0"/>
          <c:showCatName val="0"/>
          <c:showSerName val="0"/>
          <c:showPercent val="0"/>
          <c:showBubbleSize val="0"/>
        </c:dLbls>
        <c:marker val="1"/>
        <c:smooth val="0"/>
        <c:axId val="500168472"/>
        <c:axId val="500165848"/>
      </c:lineChart>
      <c:catAx>
        <c:axId val="500168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5848"/>
        <c:crosses val="autoZero"/>
        <c:auto val="1"/>
        <c:lblAlgn val="ctr"/>
        <c:lblOffset val="100"/>
        <c:noMultiLvlLbl val="0"/>
      </c:catAx>
      <c:valAx>
        <c:axId val="500165848"/>
        <c:scaling>
          <c:orientation val="minMax"/>
        </c:scaling>
        <c:delete val="0"/>
        <c:axPos val="l"/>
        <c:majorGridlines>
          <c:spPr>
            <a:ln w="9525" cap="flat" cmpd="sng" algn="ctr">
              <a:solidFill>
                <a:schemeClr val="tx1">
                  <a:lumMod val="15000"/>
                  <a:lumOff val="85000"/>
                  <a:alpha val="20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500168472"/>
        <c:crosses val="autoZero"/>
        <c:crossBetween val="between"/>
      </c:valAx>
      <c:spPr>
        <a:noFill/>
        <a:ln>
          <a:noFill/>
        </a:ln>
        <a:effectLst/>
      </c:spPr>
    </c:plotArea>
    <c:legend>
      <c:legendPos val="b"/>
      <c:layout>
        <c:manualLayout>
          <c:xMode val="edge"/>
          <c:yMode val="edge"/>
          <c:x val="0.21824137296491075"/>
          <c:y val="2.3202910282293762E-3"/>
          <c:w val="0.78175862703508925"/>
          <c:h val="0.1212973914741343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452367019503562E-2"/>
          <c:y val="2.0471470641031241E-2"/>
          <c:w val="0.90205628106458469"/>
          <c:h val="0.75062772325873062"/>
        </c:manualLayout>
      </c:layout>
      <c:barChart>
        <c:barDir val="col"/>
        <c:grouping val="clustered"/>
        <c:varyColors val="0"/>
        <c:ser>
          <c:idx val="1"/>
          <c:order val="1"/>
          <c:tx>
            <c:strRef>
              <c:f>Sheet1!$C$1</c:f>
              <c:strCache>
                <c:ptCount val="1"/>
                <c:pt idx="0">
                  <c:v>2022</c:v>
                </c:pt>
              </c:strCache>
            </c:strRef>
          </c:tx>
          <c:spPr>
            <a:solidFill>
              <a:srgbClr val="FF7C80"/>
            </a:solidFill>
            <a:ln w="12700">
              <a:solidFill>
                <a:schemeClr val="tx1"/>
              </a:solidFill>
            </a:ln>
            <a:effectLst/>
          </c:spPr>
          <c:invertIfNegative val="0"/>
          <c:dLbls>
            <c:dLbl>
              <c:idx val="0"/>
              <c:layout>
                <c:manualLayout>
                  <c:x val="0"/>
                  <c:y val="5.082381518778687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E3-4DC5-AB7F-DA443A724E35}"/>
                </c:ext>
              </c:extLst>
            </c:dLbl>
            <c:dLbl>
              <c:idx val="1"/>
              <c:layout>
                <c:manualLayout>
                  <c:x val="0"/>
                  <c:y val="4.47054150124535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E3-4DC5-AB7F-DA443A724E35}"/>
                </c:ext>
              </c:extLst>
            </c:dLbl>
            <c:dLbl>
              <c:idx val="2"/>
              <c:layout>
                <c:manualLayout>
                  <c:x val="-4.4835220218999241E-17"/>
                  <c:y val="1.5351022298683583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E3-4DC5-AB7F-DA443A724E35}"/>
                </c:ext>
              </c:extLst>
            </c:dLbl>
            <c:dLbl>
              <c:idx val="3"/>
              <c:layout>
                <c:manualLayout>
                  <c:x val="-4.5133238669494805E-17"/>
                  <c:y val="-4.5647746800379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E3-4DC5-AB7F-DA443A724E35}"/>
                </c:ext>
              </c:extLst>
            </c:dLbl>
            <c:dLbl>
              <c:idx val="4"/>
              <c:layout>
                <c:manualLayout>
                  <c:x val="0"/>
                  <c:y val="1.42634854771784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E3-4DC5-AB7F-DA443A724E35}"/>
                </c:ext>
              </c:extLst>
            </c:dLbl>
            <c:dLbl>
              <c:idx val="5"/>
              <c:layout>
                <c:manualLayout>
                  <c:x val="0"/>
                  <c:y val="1.465798045602607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E3-4DC5-AB7F-DA443A724E35}"/>
                </c:ext>
              </c:extLst>
            </c:dLbl>
            <c:dLbl>
              <c:idx val="6"/>
              <c:layout>
                <c:manualLayout>
                  <c:x val="0"/>
                  <c:y val="1.513382915860101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E3-4DC5-AB7F-DA443A724E35}"/>
                </c:ext>
              </c:extLst>
            </c:dLbl>
            <c:dLbl>
              <c:idx val="7"/>
              <c:layout>
                <c:manualLayout>
                  <c:x val="4.7036688617121351E-3"/>
                  <c:y val="5.931467439028531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E3-4DC5-AB7F-DA443A724E35}"/>
                </c:ext>
              </c:extLst>
            </c:dLbl>
            <c:dLbl>
              <c:idx val="8"/>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CE3-4DC5-AB7F-DA443A724E35}"/>
                </c:ext>
              </c:extLst>
            </c:dLbl>
            <c:dLbl>
              <c:idx val="9"/>
              <c:layout>
                <c:manualLayout>
                  <c:x val="0"/>
                  <c:y val="1.6522876652595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CE3-4DC5-AB7F-DA443A724E35}"/>
                </c:ext>
              </c:extLst>
            </c:dLbl>
            <c:dLbl>
              <c:idx val="10"/>
              <c:layout>
                <c:manualLayout>
                  <c:x val="0"/>
                  <c:y val="2.2043568464730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CE3-4DC5-AB7F-DA443A724E35}"/>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Sheet1!$C$2:$C$13</c:f>
              <c:numCache>
                <c:formatCode>0.0</c:formatCode>
                <c:ptCount val="12"/>
                <c:pt idx="0">
                  <c:v>9.5136409548139795</c:v>
                </c:pt>
                <c:pt idx="1">
                  <c:v>17.328752165433642</c:v>
                </c:pt>
                <c:pt idx="2">
                  <c:v>19.685141533238919</c:v>
                </c:pt>
                <c:pt idx="3">
                  <c:v>12.472865890464078</c:v>
                </c:pt>
                <c:pt idx="4">
                  <c:v>14.566464186412389</c:v>
                </c:pt>
                <c:pt idx="5">
                  <c:v>15.508254865892113</c:v>
                </c:pt>
                <c:pt idx="6">
                  <c:v>14.817577312031858</c:v>
                </c:pt>
                <c:pt idx="7">
                  <c:v>15.640396419967857</c:v>
                </c:pt>
                <c:pt idx="8">
                  <c:v>17.259325689435741</c:v>
                </c:pt>
              </c:numCache>
            </c:numRef>
          </c:val>
          <c:extLst>
            <c:ext xmlns:c16="http://schemas.microsoft.com/office/drawing/2014/chart" uri="{C3380CC4-5D6E-409C-BE32-E72D297353CC}">
              <c16:uniqueId val="{0000000B-7CE3-4DC5-AB7F-DA443A724E35}"/>
            </c:ext>
          </c:extLst>
        </c:ser>
        <c:dLbls>
          <c:showLegendKey val="0"/>
          <c:showVal val="0"/>
          <c:showCatName val="0"/>
          <c:showSerName val="0"/>
          <c:showPercent val="0"/>
          <c:showBubbleSize val="0"/>
        </c:dLbls>
        <c:gapWidth val="62"/>
        <c:overlap val="-27"/>
        <c:axId val="287593168"/>
        <c:axId val="287595464"/>
      </c:barChart>
      <c:lineChart>
        <c:grouping val="stacked"/>
        <c:varyColors val="0"/>
        <c:ser>
          <c:idx val="0"/>
          <c:order val="0"/>
          <c:tx>
            <c:strRef>
              <c:f>Sheet1!$B$1</c:f>
              <c:strCache>
                <c:ptCount val="1"/>
                <c:pt idx="0">
                  <c:v>2021</c:v>
                </c:pt>
              </c:strCache>
            </c:strRef>
          </c:tx>
          <c:spPr>
            <a:ln w="15875" cap="rnd">
              <a:solidFill>
                <a:schemeClr val="accent5">
                  <a:lumMod val="50000"/>
                </a:schemeClr>
              </a:solidFill>
              <a:prstDash val="sysDot"/>
              <a:round/>
            </a:ln>
            <a:effectLst/>
          </c:spPr>
          <c:marker>
            <c:symbol val="circle"/>
            <c:size val="4"/>
            <c:spPr>
              <a:solidFill>
                <a:schemeClr val="accent5">
                  <a:lumMod val="50000"/>
                </a:schemeClr>
              </a:solidFill>
              <a:ln w="3175">
                <a:solidFill>
                  <a:schemeClr val="accent5">
                    <a:lumMod val="50000"/>
                  </a:schemeClr>
                </a:solidFill>
              </a:ln>
              <a:effectLst/>
            </c:spPr>
          </c:marker>
          <c:dLbls>
            <c:dLbl>
              <c:idx val="2"/>
              <c:layout>
                <c:manualLayout>
                  <c:x val="-6.1729026855394921E-2"/>
                  <c:y val="-7.32016722665367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CE3-4DC5-AB7F-DA443A724E35}"/>
                </c:ext>
              </c:extLst>
            </c:dLbl>
            <c:dLbl>
              <c:idx val="3"/>
              <c:layout>
                <c:manualLayout>
                  <c:x val="-6.4623532102800293E-2"/>
                  <c:y val="-6.205186078124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CE3-4DC5-AB7F-DA443A724E35}"/>
                </c:ext>
              </c:extLst>
            </c:dLbl>
            <c:dLbl>
              <c:idx val="4"/>
              <c:layout>
                <c:manualLayout>
                  <c:x val="-6.4729371900890578E-2"/>
                  <c:y val="5.70196722152401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CE3-4DC5-AB7F-DA443A724E35}"/>
                </c:ext>
              </c:extLst>
            </c:dLbl>
            <c:dLbl>
              <c:idx val="5"/>
              <c:layout>
                <c:manualLayout>
                  <c:x val="-3.8444064127054117E-2"/>
                  <c:y val="-4.9434390431552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CE3-4DC5-AB7F-DA443A724E35}"/>
                </c:ext>
              </c:extLst>
            </c:dLbl>
            <c:dLbl>
              <c:idx val="6"/>
              <c:layout>
                <c:manualLayout>
                  <c:x val="-4.3034378563593108E-2"/>
                  <c:y val="-5.523317268727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CE3-4DC5-AB7F-DA443A724E35}"/>
                </c:ext>
              </c:extLst>
            </c:dLbl>
            <c:dLbl>
              <c:idx val="10"/>
              <c:layout>
                <c:manualLayout>
                  <c:x val="-6.2152857470736747E-2"/>
                  <c:y val="-4.3635608175826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CE3-4DC5-AB7F-DA443A724E35}"/>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 </c:v>
                </c:pt>
                <c:pt idx="10">
                  <c:v>Noviembre </c:v>
                </c:pt>
                <c:pt idx="11">
                  <c:v>Diciembre</c:v>
                </c:pt>
              </c:strCache>
            </c:strRef>
          </c:cat>
          <c:val>
            <c:numRef>
              <c:f>Sheet1!$B$2:$B$13</c:f>
              <c:numCache>
                <c:formatCode>0.0</c:formatCode>
                <c:ptCount val="12"/>
                <c:pt idx="0">
                  <c:v>3.7189413058487304</c:v>
                </c:pt>
                <c:pt idx="1">
                  <c:v>6.1267370575853732</c:v>
                </c:pt>
                <c:pt idx="2">
                  <c:v>1.9518107242856928</c:v>
                </c:pt>
                <c:pt idx="3">
                  <c:v>11.31040113518587</c:v>
                </c:pt>
                <c:pt idx="4">
                  <c:v>6.3930371872600773</c:v>
                </c:pt>
                <c:pt idx="5">
                  <c:v>0.38854905082506264</c:v>
                </c:pt>
                <c:pt idx="6">
                  <c:v>1.4992457432228861</c:v>
                </c:pt>
                <c:pt idx="7">
                  <c:v>-1.4193223500163015</c:v>
                </c:pt>
                <c:pt idx="8">
                  <c:v>-4.3420352501965027</c:v>
                </c:pt>
                <c:pt idx="9">
                  <c:v>-5.6943807513343216</c:v>
                </c:pt>
                <c:pt idx="10">
                  <c:v>-3.3547814445017821</c:v>
                </c:pt>
                <c:pt idx="11">
                  <c:v>-3.7028426386675619</c:v>
                </c:pt>
              </c:numCache>
            </c:numRef>
          </c:val>
          <c:smooth val="0"/>
          <c:extLst>
            <c:ext xmlns:c16="http://schemas.microsoft.com/office/drawing/2014/chart" uri="{C3380CC4-5D6E-409C-BE32-E72D297353CC}">
              <c16:uniqueId val="{00000012-7CE3-4DC5-AB7F-DA443A724E35}"/>
            </c:ext>
          </c:extLst>
        </c:ser>
        <c:dLbls>
          <c:showLegendKey val="0"/>
          <c:showVal val="0"/>
          <c:showCatName val="0"/>
          <c:showSerName val="0"/>
          <c:showPercent val="0"/>
          <c:showBubbleSize val="0"/>
        </c:dLbls>
        <c:marker val="1"/>
        <c:smooth val="0"/>
        <c:axId val="287593168"/>
        <c:axId val="287595464"/>
      </c:lineChart>
      <c:catAx>
        <c:axId val="2875931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287595464"/>
        <c:crosses val="autoZero"/>
        <c:auto val="1"/>
        <c:lblAlgn val="ctr"/>
        <c:lblOffset val="100"/>
        <c:noMultiLvlLbl val="0"/>
      </c:catAx>
      <c:valAx>
        <c:axId val="287595464"/>
        <c:scaling>
          <c:orientation val="minMax"/>
          <c:max val="24"/>
          <c:min val="-10"/>
        </c:scaling>
        <c:delete val="0"/>
        <c:axPos val="l"/>
        <c:minorGridlines>
          <c:spPr>
            <a:ln w="9525" cap="flat" cmpd="sng" algn="ctr">
              <a:solidFill>
                <a:schemeClr val="tx1">
                  <a:lumMod val="5000"/>
                  <a:lumOff val="95000"/>
                </a:schemeClr>
              </a:solidFill>
              <a:round/>
            </a:ln>
            <a:effectLst/>
          </c:spPr>
        </c:min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287593168"/>
        <c:crosses val="autoZero"/>
        <c:crossBetween val="between"/>
      </c:valAx>
      <c:spPr>
        <a:noFill/>
        <a:ln>
          <a:noFill/>
        </a:ln>
        <a:effectLst/>
      </c:spPr>
    </c:plotArea>
    <c:legend>
      <c:legendPos val="b"/>
      <c:layout>
        <c:manualLayout>
          <c:xMode val="edge"/>
          <c:yMode val="edge"/>
          <c:x val="0.72206189773981444"/>
          <c:y val="0.14206776270230065"/>
          <c:w val="0.25118035882908402"/>
          <c:h val="0.1392891618715929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49846471893718"/>
          <c:y val="0"/>
          <c:w val="0.56057123517996466"/>
          <c:h val="0.9363849689937902"/>
        </c:manualLayout>
      </c:layout>
      <c:barChart>
        <c:barDir val="bar"/>
        <c:grouping val="clustered"/>
        <c:varyColors val="0"/>
        <c:ser>
          <c:idx val="0"/>
          <c:order val="0"/>
          <c:tx>
            <c:strRef>
              <c:f>Sheet1!$B$1</c:f>
              <c:strCache>
                <c:ptCount val="1"/>
                <c:pt idx="0">
                  <c:v>2021</c:v>
                </c:pt>
              </c:strCache>
            </c:strRef>
          </c:tx>
          <c:spPr>
            <a:solidFill>
              <a:schemeClr val="bg1">
                <a:lumMod val="65000"/>
              </a:schemeClr>
            </a:solidFill>
            <a:ln w="15875">
              <a:solidFill>
                <a:schemeClr val="bg1">
                  <a:lumMod val="50000"/>
                </a:schemeClr>
              </a:solidFill>
            </a:ln>
            <a:effectLst>
              <a:outerShdw blurRad="50800" dist="38100" dir="2700000" algn="tl" rotWithShape="0">
                <a:prstClr val="black">
                  <a:alpha val="40000"/>
                </a:prstClr>
              </a:outerShdw>
            </a:effectLst>
          </c:spPr>
          <c:invertIfNegative val="0"/>
          <c:dLbls>
            <c:dLbl>
              <c:idx val="0"/>
              <c:layout>
                <c:manualLayout>
                  <c:x val="-9.4949036720205059E-3"/>
                  <c:y val="1.66558329145027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85F-439A-8347-1A518E00B18D}"/>
                </c:ext>
              </c:extLst>
            </c:dLbl>
            <c:dLbl>
              <c:idx val="1"/>
              <c:layout>
                <c:manualLayout>
                  <c:x val="-1.2868873025510584E-2"/>
                  <c:y val="1.04127201491117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85F-439A-8347-1A518E00B18D}"/>
                </c:ext>
              </c:extLst>
            </c:dLbl>
            <c:dLbl>
              <c:idx val="2"/>
              <c:layout>
                <c:manualLayout>
                  <c:x val="1.0003276339428682E-2"/>
                  <c:y val="9.80329962837379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85F-439A-8347-1A518E00B18D}"/>
                </c:ext>
              </c:extLst>
            </c:dLbl>
            <c:dLbl>
              <c:idx val="3"/>
              <c:layout>
                <c:manualLayout>
                  <c:x val="5.1463731642598176E-3"/>
                  <c:y val="4.78006998337274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85F-439A-8347-1A518E00B18D}"/>
                </c:ext>
              </c:extLst>
            </c:dLbl>
            <c:dLbl>
              <c:idx val="4"/>
              <c:layout>
                <c:manualLayout>
                  <c:x val="-4.6893317702227429E-3"/>
                  <c:y val="1.3245033112582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85F-439A-8347-1A518E00B18D}"/>
                </c:ext>
              </c:extLst>
            </c:dLbl>
            <c:dLbl>
              <c:idx val="6"/>
              <c:layout>
                <c:manualLayout>
                  <c:x val="-0.14174632491926165"/>
                  <c:y val="5.4416006926733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85F-439A-8347-1A518E00B18D}"/>
                </c:ext>
              </c:extLst>
            </c:dLbl>
            <c:dLbl>
              <c:idx val="7"/>
              <c:layout>
                <c:manualLayout>
                  <c:x val="-8.5970089320275687E-17"/>
                  <c:y val="1.3245033112582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85F-439A-8347-1A518E00B18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Remuneraciones </c:v>
                </c:pt>
                <c:pt idx="4">
                  <c:v>Trans. De Capital</c:v>
                </c:pt>
                <c:pt idx="5">
                  <c:v>Bienes y servicios </c:v>
                </c:pt>
                <c:pt idx="6">
                  <c:v>Trans. Corrientes</c:v>
                </c:pt>
              </c:strCache>
            </c:strRef>
          </c:cat>
          <c:val>
            <c:numRef>
              <c:f>Sheet1!$B$2:$B$8</c:f>
              <c:numCache>
                <c:formatCode>#,##0.0</c:formatCode>
                <c:ptCount val="7"/>
                <c:pt idx="0">
                  <c:v>127.68885214000011</c:v>
                </c:pt>
                <c:pt idx="1">
                  <c:v>308.53142268000011</c:v>
                </c:pt>
                <c:pt idx="2">
                  <c:v>1158.8049009700017</c:v>
                </c:pt>
                <c:pt idx="3">
                  <c:v>608.78046178999648</c:v>
                </c:pt>
                <c:pt idx="4">
                  <c:v>713.022508009999</c:v>
                </c:pt>
                <c:pt idx="5">
                  <c:v>2574.6740250799985</c:v>
                </c:pt>
                <c:pt idx="6">
                  <c:v>-6208.3889544699978</c:v>
                </c:pt>
              </c:numCache>
            </c:numRef>
          </c:val>
          <c:extLst>
            <c:ext xmlns:c16="http://schemas.microsoft.com/office/drawing/2014/chart" uri="{C3380CC4-5D6E-409C-BE32-E72D297353CC}">
              <c16:uniqueId val="{00000007-E85F-439A-8347-1A518E00B18D}"/>
            </c:ext>
          </c:extLst>
        </c:ser>
        <c:ser>
          <c:idx val="1"/>
          <c:order val="1"/>
          <c:tx>
            <c:strRef>
              <c:f>Sheet1!$C$1</c:f>
              <c:strCache>
                <c:ptCount val="1"/>
                <c:pt idx="0">
                  <c:v>2022</c:v>
                </c:pt>
              </c:strCache>
            </c:strRef>
          </c:tx>
          <c:spPr>
            <a:solidFill>
              <a:srgbClr val="0070C0"/>
            </a:solidFill>
            <a:ln w="15875">
              <a:solidFill>
                <a:schemeClr val="tx2">
                  <a:lumMod val="50000"/>
                </a:schemeClr>
              </a:solidFill>
            </a:ln>
            <a:effectLst>
              <a:outerShdw blurRad="50800" dist="38100" dir="2700000" algn="tl" rotWithShape="0">
                <a:prstClr val="black">
                  <a:alpha val="40000"/>
                </a:prstClr>
              </a:outerShdw>
            </a:effectLst>
          </c:spPr>
          <c:invertIfNegative val="0"/>
          <c:dLbls>
            <c:dLbl>
              <c:idx val="0"/>
              <c:layout>
                <c:manualLayout>
                  <c:x val="-4.5724737082763452E-3"/>
                  <c:y val="-2.5795139502967118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85F-439A-8347-1A518E00B18D}"/>
                </c:ext>
              </c:extLst>
            </c:dLbl>
            <c:dLbl>
              <c:idx val="1"/>
              <c:layout>
                <c:manualLayout>
                  <c:x val="-1.4067995310668272E-2"/>
                  <c:y val="-8.094093398476286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85F-439A-8347-1A518E00B18D}"/>
                </c:ext>
              </c:extLst>
            </c:dLbl>
            <c:dLbl>
              <c:idx val="2"/>
              <c:layout>
                <c:manualLayout>
                  <c:x val="1.3867154953964494E-2"/>
                  <c:y val="-4.8723800829245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85F-439A-8347-1A518E00B18D}"/>
                </c:ext>
              </c:extLst>
            </c:dLbl>
            <c:dLbl>
              <c:idx val="4"/>
              <c:layout>
                <c:manualLayout>
                  <c:x val="0"/>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85F-439A-8347-1A518E00B18D}"/>
                </c:ext>
              </c:extLst>
            </c:dLbl>
            <c:dLbl>
              <c:idx val="5"/>
              <c:layout>
                <c:manualLayout>
                  <c:x val="-8.5801574803149611E-3"/>
                  <c:y val="-4.78011472275334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85F-439A-8347-1A518E00B18D}"/>
                </c:ext>
              </c:extLst>
            </c:dLbl>
            <c:dLbl>
              <c:idx val="6"/>
              <c:layout>
                <c:manualLayout>
                  <c:x val="-1.6765543253359661E-16"/>
                  <c:y val="6.47688159829231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85F-439A-8347-1A518E00B18D}"/>
                </c:ext>
              </c:extLst>
            </c:dLbl>
            <c:dLbl>
              <c:idx val="7"/>
              <c:layout>
                <c:manualLayout>
                  <c:x val="-1.4067883937276112E-2"/>
                  <c:y val="5.19398579667525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85F-439A-8347-1A518E00B18D}"/>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Sheet1!$A$2:$A$8</c:f>
              <c:strCache>
                <c:ptCount val="7"/>
                <c:pt idx="0">
                  <c:v>Prestaciones a la S.S</c:v>
                </c:pt>
                <c:pt idx="1">
                  <c:v>Inversión Real Directa</c:v>
                </c:pt>
                <c:pt idx="2">
                  <c:v>Intereses </c:v>
                </c:pt>
                <c:pt idx="3">
                  <c:v>Remuneraciones </c:v>
                </c:pt>
                <c:pt idx="4">
                  <c:v>Trans. De Capital</c:v>
                </c:pt>
                <c:pt idx="5">
                  <c:v>Bienes y servicios </c:v>
                </c:pt>
                <c:pt idx="6">
                  <c:v>Trans. Corrientes</c:v>
                </c:pt>
              </c:strCache>
            </c:strRef>
          </c:cat>
          <c:val>
            <c:numRef>
              <c:f>Sheet1!$C$2:$C$8</c:f>
              <c:numCache>
                <c:formatCode>#,##0.0</c:formatCode>
                <c:ptCount val="7"/>
                <c:pt idx="0">
                  <c:v>199.88595377000001</c:v>
                </c:pt>
                <c:pt idx="1">
                  <c:v>312.75262642999996</c:v>
                </c:pt>
                <c:pt idx="2">
                  <c:v>631.14263933999882</c:v>
                </c:pt>
                <c:pt idx="3">
                  <c:v>997.89782878000551</c:v>
                </c:pt>
                <c:pt idx="4">
                  <c:v>1210.9242514399994</c:v>
                </c:pt>
                <c:pt idx="5">
                  <c:v>1581.3721028300024</c:v>
                </c:pt>
                <c:pt idx="6">
                  <c:v>5721.2361158100011</c:v>
                </c:pt>
              </c:numCache>
            </c:numRef>
          </c:val>
          <c:extLst>
            <c:ext xmlns:c16="http://schemas.microsoft.com/office/drawing/2014/chart" uri="{C3380CC4-5D6E-409C-BE32-E72D297353CC}">
              <c16:uniqueId val="{0000000F-E85F-439A-8347-1A518E00B18D}"/>
            </c:ext>
          </c:extLst>
        </c:ser>
        <c:dLbls>
          <c:showLegendKey val="0"/>
          <c:showVal val="0"/>
          <c:showCatName val="0"/>
          <c:showSerName val="0"/>
          <c:showPercent val="0"/>
          <c:showBubbleSize val="0"/>
        </c:dLbls>
        <c:gapWidth val="132"/>
        <c:axId val="386727800"/>
        <c:axId val="386724848"/>
      </c:barChart>
      <c:catAx>
        <c:axId val="38672780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700" b="1" i="0" u="none" strike="noStrike" kern="1200" cap="none" spc="0" normalizeH="0" baseline="0">
                <a:solidFill>
                  <a:schemeClr val="tx1">
                    <a:lumMod val="85000"/>
                    <a:lumOff val="15000"/>
                  </a:schemeClr>
                </a:solidFill>
                <a:latin typeface="Times New Roman" panose="02020603050405020304" pitchFamily="18" charset="0"/>
                <a:ea typeface="+mn-ea"/>
                <a:cs typeface="Times New Roman" panose="02020603050405020304" pitchFamily="18" charset="0"/>
              </a:defRPr>
            </a:pPr>
            <a:endParaRPr lang="es-GT"/>
          </a:p>
        </c:txPr>
        <c:crossAx val="386724848"/>
        <c:crosses val="autoZero"/>
        <c:auto val="1"/>
        <c:lblAlgn val="ctr"/>
        <c:lblOffset val="100"/>
        <c:noMultiLvlLbl val="0"/>
      </c:catAx>
      <c:valAx>
        <c:axId val="386724848"/>
        <c:scaling>
          <c:orientation val="minMax"/>
          <c:max val="6000"/>
          <c:min val="-6500"/>
        </c:scaling>
        <c:delete val="0"/>
        <c:axPos val="b"/>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727800"/>
        <c:crosses val="autoZero"/>
        <c:crossBetween val="between"/>
        <c:majorUnit val="3000"/>
      </c:valAx>
      <c:spPr>
        <a:pattFill prst="pct5">
          <a:fgClr>
            <a:schemeClr val="bg1">
              <a:lumMod val="85000"/>
            </a:schemeClr>
          </a:fgClr>
          <a:bgClr>
            <a:schemeClr val="bg1"/>
          </a:bgClr>
        </a:pattFill>
        <a:ln>
          <a:noFill/>
        </a:ln>
        <a:effectLst/>
      </c:spPr>
    </c:plotArea>
    <c:legend>
      <c:legendPos val="b"/>
      <c:layout>
        <c:manualLayout>
          <c:xMode val="edge"/>
          <c:yMode val="edge"/>
          <c:x val="0.84316235161962783"/>
          <c:y val="0.28611246998380524"/>
          <c:w val="0.15024551820321352"/>
          <c:h val="0.173433271941251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lt1"/>
    </a:solidFill>
    <a:ln w="9525" cap="flat" cmpd="sng" algn="ctr">
      <a:noFill/>
      <a:round/>
    </a:ln>
    <a:effectLst/>
  </c:spPr>
  <c:txPr>
    <a:bodyPr/>
    <a:lstStyle/>
    <a:p>
      <a:pPr>
        <a:defRPr/>
      </a:pPr>
      <a:endParaRPr lang="es-G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146213430638255E-2"/>
          <c:y val="4.5483174019693165E-2"/>
          <c:w val="0.87037698121307294"/>
          <c:h val="0.75423602553659574"/>
        </c:manualLayout>
      </c:layout>
      <c:barChart>
        <c:barDir val="col"/>
        <c:grouping val="clustered"/>
        <c:varyColors val="0"/>
        <c:ser>
          <c:idx val="1"/>
          <c:order val="1"/>
          <c:tx>
            <c:strRef>
              <c:f>Sheet1!$C$1</c:f>
              <c:strCache>
                <c:ptCount val="1"/>
                <c:pt idx="0">
                  <c:v>2022</c:v>
                </c:pt>
              </c:strCache>
            </c:strRef>
          </c:tx>
          <c:spPr>
            <a:solidFill>
              <a:srgbClr val="31859C"/>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31859C"/>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Sheet1!$C$2:$C$13</c:f>
              <c:numCache>
                <c:formatCode>0.0</c:formatCode>
                <c:ptCount val="12"/>
                <c:pt idx="0">
                  <c:v>9.0397193863427816</c:v>
                </c:pt>
                <c:pt idx="1">
                  <c:v>15.744528364482392</c:v>
                </c:pt>
                <c:pt idx="2">
                  <c:v>18.138352996504921</c:v>
                </c:pt>
                <c:pt idx="3">
                  <c:v>14.951290811092406</c:v>
                </c:pt>
                <c:pt idx="4">
                  <c:v>16.626980580658056</c:v>
                </c:pt>
                <c:pt idx="5">
                  <c:v>17.353788259949596</c:v>
                </c:pt>
                <c:pt idx="6">
                  <c:v>16.3479738447123</c:v>
                </c:pt>
                <c:pt idx="7">
                  <c:v>17.089330006612528</c:v>
                </c:pt>
                <c:pt idx="8">
                  <c:v>18.597285487351471</c:v>
                </c:pt>
              </c:numCache>
            </c:numRef>
          </c:val>
          <c:extLst>
            <c:ext xmlns:c16="http://schemas.microsoft.com/office/drawing/2014/chart" uri="{C3380CC4-5D6E-409C-BE32-E72D297353CC}">
              <c16:uniqueId val="{00000000-85E2-4311-BE47-2C1EB657B4CB}"/>
            </c:ext>
          </c:extLst>
        </c:ser>
        <c:dLbls>
          <c:showLegendKey val="0"/>
          <c:showVal val="0"/>
          <c:showCatName val="0"/>
          <c:showSerName val="0"/>
          <c:showPercent val="0"/>
          <c:showBubbleSize val="0"/>
        </c:dLbls>
        <c:gapWidth val="37"/>
        <c:axId val="386382944"/>
        <c:axId val="386383928"/>
      </c:barChart>
      <c:lineChart>
        <c:grouping val="standard"/>
        <c:varyColors val="0"/>
        <c:ser>
          <c:idx val="0"/>
          <c:order val="0"/>
          <c:tx>
            <c:strRef>
              <c:f>Sheet1!$B$1</c:f>
              <c:strCache>
                <c:ptCount val="1"/>
                <c:pt idx="0">
                  <c:v>2021</c:v>
                </c:pt>
              </c:strCache>
            </c:strRef>
          </c:tx>
          <c:spPr>
            <a:ln w="22225" cap="rnd">
              <a:solidFill>
                <a:schemeClr val="accent4">
                  <a:lumMod val="50000"/>
                </a:schemeClr>
              </a:solidFill>
              <a:prstDash val="sysDash"/>
              <a:round/>
            </a:ln>
            <a:effectLst/>
          </c:spPr>
          <c:marker>
            <c:symbol val="triangle"/>
            <c:size val="5"/>
            <c:spPr>
              <a:solidFill>
                <a:srgbClr val="FFC000"/>
              </a:solidFill>
              <a:ln w="9525">
                <a:solidFill>
                  <a:schemeClr val="accent4">
                    <a:lumMod val="50000"/>
                  </a:schemeClr>
                </a:solidFill>
              </a:ln>
              <a:effectLst/>
            </c:spPr>
          </c:marker>
          <c:dLbls>
            <c:dLbl>
              <c:idx val="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1-85E2-4311-BE47-2C1EB657B4CB}"/>
                </c:ext>
              </c:extLst>
            </c:dLbl>
            <c:dLbl>
              <c:idx val="1"/>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2-85E2-4311-BE47-2C1EB657B4CB}"/>
                </c:ext>
              </c:extLst>
            </c:dLbl>
            <c:dLbl>
              <c:idx val="2"/>
              <c:layout>
                <c:manualLayout>
                  <c:x val="-6.4562410329985692E-2"/>
                  <c:y val="-0.10963748894783377"/>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E2-4311-BE47-2C1EB657B4CB}"/>
                </c:ext>
              </c:extLst>
            </c:dLbl>
            <c:dLbl>
              <c:idx val="3"/>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4-85E2-4311-BE47-2C1EB657B4CB}"/>
                </c:ext>
              </c:extLst>
            </c:dLbl>
            <c:dLbl>
              <c:idx val="4"/>
              <c:layout>
                <c:manualLayout>
                  <c:x val="-6.4562410329985651E-2"/>
                  <c:y val="-5.6587091069849688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E2-4311-BE47-2C1EB657B4CB}"/>
                </c:ext>
              </c:extLst>
            </c:dLbl>
            <c:dLbl>
              <c:idx val="5"/>
              <c:layout>
                <c:manualLayout>
                  <c:x val="-6.4562410329985651E-2"/>
                  <c:y val="5.540819333922782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5E2-4311-BE47-2C1EB657B4CB}"/>
                </c:ext>
              </c:extLst>
            </c:dLbl>
            <c:dLbl>
              <c:idx val="6"/>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7-85E2-4311-BE47-2C1EB657B4CB}"/>
                </c:ext>
              </c:extLst>
            </c:dLbl>
            <c:dLbl>
              <c:idx val="7"/>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extLst>
                <c:ext xmlns:c16="http://schemas.microsoft.com/office/drawing/2014/chart" uri="{C3380CC4-5D6E-409C-BE32-E72D297353CC}">
                  <c16:uniqueId val="{00000008-85E2-4311-BE47-2C1EB657B4CB}"/>
                </c:ext>
              </c:extLst>
            </c:dLbl>
            <c:dLbl>
              <c:idx val="8"/>
              <c:layout>
                <c:manualLayout>
                  <c:x val="-5.499760879961741E-2"/>
                  <c:y val="-5.06926024167403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E2-4311-BE47-2C1EB657B4CB}"/>
                </c:ext>
              </c:extLst>
            </c:dLbl>
            <c:dLbl>
              <c:idx val="9"/>
              <c:layout>
                <c:manualLayout>
                  <c:x val="-5.9780009564801527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E2-4311-BE47-2C1EB657B4CB}"/>
                </c:ext>
              </c:extLst>
            </c:dLbl>
            <c:dLbl>
              <c:idx val="10"/>
              <c:layout>
                <c:manualLayout>
                  <c:x val="-3.5868005738880916E-2"/>
                  <c:y val="-6.2481579722959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E2-4311-BE47-2C1EB657B4CB}"/>
                </c:ext>
              </c:extLst>
            </c:dLbl>
            <c:dLbl>
              <c:idx val="11"/>
              <c:layout>
                <c:manualLayout>
                  <c:x val="-2.191845818411884E-2"/>
                  <c:y val="5.54081933392278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E2-4311-BE47-2C1EB657B4C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lumMod val="50000"/>
                      </a:schemeClr>
                    </a:solidFill>
                    <a:latin typeface="Times New Roman" panose="02020603050405020304" pitchFamily="18" charset="0"/>
                    <a:ea typeface="+mn-ea"/>
                    <a:cs typeface="Times New Roman" panose="02020603050405020304"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Sheet1!$B$2:$B$13</c:f>
              <c:numCache>
                <c:formatCode>0.0</c:formatCode>
                <c:ptCount val="12"/>
                <c:pt idx="0">
                  <c:v>3.6453163052856183</c:v>
                </c:pt>
                <c:pt idx="1">
                  <c:v>5.9151064266832094</c:v>
                </c:pt>
                <c:pt idx="2">
                  <c:v>1.1274104866919572</c:v>
                </c:pt>
                <c:pt idx="3">
                  <c:v>6.9774866153619257</c:v>
                </c:pt>
                <c:pt idx="4">
                  <c:v>10.407434084911557</c:v>
                </c:pt>
                <c:pt idx="5">
                  <c:v>8.2331525982774849</c:v>
                </c:pt>
                <c:pt idx="6">
                  <c:v>10.117607309447223</c:v>
                </c:pt>
                <c:pt idx="7">
                  <c:v>9.7411370682155791</c:v>
                </c:pt>
                <c:pt idx="8">
                  <c:v>9.8421816318711564</c:v>
                </c:pt>
                <c:pt idx="9">
                  <c:v>8.319396414947164</c:v>
                </c:pt>
                <c:pt idx="10">
                  <c:v>9.8016820115595777</c:v>
                </c:pt>
                <c:pt idx="11">
                  <c:v>8.547459675941866</c:v>
                </c:pt>
              </c:numCache>
            </c:numRef>
          </c:val>
          <c:smooth val="0"/>
          <c:extLst>
            <c:ext xmlns:c16="http://schemas.microsoft.com/office/drawing/2014/chart" uri="{C3380CC4-5D6E-409C-BE32-E72D297353CC}">
              <c16:uniqueId val="{0000000D-85E2-4311-BE47-2C1EB657B4CB}"/>
            </c:ext>
          </c:extLst>
        </c:ser>
        <c:dLbls>
          <c:showLegendKey val="0"/>
          <c:showVal val="0"/>
          <c:showCatName val="0"/>
          <c:showSerName val="0"/>
          <c:showPercent val="0"/>
          <c:showBubbleSize val="0"/>
        </c:dLbls>
        <c:marker val="1"/>
        <c:smooth val="0"/>
        <c:axId val="386382944"/>
        <c:axId val="386383928"/>
      </c:lineChart>
      <c:catAx>
        <c:axId val="38638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3928"/>
        <c:crosses val="autoZero"/>
        <c:auto val="1"/>
        <c:lblAlgn val="ctr"/>
        <c:lblOffset val="100"/>
        <c:noMultiLvlLbl val="0"/>
      </c:catAx>
      <c:valAx>
        <c:axId val="386383928"/>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crossAx val="386382944"/>
        <c:crosses val="autoZero"/>
        <c:crossBetween val="between"/>
      </c:valAx>
      <c:spPr>
        <a:noFill/>
        <a:ln>
          <a:noFill/>
        </a:ln>
        <a:effectLst/>
      </c:spPr>
    </c:plotArea>
    <c:legend>
      <c:legendPos val="b"/>
      <c:layout>
        <c:manualLayout>
          <c:xMode val="edge"/>
          <c:yMode val="edge"/>
          <c:x val="0.704496808747615"/>
          <c:y val="7.9154152122737215E-2"/>
          <c:w val="0.26485069990262072"/>
          <c:h val="0.155397894850772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G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739668902540773E-2"/>
          <c:y val="4.2359886072736733E-2"/>
          <c:w val="0.90422443251375917"/>
          <c:h val="0.86445788983897909"/>
        </c:manualLayout>
      </c:layout>
      <c:barChart>
        <c:barDir val="col"/>
        <c:grouping val="clustered"/>
        <c:varyColors val="0"/>
        <c:ser>
          <c:idx val="0"/>
          <c:order val="0"/>
          <c:tx>
            <c:strRef>
              <c:f>Hoja1!$B$1</c:f>
              <c:strCache>
                <c:ptCount val="1"/>
                <c:pt idx="0">
                  <c:v>% de ejecución</c:v>
                </c:pt>
              </c:strCache>
            </c:strRef>
          </c:tx>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invertIfNegative val="0"/>
          <c:dPt>
            <c:idx val="5"/>
            <c:invertIfNegative val="0"/>
            <c:bubble3D val="0"/>
            <c:spPr>
              <a:solidFill>
                <a:schemeClr val="tx2">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1-58B4-4F97-A463-0E918EAF1089}"/>
              </c:ext>
            </c:extLst>
          </c:dPt>
          <c:dPt>
            <c:idx val="6"/>
            <c:invertIfNegative val="0"/>
            <c:bubble3D val="0"/>
            <c:spPr>
              <a:solidFill>
                <a:schemeClr val="accent1">
                  <a:lumMod val="75000"/>
                </a:schemeClr>
              </a:solidFill>
              <a:ln>
                <a:noFill/>
              </a:ln>
              <a:effectLst>
                <a:outerShdw blurRad="50800" dist="38100" dir="2700000" algn="tl" rotWithShape="0">
                  <a:prstClr val="black">
                    <a:alpha val="40000"/>
                  </a:prstClr>
                </a:outerShdw>
              </a:effectLst>
              <a:scene3d>
                <a:camera prst="orthographicFront"/>
                <a:lightRig rig="threePt" dir="t"/>
              </a:scene3d>
              <a:sp3d>
                <a:bevelT/>
              </a:sp3d>
            </c:spPr>
            <c:extLst>
              <c:ext xmlns:c16="http://schemas.microsoft.com/office/drawing/2014/chart" uri="{C3380CC4-5D6E-409C-BE32-E72D297353CC}">
                <c16:uniqueId val="{00000003-58B4-4F97-A463-0E918EAF1089}"/>
              </c:ext>
            </c:extLst>
          </c:dPt>
          <c:dLbls>
            <c:dLbl>
              <c:idx val="0"/>
              <c:layout>
                <c:manualLayout>
                  <c:x val="0"/>
                  <c:y val="1.75089534421010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B4-4F97-A463-0E918EAF1089}"/>
                </c:ext>
              </c:extLst>
            </c:dLbl>
            <c:dLbl>
              <c:idx val="1"/>
              <c:layout>
                <c:manualLayout>
                  <c:x val="0"/>
                  <c:y val="1.591723040191006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B4-4F97-A463-0E918EAF1089}"/>
                </c:ext>
              </c:extLst>
            </c:dLbl>
            <c:dLbl>
              <c:idx val="2"/>
              <c:layout>
                <c:manualLayout>
                  <c:x val="0"/>
                  <c:y val="7.33508589977784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B4-4F97-A463-0E918EAF1089}"/>
                </c:ext>
              </c:extLst>
            </c:dLbl>
            <c:dLbl>
              <c:idx val="3"/>
              <c:layout>
                <c:manualLayout>
                  <c:x val="4.6007900889521915E-3"/>
                  <c:y val="4.692837176894537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B4-4F97-A463-0E918EAF1089}"/>
                </c:ext>
              </c:extLst>
            </c:dLbl>
            <c:dLbl>
              <c:idx val="4"/>
              <c:layout>
                <c:manualLayout>
                  <c:x val="9.0578663772474256E-17"/>
                  <c:y val="2.03820548921451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8B4-4F97-A463-0E918EAF1089}"/>
                </c:ext>
              </c:extLst>
            </c:dLbl>
            <c:dLbl>
              <c:idx val="5"/>
              <c:layout>
                <c:manualLayout>
                  <c:x val="0"/>
                  <c:y val="0.12454901616013979"/>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GT"/>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B4-4F97-A463-0E918EAF1089}"/>
                </c:ext>
              </c:extLst>
            </c:dLbl>
            <c:dLbl>
              <c:idx val="6"/>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extLst>
                <c:ext xmlns:c16="http://schemas.microsoft.com/office/drawing/2014/chart" uri="{C3380CC4-5D6E-409C-BE32-E72D297353CC}">
                  <c16:uniqueId val="{00000003-58B4-4F97-A463-0E918EAF1089}"/>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es-G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Hoja1!$A$2:$A$7</c:f>
              <c:numCache>
                <c:formatCode>General</c:formatCode>
                <c:ptCount val="6"/>
                <c:pt idx="0">
                  <c:v>2017</c:v>
                </c:pt>
                <c:pt idx="1">
                  <c:v>2018</c:v>
                </c:pt>
                <c:pt idx="2">
                  <c:v>2019</c:v>
                </c:pt>
                <c:pt idx="3">
                  <c:v>2020</c:v>
                </c:pt>
                <c:pt idx="4">
                  <c:v>2021</c:v>
                </c:pt>
                <c:pt idx="5">
                  <c:v>2022</c:v>
                </c:pt>
              </c:numCache>
            </c:numRef>
          </c:cat>
          <c:val>
            <c:numRef>
              <c:f>Hoja1!$B$2:$B$7</c:f>
              <c:numCache>
                <c:formatCode>0.0</c:formatCode>
                <c:ptCount val="6"/>
                <c:pt idx="0">
                  <c:v>62.349842320345736</c:v>
                </c:pt>
                <c:pt idx="1">
                  <c:v>66.310085516450897</c:v>
                </c:pt>
                <c:pt idx="2">
                  <c:v>66.697171363133052</c:v>
                </c:pt>
                <c:pt idx="3">
                  <c:v>62.523756337188544</c:v>
                </c:pt>
                <c:pt idx="4">
                  <c:v>59.934695827233</c:v>
                </c:pt>
                <c:pt idx="5">
                  <c:v>66.739885645560292</c:v>
                </c:pt>
              </c:numCache>
            </c:numRef>
          </c:val>
          <c:extLst>
            <c:ext xmlns:c16="http://schemas.microsoft.com/office/drawing/2014/chart" uri="{C3380CC4-5D6E-409C-BE32-E72D297353CC}">
              <c16:uniqueId val="{00000009-58B4-4F97-A463-0E918EAF1089}"/>
            </c:ext>
          </c:extLst>
        </c:ser>
        <c:dLbls>
          <c:showLegendKey val="0"/>
          <c:showVal val="0"/>
          <c:showCatName val="0"/>
          <c:showSerName val="0"/>
          <c:showPercent val="0"/>
          <c:showBubbleSize val="0"/>
        </c:dLbls>
        <c:gapWidth val="50"/>
        <c:overlap val="-27"/>
        <c:axId val="660513400"/>
        <c:axId val="660507168"/>
      </c:barChart>
      <c:lineChart>
        <c:grouping val="standard"/>
        <c:varyColors val="0"/>
        <c:ser>
          <c:idx val="1"/>
          <c:order val="1"/>
          <c:tx>
            <c:strRef>
              <c:f>Hoja1!$C$1</c:f>
              <c:strCache>
                <c:ptCount val="1"/>
                <c:pt idx="0">
                  <c:v>Promedio</c:v>
                </c:pt>
              </c:strCache>
            </c:strRef>
          </c:tx>
          <c:spPr>
            <a:ln w="15875" cap="rnd">
              <a:solidFill>
                <a:srgbClr val="C00000"/>
              </a:solidFill>
              <a:prstDash val="sysDash"/>
              <a:round/>
            </a:ln>
            <a:effectLst/>
          </c:spPr>
          <c:marker>
            <c:symbol val="none"/>
          </c:marker>
          <c:dLbls>
            <c:dLbl>
              <c:idx val="2"/>
              <c:layout>
                <c:manualLayout>
                  <c:x val="2.5370164327285085E-2"/>
                  <c:y val="-9.5912232779829701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es-GT"/>
                </a:p>
              </c:txPr>
              <c:showLegendKey val="0"/>
              <c:showVal val="1"/>
              <c:showCatName val="0"/>
              <c:showSerName val="1"/>
              <c:showPercent val="0"/>
              <c:showBubbleSize val="0"/>
              <c:extLst>
                <c:ext xmlns:c15="http://schemas.microsoft.com/office/drawing/2012/chart" uri="{CE6537A1-D6FC-4f65-9D91-7224C49458BB}">
                  <c15:layout>
                    <c:manualLayout>
                      <c:w val="0.39982804767981067"/>
                      <c:h val="0.1515188735112846"/>
                    </c:manualLayout>
                  </c15:layout>
                </c:ext>
                <c:ext xmlns:c16="http://schemas.microsoft.com/office/drawing/2014/chart" uri="{C3380CC4-5D6E-409C-BE32-E72D297353CC}">
                  <c16:uniqueId val="{0000000A-58B4-4F97-A463-0E918EAF10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Hoja1!$A$2:$A$7</c:f>
              <c:numCache>
                <c:formatCode>General</c:formatCode>
                <c:ptCount val="6"/>
                <c:pt idx="0">
                  <c:v>2017</c:v>
                </c:pt>
                <c:pt idx="1">
                  <c:v>2018</c:v>
                </c:pt>
                <c:pt idx="2">
                  <c:v>2019</c:v>
                </c:pt>
                <c:pt idx="3">
                  <c:v>2020</c:v>
                </c:pt>
                <c:pt idx="4">
                  <c:v>2021</c:v>
                </c:pt>
                <c:pt idx="5">
                  <c:v>2022</c:v>
                </c:pt>
              </c:numCache>
            </c:numRef>
          </c:cat>
          <c:val>
            <c:numRef>
              <c:f>Hoja1!$C$2:$C$7</c:f>
              <c:numCache>
                <c:formatCode>0.0</c:formatCode>
                <c:ptCount val="6"/>
                <c:pt idx="0">
                  <c:v>63.563110272870247</c:v>
                </c:pt>
                <c:pt idx="1">
                  <c:v>63.563110272870247</c:v>
                </c:pt>
                <c:pt idx="2">
                  <c:v>63.563110272870247</c:v>
                </c:pt>
                <c:pt idx="3">
                  <c:v>63.563110272870247</c:v>
                </c:pt>
                <c:pt idx="4">
                  <c:v>63.563110272870247</c:v>
                </c:pt>
              </c:numCache>
            </c:numRef>
          </c:val>
          <c:smooth val="0"/>
          <c:extLst>
            <c:ext xmlns:c16="http://schemas.microsoft.com/office/drawing/2014/chart" uri="{C3380CC4-5D6E-409C-BE32-E72D297353CC}">
              <c16:uniqueId val="{0000000B-58B4-4F97-A463-0E918EAF1089}"/>
            </c:ext>
          </c:extLst>
        </c:ser>
        <c:dLbls>
          <c:showLegendKey val="0"/>
          <c:showVal val="0"/>
          <c:showCatName val="0"/>
          <c:showSerName val="0"/>
          <c:showPercent val="0"/>
          <c:showBubbleSize val="0"/>
        </c:dLbls>
        <c:marker val="1"/>
        <c:smooth val="0"/>
        <c:axId val="660513400"/>
        <c:axId val="660507168"/>
      </c:lineChart>
      <c:catAx>
        <c:axId val="6605134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07168"/>
        <c:crosses val="autoZero"/>
        <c:auto val="1"/>
        <c:lblAlgn val="ctr"/>
        <c:lblOffset val="100"/>
        <c:noMultiLvlLbl val="0"/>
      </c:catAx>
      <c:valAx>
        <c:axId val="660507168"/>
        <c:scaling>
          <c:orientation val="minMax"/>
          <c:max val="68"/>
          <c:min val="49"/>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GT"/>
          </a:p>
        </c:txPr>
        <c:crossAx val="660513400"/>
        <c:crosses val="autoZero"/>
        <c:crossBetween val="between"/>
        <c:majorUnit val="1.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CED5C-42B1-43FD-B0D3-082E804D4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5323</Words>
  <Characters>29277</Characters>
  <Application>Microsoft Office Word</Application>
  <DocSecurity>0</DocSecurity>
  <Lines>243</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Enrique De León Meneses</dc:creator>
  <cp:keywords/>
  <dc:description/>
  <cp:lastModifiedBy>Myriam Adelaida Galvez García</cp:lastModifiedBy>
  <cp:revision>2</cp:revision>
  <cp:lastPrinted>2022-07-08T22:37:00Z</cp:lastPrinted>
  <dcterms:created xsi:type="dcterms:W3CDTF">2022-10-18T16:06:00Z</dcterms:created>
  <dcterms:modified xsi:type="dcterms:W3CDTF">2022-10-18T16:06:00Z</dcterms:modified>
</cp:coreProperties>
</file>