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header5.xml" ContentType="application/vnd.openxmlformats-officedocument.wordprocessingml.header+xml"/>
  <Override PartName="/word/footer5.xml" ContentType="application/vnd.openxmlformats-officedocument.wordprocessingml.footer+xml"/>
  <Override PartName="/word/charts/chart10.xml" ContentType="application/vnd.openxmlformats-officedocument.drawingml.chart+xml"/>
  <Override PartName="/word/theme/themeOverride2.xml" ContentType="application/vnd.openxmlformats-officedocument.themeOverride+xml"/>
  <Override PartName="/word/header6.xml" ContentType="application/vnd.openxmlformats-officedocument.wordprocessingml.header+xml"/>
  <Override PartName="/word/footer6.xml" ContentType="application/vnd.openxmlformats-officedocument.wordprocessingml.footer+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4651" w:rsidRPr="00C45EA9" w:rsidRDefault="00E348DD" w:rsidP="008F312E">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7D4651" w:rsidRPr="00C45EA9" w:rsidSect="00754057">
          <w:headerReference w:type="default" r:id="rId8"/>
          <w:footerReference w:type="default" r:id="rId9"/>
          <w:pgSz w:w="12240" w:h="15840" w:code="1"/>
          <w:pgMar w:top="1418" w:right="1418" w:bottom="1418" w:left="1418" w:header="709" w:footer="709" w:gutter="0"/>
          <w:cols w:space="708"/>
          <w:docGrid w:linePitch="360"/>
        </w:sectPr>
      </w:pPr>
      <w:r w:rsidRPr="00C45EA9">
        <w:rPr>
          <w:rFonts w:ascii="Times New Roman" w:hAnsi="Times New Roman" w:cs="Times New Roman"/>
          <w:b/>
          <w:lang w:val="es-MX"/>
        </w:rPr>
        <w:t xml:space="preserve">En </w:t>
      </w:r>
      <w:r w:rsidR="00BA7AF8" w:rsidRPr="00C45EA9">
        <w:rPr>
          <w:rFonts w:ascii="Times New Roman" w:hAnsi="Times New Roman" w:cs="Times New Roman"/>
          <w:b/>
          <w:lang w:val="es-MX"/>
        </w:rPr>
        <w:t>septiembre</w:t>
      </w:r>
      <w:r w:rsidR="003D7EBA" w:rsidRPr="00C45EA9">
        <w:rPr>
          <w:rFonts w:ascii="Times New Roman" w:hAnsi="Times New Roman" w:cs="Times New Roman"/>
          <w:b/>
          <w:lang w:val="es-MX"/>
        </w:rPr>
        <w:t xml:space="preserve"> </w:t>
      </w:r>
      <w:r w:rsidR="00B44B94" w:rsidRPr="00C45EA9">
        <w:rPr>
          <w:rFonts w:ascii="Times New Roman" w:hAnsi="Times New Roman" w:cs="Times New Roman"/>
          <w:b/>
          <w:lang w:val="es-MX"/>
        </w:rPr>
        <w:t xml:space="preserve">el </w:t>
      </w:r>
      <w:r w:rsidR="007A1B15" w:rsidRPr="00C45EA9">
        <w:rPr>
          <w:rFonts w:ascii="Times New Roman" w:hAnsi="Times New Roman" w:cs="Times New Roman"/>
          <w:b/>
          <w:lang w:val="es-MX"/>
        </w:rPr>
        <w:t>déficit</w:t>
      </w:r>
      <w:r w:rsidR="00E37543" w:rsidRPr="00C45EA9">
        <w:rPr>
          <w:rFonts w:ascii="Times New Roman" w:hAnsi="Times New Roman" w:cs="Times New Roman"/>
          <w:b/>
          <w:lang w:val="es-MX"/>
        </w:rPr>
        <w:t xml:space="preserve"> </w:t>
      </w:r>
      <w:r w:rsidR="004B799B" w:rsidRPr="00C45EA9">
        <w:rPr>
          <w:rFonts w:ascii="Times New Roman" w:hAnsi="Times New Roman" w:cs="Times New Roman"/>
          <w:b/>
          <w:lang w:val="es-MX"/>
        </w:rPr>
        <w:t>fiscal</w:t>
      </w:r>
      <w:r w:rsidR="006E737B" w:rsidRPr="00C45EA9">
        <w:rPr>
          <w:rFonts w:ascii="Times New Roman" w:hAnsi="Times New Roman" w:cs="Times New Roman"/>
          <w:b/>
          <w:lang w:val="es-MX"/>
        </w:rPr>
        <w:t xml:space="preserve"> </w:t>
      </w:r>
      <w:r w:rsidR="00C45EA9" w:rsidRPr="00C45EA9">
        <w:rPr>
          <w:rFonts w:ascii="Times New Roman" w:hAnsi="Times New Roman" w:cs="Times New Roman"/>
          <w:b/>
          <w:lang w:val="es-MX"/>
        </w:rPr>
        <w:t>es de 3.3</w:t>
      </w:r>
      <w:r w:rsidR="000D129D">
        <w:rPr>
          <w:rFonts w:ascii="Times New Roman" w:hAnsi="Times New Roman" w:cs="Times New Roman"/>
          <w:b/>
          <w:lang w:val="es-MX"/>
        </w:rPr>
        <w:t>%</w:t>
      </w:r>
      <w:r w:rsidR="00C45EA9" w:rsidRPr="00C45EA9">
        <w:rPr>
          <w:rFonts w:ascii="Times New Roman" w:hAnsi="Times New Roman" w:cs="Times New Roman"/>
          <w:b/>
          <w:lang w:val="es-MX"/>
        </w:rPr>
        <w:t xml:space="preserve"> del PIB</w:t>
      </w:r>
    </w:p>
    <w:p w:rsidR="007D4651" w:rsidRPr="00582EE2" w:rsidRDefault="007D4651" w:rsidP="007D4651">
      <w:pPr>
        <w:pStyle w:val="Sinespaciado"/>
        <w:rPr>
          <w:rFonts w:ascii="Times New Roman" w:hAnsi="Times New Roman" w:cs="Times New Roman"/>
          <w:b/>
          <w:color w:val="FF0000"/>
          <w:sz w:val="6"/>
          <w:lang w:val="es-MX"/>
        </w:rPr>
      </w:pPr>
    </w:p>
    <w:p w:rsidR="007D4651" w:rsidRPr="00582EE2" w:rsidRDefault="007D4651" w:rsidP="007D4651">
      <w:pPr>
        <w:pStyle w:val="Sinespaciado"/>
        <w:jc w:val="center"/>
        <w:rPr>
          <w:rFonts w:ascii="Times New Roman" w:hAnsi="Times New Roman" w:cs="Times New Roman"/>
          <w:b/>
          <w:color w:val="FF0000"/>
          <w:sz w:val="16"/>
          <w:lang w:val="es-MX"/>
        </w:rPr>
      </w:pPr>
    </w:p>
    <w:p w:rsidR="009C4027" w:rsidRPr="00582EE2" w:rsidRDefault="009C4027" w:rsidP="007D4651">
      <w:pPr>
        <w:pStyle w:val="Sinespaciado"/>
        <w:jc w:val="center"/>
        <w:rPr>
          <w:rFonts w:ascii="Times New Roman" w:hAnsi="Times New Roman" w:cs="Times New Roman"/>
          <w:b/>
          <w:color w:val="FF0000"/>
          <w:lang w:val="es-MX"/>
        </w:rPr>
        <w:sectPr w:rsidR="009C4027" w:rsidRPr="00582EE2" w:rsidSect="004E358C">
          <w:type w:val="continuous"/>
          <w:pgSz w:w="12240" w:h="15840"/>
          <w:pgMar w:top="1417" w:right="1701" w:bottom="1417" w:left="1701" w:header="708" w:footer="708" w:gutter="0"/>
          <w:cols w:space="708"/>
          <w:docGrid w:linePitch="360"/>
        </w:sectPr>
      </w:pPr>
    </w:p>
    <w:p w:rsidR="00BA7AF8" w:rsidRPr="00C45EA9" w:rsidRDefault="00BA7AF8" w:rsidP="00BA7AF8">
      <w:pPr>
        <w:pStyle w:val="Sinespaciado"/>
        <w:ind w:left="284"/>
        <w:jc w:val="both"/>
        <w:rPr>
          <w:rFonts w:ascii="Times New Roman" w:hAnsi="Times New Roman" w:cs="Times New Roman"/>
          <w:lang w:val="es-US"/>
        </w:rPr>
      </w:pPr>
      <w:r w:rsidRPr="00C45EA9">
        <w:rPr>
          <w:rFonts w:ascii="Times New Roman" w:hAnsi="Times New Roman" w:cs="Times New Roman"/>
          <w:lang w:val="es-US"/>
        </w:rPr>
        <w:lastRenderedPageBreak/>
        <w:t xml:space="preserve">El resultado presupuestario del gobierno </w:t>
      </w:r>
      <w:r w:rsidR="00C45EA9" w:rsidRPr="00C45EA9">
        <w:rPr>
          <w:rFonts w:ascii="Times New Roman" w:hAnsi="Times New Roman" w:cs="Times New Roman"/>
          <w:lang w:val="es-US"/>
        </w:rPr>
        <w:t>central muestra</w:t>
      </w:r>
      <w:r w:rsidRPr="00C45EA9">
        <w:rPr>
          <w:rFonts w:ascii="Times New Roman" w:hAnsi="Times New Roman" w:cs="Times New Roman"/>
          <w:lang w:val="es-US"/>
        </w:rPr>
        <w:t xml:space="preserve"> un déficit fiscal que se sitúa al 30 </w:t>
      </w:r>
      <w:r w:rsidR="00C45EA9" w:rsidRPr="00C45EA9">
        <w:rPr>
          <w:rFonts w:ascii="Times New Roman" w:hAnsi="Times New Roman" w:cs="Times New Roman"/>
          <w:lang w:val="es-US"/>
        </w:rPr>
        <w:t>de septiembre de 2020 en Q19,471.3</w:t>
      </w:r>
      <w:r w:rsidRPr="00C45EA9">
        <w:rPr>
          <w:rFonts w:ascii="Times New Roman" w:hAnsi="Times New Roman" w:cs="Times New Roman"/>
          <w:lang w:val="es-US"/>
        </w:rPr>
        <w:t xml:space="preserve"> </w:t>
      </w:r>
      <w:r w:rsidR="00C45EA9" w:rsidRPr="00C45EA9">
        <w:rPr>
          <w:rFonts w:ascii="Times New Roman" w:hAnsi="Times New Roman" w:cs="Times New Roman"/>
          <w:lang w:val="es-US"/>
        </w:rPr>
        <w:t>millones, correspondiente al 3.3</w:t>
      </w:r>
      <w:r w:rsidRPr="00C45EA9">
        <w:rPr>
          <w:rFonts w:ascii="Times New Roman" w:hAnsi="Times New Roman" w:cs="Times New Roman"/>
          <w:lang w:val="es-US"/>
        </w:rPr>
        <w:t xml:space="preserve">% del PIB. Este déficit fiscal es significativamente mayor al reportado en la misma fecha en años anteriores, en 2019 el déficit se ubicaba en 1.3%. </w:t>
      </w:r>
    </w:p>
    <w:p w:rsidR="00BA7AF8" w:rsidRPr="00C45EA9" w:rsidRDefault="00BA7AF8" w:rsidP="00BA7AF8">
      <w:pPr>
        <w:pStyle w:val="Sinespaciado"/>
        <w:ind w:left="284"/>
        <w:jc w:val="both"/>
        <w:rPr>
          <w:rFonts w:ascii="Times New Roman" w:hAnsi="Times New Roman" w:cs="Times New Roman"/>
          <w:lang w:val="es-US"/>
        </w:rPr>
      </w:pPr>
    </w:p>
    <w:p w:rsidR="00BA7AF8" w:rsidRPr="00C45EA9" w:rsidRDefault="00BA7AF8" w:rsidP="00BA7AF8">
      <w:pPr>
        <w:pStyle w:val="Sinespaciado"/>
        <w:ind w:left="284"/>
        <w:jc w:val="both"/>
        <w:rPr>
          <w:rFonts w:ascii="Times New Roman" w:hAnsi="Times New Roman" w:cs="Times New Roman"/>
          <w:lang w:val="es-US"/>
        </w:rPr>
      </w:pPr>
      <w:r w:rsidRPr="00C45EA9">
        <w:rPr>
          <w:rFonts w:ascii="Times New Roman" w:hAnsi="Times New Roman" w:cs="Times New Roman"/>
          <w:lang w:val="es-US"/>
        </w:rPr>
        <w:t>El amplio déficit fiscal se explica por la dinámica entre los ingresos y los gastos, en septiembre la brecha de la recaudación respecto a la meta d</w:t>
      </w:r>
      <w:r w:rsidR="00C45EA9" w:rsidRPr="00C45EA9">
        <w:rPr>
          <w:rFonts w:ascii="Times New Roman" w:hAnsi="Times New Roman" w:cs="Times New Roman"/>
          <w:lang w:val="es-US"/>
        </w:rPr>
        <w:t>el presupuesto se amplió en Q173.7</w:t>
      </w:r>
      <w:r w:rsidRPr="00C45EA9">
        <w:rPr>
          <w:rFonts w:ascii="Times New Roman" w:hAnsi="Times New Roman" w:cs="Times New Roman"/>
          <w:lang w:val="es-US"/>
        </w:rPr>
        <w:t xml:space="preserve"> millones y el gasto público reportó el mayor dinamismo del año al crecer 14.4% (incluyendo amortizaciones de deuda), </w:t>
      </w:r>
      <w:r w:rsidRPr="00C45EA9">
        <w:rPr>
          <w:rFonts w:ascii="Times New Roman" w:hAnsi="Times New Roman" w:cs="Times New Roman"/>
          <w:lang w:val="es-US"/>
        </w:rPr>
        <w:lastRenderedPageBreak/>
        <w:t xml:space="preserve">superando por primera vez en el año al observado en 2019. De esa cuenta, el déficit fiscal continuará creciendo en el último trimestre del año. </w:t>
      </w:r>
    </w:p>
    <w:p w:rsidR="00BA7AF8" w:rsidRPr="00C45EA9" w:rsidRDefault="00BA7AF8" w:rsidP="00BA7AF8">
      <w:pPr>
        <w:pStyle w:val="Sinespaciado"/>
        <w:ind w:left="284"/>
        <w:jc w:val="both"/>
        <w:rPr>
          <w:rFonts w:ascii="Times New Roman" w:hAnsi="Times New Roman" w:cs="Times New Roman"/>
          <w:lang w:val="es-US"/>
        </w:rPr>
      </w:pPr>
    </w:p>
    <w:p w:rsidR="00B44B94" w:rsidRPr="00C45EA9" w:rsidRDefault="00BA7AF8" w:rsidP="00BA7AF8">
      <w:pPr>
        <w:pStyle w:val="Sinespaciado"/>
        <w:ind w:left="284"/>
        <w:jc w:val="both"/>
        <w:rPr>
          <w:rFonts w:ascii="Times New Roman" w:hAnsi="Times New Roman" w:cs="Times New Roman"/>
          <w:lang w:val="es-US"/>
        </w:rPr>
      </w:pPr>
      <w:r w:rsidRPr="00C45EA9">
        <w:rPr>
          <w:rFonts w:ascii="Times New Roman" w:hAnsi="Times New Roman" w:cs="Times New Roman"/>
          <w:lang w:val="es-US"/>
        </w:rPr>
        <w:t>Durante el mes de septiembre, el gasto destinado a las intervenciones realizadas para el seguimiento de programas sociales y e</w:t>
      </w:r>
      <w:r w:rsidR="00C45EA9" w:rsidRPr="00C45EA9">
        <w:rPr>
          <w:rFonts w:ascii="Times New Roman" w:hAnsi="Times New Roman" w:cs="Times New Roman"/>
          <w:lang w:val="es-US"/>
        </w:rPr>
        <w:t>conómicos del COVID-19, continu</w:t>
      </w:r>
      <w:r w:rsidR="003B4C6F">
        <w:rPr>
          <w:rFonts w:ascii="Times New Roman" w:hAnsi="Times New Roman" w:cs="Times New Roman"/>
          <w:lang w:val="es-US"/>
        </w:rPr>
        <w:t>ó</w:t>
      </w:r>
      <w:r w:rsidRPr="00C45EA9">
        <w:rPr>
          <w:rFonts w:ascii="Times New Roman" w:hAnsi="Times New Roman" w:cs="Times New Roman"/>
          <w:lang w:val="es-US"/>
        </w:rPr>
        <w:t xml:space="preserve"> con el mismo dinamismo mostrado en agosto, siendo septiembre el mes con la mayor ejecución desde que iniciaron las intervenciones. El gasto destinado a la atención de la emergencia representa una parte importante del gasto público total, siendo del 14.6%.</w:t>
      </w:r>
    </w:p>
    <w:p w:rsidR="006E737B" w:rsidRPr="00582EE2" w:rsidRDefault="006E737B" w:rsidP="007A1B15">
      <w:pPr>
        <w:pStyle w:val="Sinespaciado"/>
        <w:rPr>
          <w:rFonts w:ascii="Times New Roman" w:hAnsi="Times New Roman" w:cs="Times New Roman"/>
          <w:b/>
          <w:color w:val="FF0000"/>
          <w:sz w:val="24"/>
          <w:lang w:val="es-MX"/>
        </w:rPr>
        <w:sectPr w:rsidR="006E737B" w:rsidRPr="00582EE2" w:rsidSect="006E737B">
          <w:type w:val="continuous"/>
          <w:pgSz w:w="12240" w:h="15840" w:code="1"/>
          <w:pgMar w:top="1418" w:right="1418" w:bottom="1418" w:left="1418" w:header="709" w:footer="709" w:gutter="0"/>
          <w:cols w:num="2" w:space="708"/>
          <w:docGrid w:linePitch="360"/>
        </w:sectPr>
      </w:pPr>
    </w:p>
    <w:p w:rsidR="00634664" w:rsidRPr="00582EE2" w:rsidRDefault="00634664" w:rsidP="007A1B15">
      <w:pPr>
        <w:pStyle w:val="Sinespaciado"/>
        <w:rPr>
          <w:rFonts w:ascii="Times New Roman" w:hAnsi="Times New Roman" w:cs="Times New Roman"/>
          <w:b/>
          <w:color w:val="FF0000"/>
          <w:sz w:val="24"/>
          <w:lang w:val="es-MX"/>
        </w:rPr>
      </w:pPr>
    </w:p>
    <w:p w:rsidR="006F5EA0" w:rsidRPr="00BB3901" w:rsidRDefault="00950874" w:rsidP="006F5EA0">
      <w:pPr>
        <w:pStyle w:val="Sinespaciado"/>
        <w:jc w:val="center"/>
        <w:rPr>
          <w:rFonts w:ascii="Times New Roman" w:hAnsi="Times New Roman" w:cs="Times New Roman"/>
          <w:b/>
          <w:sz w:val="24"/>
          <w:lang w:val="es-MX"/>
        </w:rPr>
      </w:pPr>
      <w:r w:rsidRPr="00BB3901">
        <w:rPr>
          <w:rFonts w:ascii="Times New Roman" w:hAnsi="Times New Roman" w:cs="Times New Roman"/>
          <w:b/>
          <w:sz w:val="24"/>
          <w:lang w:val="es-MX"/>
        </w:rPr>
        <w:t>Resultado Presupuestario</w:t>
      </w:r>
    </w:p>
    <w:p w:rsidR="00950874" w:rsidRPr="00BB3901" w:rsidRDefault="006F5EA0" w:rsidP="006F5EA0">
      <w:pPr>
        <w:pStyle w:val="Sinespaciado"/>
        <w:jc w:val="center"/>
        <w:rPr>
          <w:rFonts w:ascii="Times New Roman" w:hAnsi="Times New Roman" w:cs="Times New Roman"/>
          <w:sz w:val="18"/>
          <w:lang w:val="es-MX"/>
        </w:rPr>
      </w:pPr>
      <w:r w:rsidRPr="00BB3901">
        <w:rPr>
          <w:rFonts w:ascii="Times New Roman" w:hAnsi="Times New Roman" w:cs="Times New Roman"/>
          <w:sz w:val="20"/>
          <w:lang w:val="es-MX"/>
        </w:rPr>
        <w:t xml:space="preserve">       </w:t>
      </w:r>
      <w:r w:rsidR="00BA7AF8" w:rsidRPr="00BB3901">
        <w:rPr>
          <w:rFonts w:ascii="Times New Roman" w:hAnsi="Times New Roman" w:cs="Times New Roman"/>
          <w:sz w:val="20"/>
          <w:lang w:val="es-MX"/>
        </w:rPr>
        <w:t>Al 30</w:t>
      </w:r>
      <w:r w:rsidRPr="00BB3901">
        <w:rPr>
          <w:rFonts w:ascii="Times New Roman" w:hAnsi="Times New Roman" w:cs="Times New Roman"/>
          <w:sz w:val="20"/>
          <w:lang w:val="es-MX"/>
        </w:rPr>
        <w:t xml:space="preserve"> de </w:t>
      </w:r>
      <w:r w:rsidR="00BA7AF8" w:rsidRPr="00BB3901">
        <w:rPr>
          <w:rFonts w:ascii="Times New Roman" w:hAnsi="Times New Roman" w:cs="Times New Roman"/>
          <w:sz w:val="20"/>
          <w:lang w:val="es-MX"/>
        </w:rPr>
        <w:t>septiembre</w:t>
      </w:r>
      <w:r w:rsidRPr="00BB3901">
        <w:rPr>
          <w:rFonts w:ascii="Times New Roman" w:hAnsi="Times New Roman" w:cs="Times New Roman"/>
          <w:sz w:val="20"/>
          <w:lang w:val="es-MX"/>
        </w:rPr>
        <w:t xml:space="preserve"> de cada año</w:t>
      </w:r>
      <w:r w:rsidR="00F27024" w:rsidRPr="00BB3901">
        <w:rPr>
          <w:rFonts w:ascii="Times New Roman" w:hAnsi="Times New Roman" w:cs="Times New Roman"/>
          <w:b/>
          <w:lang w:val="es-MX"/>
        </w:rPr>
        <w:tab/>
      </w:r>
    </w:p>
    <w:p w:rsidR="00E06484" w:rsidRPr="00BB3901" w:rsidRDefault="00950874" w:rsidP="00E06484">
      <w:pPr>
        <w:pStyle w:val="Sinespaciado"/>
        <w:jc w:val="center"/>
        <w:rPr>
          <w:rFonts w:ascii="Times New Roman" w:hAnsi="Times New Roman" w:cs="Times New Roman"/>
          <w:sz w:val="18"/>
          <w:lang w:val="es-MX"/>
        </w:rPr>
      </w:pPr>
      <w:r w:rsidRPr="00BB3901">
        <w:rPr>
          <w:rFonts w:ascii="Times New Roman" w:hAnsi="Times New Roman" w:cs="Times New Roman"/>
          <w:sz w:val="18"/>
          <w:lang w:val="es-MX"/>
        </w:rPr>
        <w:t>Millones de quetzales</w:t>
      </w:r>
    </w:p>
    <w:p w:rsidR="005C4C97" w:rsidRPr="00BB3901" w:rsidRDefault="00BB3901" w:rsidP="005F470C">
      <w:pPr>
        <w:pStyle w:val="Sinespaciado"/>
        <w:jc w:val="center"/>
        <w:rPr>
          <w:noProof/>
          <w:lang w:eastAsia="es-GT"/>
        </w:rPr>
      </w:pPr>
      <w:r w:rsidRPr="00BB3901">
        <w:rPr>
          <w:noProof/>
          <w:lang w:eastAsia="es-GT"/>
        </w:rPr>
        <w:drawing>
          <wp:inline distT="0" distB="0" distL="0" distR="0" wp14:anchorId="2DD2064A" wp14:editId="6D482217">
            <wp:extent cx="5905500" cy="2962275"/>
            <wp:effectExtent l="0" t="0" r="0" b="0"/>
            <wp:docPr id="9" name="Chart 9">
              <a:extLst xmlns:a="http://schemas.openxmlformats.org/drawingml/2006/main">
                <a:ext uri="{FF2B5EF4-FFF2-40B4-BE49-F238E27FC236}">
                  <a16:creationId xmlns:a16="http://schemas.microsoft.com/office/drawing/2014/main" id="{00000000-0008-0000-0D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C4C97" w:rsidRPr="00BB3901" w:rsidRDefault="007F443F" w:rsidP="006E737B">
      <w:pPr>
        <w:pStyle w:val="Sinespaciado"/>
        <w:ind w:left="708"/>
        <w:jc w:val="both"/>
        <w:rPr>
          <w:rFonts w:ascii="Times New Roman" w:hAnsi="Times New Roman" w:cs="Times New Roman"/>
          <w:sz w:val="16"/>
        </w:rPr>
      </w:pPr>
      <w:r w:rsidRPr="00BB3901">
        <w:rPr>
          <w:rFonts w:ascii="Times New Roman" w:hAnsi="Times New Roman" w:cs="Times New Roman"/>
          <w:sz w:val="16"/>
        </w:rPr>
        <w:t xml:space="preserve">          </w:t>
      </w:r>
      <w:r w:rsidR="00157C3A" w:rsidRPr="00BB3901">
        <w:rPr>
          <w:rFonts w:ascii="Times New Roman" w:hAnsi="Times New Roman" w:cs="Times New Roman"/>
          <w:sz w:val="16"/>
        </w:rPr>
        <w:t>F</w:t>
      </w:r>
      <w:r w:rsidR="007D4651" w:rsidRPr="00BB3901">
        <w:rPr>
          <w:rFonts w:ascii="Times New Roman" w:hAnsi="Times New Roman" w:cs="Times New Roman"/>
          <w:sz w:val="16"/>
        </w:rPr>
        <w:t>uente: Dirección de Análisis y Política fiscal</w:t>
      </w:r>
    </w:p>
    <w:p w:rsidR="001375B9" w:rsidRPr="00582EE2" w:rsidRDefault="001375B9" w:rsidP="007D4651">
      <w:pPr>
        <w:spacing w:after="0" w:line="240" w:lineRule="auto"/>
        <w:rPr>
          <w:rFonts w:ascii="Times New Roman" w:hAnsi="Times New Roman" w:cs="Times New Roman"/>
          <w:color w:val="FF0000"/>
          <w:sz w:val="8"/>
          <w:lang w:val="es-MX"/>
        </w:rPr>
      </w:pPr>
    </w:p>
    <w:p w:rsidR="009C2275" w:rsidRPr="00582EE2" w:rsidRDefault="009C2275" w:rsidP="007D4651">
      <w:pPr>
        <w:spacing w:after="0" w:line="240" w:lineRule="auto"/>
        <w:rPr>
          <w:rFonts w:ascii="Times New Roman" w:hAnsi="Times New Roman" w:cs="Times New Roman"/>
          <w:color w:val="FF0000"/>
          <w:sz w:val="8"/>
          <w:lang w:val="es-MX"/>
        </w:rPr>
      </w:pPr>
    </w:p>
    <w:p w:rsidR="009C2275" w:rsidRPr="00582EE2" w:rsidRDefault="009C2275" w:rsidP="007D4651">
      <w:pPr>
        <w:spacing w:after="0" w:line="240" w:lineRule="auto"/>
        <w:rPr>
          <w:rFonts w:ascii="Times New Roman" w:hAnsi="Times New Roman" w:cs="Times New Roman"/>
          <w:color w:val="FF0000"/>
          <w:sz w:val="8"/>
          <w:lang w:val="es-MX"/>
        </w:rPr>
      </w:pPr>
    </w:p>
    <w:p w:rsidR="009C2275" w:rsidRPr="00582EE2" w:rsidRDefault="009C2275" w:rsidP="007D4651">
      <w:pPr>
        <w:spacing w:after="0" w:line="240" w:lineRule="auto"/>
        <w:rPr>
          <w:rFonts w:ascii="Times New Roman" w:hAnsi="Times New Roman" w:cs="Times New Roman"/>
          <w:color w:val="FF0000"/>
          <w:sz w:val="8"/>
          <w:lang w:val="es-MX"/>
        </w:rPr>
      </w:pPr>
    </w:p>
    <w:p w:rsidR="009C2275" w:rsidRPr="00582EE2" w:rsidRDefault="009C2275" w:rsidP="007D4651">
      <w:pPr>
        <w:spacing w:after="0" w:line="240" w:lineRule="auto"/>
        <w:rPr>
          <w:rFonts w:ascii="Times New Roman" w:hAnsi="Times New Roman" w:cs="Times New Roman"/>
          <w:color w:val="FF0000"/>
          <w:sz w:val="8"/>
          <w:lang w:val="es-MX"/>
        </w:rPr>
      </w:pPr>
    </w:p>
    <w:p w:rsidR="009C2275" w:rsidRPr="00582EE2" w:rsidRDefault="009C2275" w:rsidP="007D4651">
      <w:pPr>
        <w:spacing w:after="0" w:line="240" w:lineRule="auto"/>
        <w:rPr>
          <w:rFonts w:ascii="Times New Roman" w:hAnsi="Times New Roman" w:cs="Times New Roman"/>
          <w:color w:val="FF0000"/>
          <w:sz w:val="8"/>
          <w:lang w:val="es-MX"/>
        </w:rPr>
      </w:pPr>
    </w:p>
    <w:p w:rsidR="009C2275" w:rsidRPr="00582EE2" w:rsidRDefault="009C2275" w:rsidP="007D4651">
      <w:pPr>
        <w:spacing w:after="0" w:line="240" w:lineRule="auto"/>
        <w:rPr>
          <w:rFonts w:ascii="Times New Roman" w:hAnsi="Times New Roman" w:cs="Times New Roman"/>
          <w:color w:val="FF0000"/>
          <w:sz w:val="8"/>
          <w:lang w:val="es-MX"/>
        </w:rPr>
      </w:pPr>
    </w:p>
    <w:p w:rsidR="00785996" w:rsidRPr="00582EE2" w:rsidRDefault="00785996" w:rsidP="007D4651">
      <w:pPr>
        <w:spacing w:after="0" w:line="240" w:lineRule="auto"/>
        <w:rPr>
          <w:rFonts w:ascii="Times New Roman" w:hAnsi="Times New Roman" w:cs="Times New Roman"/>
          <w:color w:val="FF0000"/>
          <w:sz w:val="8"/>
          <w:lang w:val="es-MX"/>
        </w:rPr>
      </w:pPr>
    </w:p>
    <w:p w:rsidR="00785996" w:rsidRPr="00582EE2" w:rsidRDefault="00785996" w:rsidP="007D4651">
      <w:pPr>
        <w:spacing w:after="0" w:line="240" w:lineRule="auto"/>
        <w:rPr>
          <w:rFonts w:ascii="Times New Roman" w:hAnsi="Times New Roman" w:cs="Times New Roman"/>
          <w:color w:val="FF0000"/>
          <w:sz w:val="8"/>
          <w:lang w:val="es-MX"/>
        </w:rPr>
      </w:pPr>
    </w:p>
    <w:p w:rsidR="009C2275" w:rsidRPr="00582EE2" w:rsidRDefault="009C2275" w:rsidP="007D4651">
      <w:pPr>
        <w:spacing w:after="0" w:line="240" w:lineRule="auto"/>
        <w:rPr>
          <w:rFonts w:ascii="Times New Roman" w:hAnsi="Times New Roman" w:cs="Times New Roman"/>
          <w:color w:val="FF0000"/>
          <w:sz w:val="8"/>
          <w:lang w:val="es-MX"/>
        </w:rPr>
      </w:pPr>
    </w:p>
    <w:p w:rsidR="009C2275" w:rsidRPr="00582EE2" w:rsidRDefault="009C2275" w:rsidP="007D4651">
      <w:pPr>
        <w:spacing w:after="0" w:line="240" w:lineRule="auto"/>
        <w:rPr>
          <w:rFonts w:ascii="Times New Roman" w:hAnsi="Times New Roman" w:cs="Times New Roman"/>
          <w:color w:val="FF0000"/>
          <w:sz w:val="8"/>
          <w:lang w:val="es-MX"/>
        </w:rPr>
        <w:sectPr w:rsidR="009C2275" w:rsidRPr="00582EE2" w:rsidSect="007D4651">
          <w:type w:val="continuous"/>
          <w:pgSz w:w="12240" w:h="15840" w:code="1"/>
          <w:pgMar w:top="1418" w:right="1418" w:bottom="1418" w:left="1418" w:header="709" w:footer="709" w:gutter="0"/>
          <w:cols w:space="708"/>
          <w:docGrid w:linePitch="360"/>
        </w:sectPr>
      </w:pPr>
    </w:p>
    <w:p w:rsidR="00E16925" w:rsidRPr="00F05CF7" w:rsidRDefault="00785996" w:rsidP="0085741B">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E16925" w:rsidRPr="00F05CF7" w:rsidSect="00E16925">
          <w:headerReference w:type="default" r:id="rId11"/>
          <w:footerReference w:type="default" r:id="rId12"/>
          <w:type w:val="continuous"/>
          <w:pgSz w:w="12240" w:h="15840" w:code="1"/>
          <w:pgMar w:top="1418" w:right="1418" w:bottom="1418" w:left="1418" w:header="709" w:footer="709" w:gutter="0"/>
          <w:cols w:space="708"/>
          <w:docGrid w:linePitch="360"/>
        </w:sectPr>
      </w:pPr>
      <w:r w:rsidRPr="00F05CF7">
        <w:rPr>
          <w:rFonts w:ascii="Times New Roman" w:hAnsi="Times New Roman" w:cs="Times New Roman"/>
          <w:b/>
          <w:lang w:val="es-MX"/>
        </w:rPr>
        <w:lastRenderedPageBreak/>
        <w:t xml:space="preserve">La recaudación de septiembre da signos de recuperación en algunos impuestos </w:t>
      </w:r>
    </w:p>
    <w:p w:rsidR="00E16925" w:rsidRPr="00582EE2" w:rsidRDefault="00E16925" w:rsidP="00E16925">
      <w:pPr>
        <w:pStyle w:val="Sinespaciado"/>
        <w:rPr>
          <w:rFonts w:ascii="Times New Roman" w:hAnsi="Times New Roman" w:cs="Times New Roman"/>
          <w:b/>
          <w:color w:val="FF0000"/>
          <w:sz w:val="8"/>
          <w:lang w:val="es-MX"/>
        </w:rPr>
      </w:pPr>
    </w:p>
    <w:p w:rsidR="00E16925" w:rsidRPr="00582EE2" w:rsidRDefault="00E16925" w:rsidP="00E16925">
      <w:pPr>
        <w:pStyle w:val="Sinespaciado"/>
        <w:jc w:val="center"/>
        <w:rPr>
          <w:rFonts w:ascii="Times New Roman" w:hAnsi="Times New Roman" w:cs="Times New Roman"/>
          <w:b/>
          <w:color w:val="FF0000"/>
          <w:sz w:val="14"/>
          <w:lang w:val="es-MX"/>
        </w:rPr>
      </w:pPr>
    </w:p>
    <w:p w:rsidR="00343A5D" w:rsidRPr="00582EE2" w:rsidRDefault="00343A5D" w:rsidP="00F25E21">
      <w:pPr>
        <w:pStyle w:val="Sinespaciado"/>
        <w:rPr>
          <w:rFonts w:ascii="Times New Roman" w:hAnsi="Times New Roman" w:cs="Times New Roman"/>
          <w:b/>
          <w:color w:val="FF0000"/>
          <w:sz w:val="20"/>
          <w:lang w:val="es-MX"/>
        </w:rPr>
        <w:sectPr w:rsidR="00343A5D" w:rsidRPr="00582EE2" w:rsidSect="004E358C">
          <w:type w:val="continuous"/>
          <w:pgSz w:w="12240" w:h="15840"/>
          <w:pgMar w:top="1417" w:right="1701" w:bottom="1417" w:left="1701" w:header="708" w:footer="708" w:gutter="0"/>
          <w:cols w:space="708"/>
          <w:docGrid w:linePitch="360"/>
        </w:sectPr>
      </w:pPr>
    </w:p>
    <w:p w:rsidR="001F4598" w:rsidRPr="00582EE2" w:rsidRDefault="00132509" w:rsidP="00785996">
      <w:pPr>
        <w:spacing w:after="0" w:line="240" w:lineRule="auto"/>
        <w:jc w:val="both"/>
        <w:rPr>
          <w:rFonts w:ascii="Times New Roman" w:hAnsi="Times New Roman" w:cs="Times New Roman"/>
          <w:color w:val="FF0000"/>
          <w:lang w:val="es-US"/>
        </w:rPr>
      </w:pPr>
      <w:r>
        <w:rPr>
          <w:rFonts w:ascii="Times New Roman" w:hAnsi="Times New Roman" w:cs="Times New Roman"/>
          <w:lang w:val="es-US"/>
        </w:rPr>
        <w:lastRenderedPageBreak/>
        <w:t>Luego de la rea</w:t>
      </w:r>
      <w:r w:rsidR="00317F54">
        <w:rPr>
          <w:rFonts w:ascii="Times New Roman" w:hAnsi="Times New Roman" w:cs="Times New Roman"/>
          <w:lang w:val="es-US"/>
        </w:rPr>
        <w:t>pertura gradual de la economía n</w:t>
      </w:r>
      <w:r>
        <w:rPr>
          <w:rFonts w:ascii="Times New Roman" w:hAnsi="Times New Roman" w:cs="Times New Roman"/>
          <w:lang w:val="es-US"/>
        </w:rPr>
        <w:t>acional</w:t>
      </w:r>
      <w:r w:rsidR="003B4C6F">
        <w:rPr>
          <w:rFonts w:ascii="Times New Roman" w:hAnsi="Times New Roman" w:cs="Times New Roman"/>
          <w:lang w:val="es-US"/>
        </w:rPr>
        <w:t>,</w:t>
      </w:r>
      <w:r>
        <w:rPr>
          <w:rFonts w:ascii="Times New Roman" w:hAnsi="Times New Roman" w:cs="Times New Roman"/>
          <w:lang w:val="es-US"/>
        </w:rPr>
        <w:t xml:space="preserve"> se empiezan a observar signos de mejoría en la recaudación tributaria medida respecto a lo observado en 2019, datos preliminares de cierre de septiembre dan cuenta de una brecha negativa de Q9.4 millones, impuestos que superaron lo observado el año anterior son el impuesto de solidaridad -ISO-, el impuesto al valor agregado asociado al consumo interno, impuesto a los derivados del petróleo.</w:t>
      </w:r>
    </w:p>
    <w:p w:rsidR="007C66BE" w:rsidRPr="00582EE2" w:rsidRDefault="007C66BE" w:rsidP="007C66BE">
      <w:pPr>
        <w:spacing w:after="0" w:line="240" w:lineRule="auto"/>
        <w:jc w:val="both"/>
        <w:rPr>
          <w:rFonts w:ascii="Times New Roman" w:hAnsi="Times New Roman" w:cs="Times New Roman"/>
          <w:color w:val="FF0000"/>
        </w:rPr>
      </w:pPr>
    </w:p>
    <w:p w:rsidR="001F4598" w:rsidRPr="00132509" w:rsidRDefault="00785996" w:rsidP="001F4598">
      <w:pPr>
        <w:spacing w:after="0" w:line="240" w:lineRule="auto"/>
        <w:jc w:val="center"/>
        <w:rPr>
          <w:rFonts w:ascii="Times New Roman" w:eastAsiaTheme="minorEastAsia" w:hAnsi="Times New Roman" w:cs="Times New Roman"/>
          <w:b/>
          <w:szCs w:val="24"/>
          <w:lang w:val="es-MX" w:eastAsia="es-ES"/>
        </w:rPr>
      </w:pPr>
      <w:r w:rsidRPr="00132509">
        <w:rPr>
          <w:rFonts w:ascii="Times New Roman" w:eastAsiaTheme="minorEastAsia" w:hAnsi="Times New Roman" w:cs="Times New Roman"/>
          <w:b/>
          <w:lang w:val="es-MX" w:eastAsia="es-ES"/>
        </w:rPr>
        <w:t>Brecha mensual de</w:t>
      </w:r>
      <w:r w:rsidR="001F4598" w:rsidRPr="00132509">
        <w:rPr>
          <w:rFonts w:ascii="Times New Roman" w:eastAsiaTheme="minorEastAsia" w:hAnsi="Times New Roman" w:cs="Times New Roman"/>
          <w:b/>
          <w:lang w:val="es-MX" w:eastAsia="es-ES"/>
        </w:rPr>
        <w:t xml:space="preserve"> recaudación tributaria</w:t>
      </w:r>
      <w:r w:rsidR="00132509" w:rsidRPr="00132509">
        <w:rPr>
          <w:rFonts w:ascii="Times New Roman" w:eastAsiaTheme="minorEastAsia" w:hAnsi="Times New Roman" w:cs="Times New Roman"/>
          <w:b/>
          <w:lang w:val="es-MX" w:eastAsia="es-ES"/>
        </w:rPr>
        <w:t xml:space="preserve"> respeto a 2019</w:t>
      </w:r>
      <w:r w:rsidR="001F4598" w:rsidRPr="00132509">
        <w:rPr>
          <w:rFonts w:ascii="Times New Roman" w:eastAsiaTheme="minorEastAsia" w:hAnsi="Times New Roman" w:cs="Times New Roman"/>
          <w:b/>
          <w:lang w:val="es-MX" w:eastAsia="es-ES"/>
        </w:rPr>
        <w:t xml:space="preserve"> </w:t>
      </w:r>
    </w:p>
    <w:p w:rsidR="009907A9" w:rsidRPr="00132509" w:rsidRDefault="00132509" w:rsidP="009907A9">
      <w:pPr>
        <w:spacing w:after="0" w:line="240" w:lineRule="auto"/>
        <w:jc w:val="center"/>
        <w:rPr>
          <w:rFonts w:ascii="Times New Roman" w:eastAsiaTheme="minorEastAsia" w:hAnsi="Times New Roman" w:cs="Times New Roman"/>
          <w:sz w:val="20"/>
          <w:szCs w:val="24"/>
          <w:lang w:val="es-MX" w:eastAsia="es-ES"/>
        </w:rPr>
      </w:pPr>
      <w:r w:rsidRPr="00132509">
        <w:rPr>
          <w:rFonts w:ascii="Times New Roman" w:eastAsiaTheme="minorEastAsia" w:hAnsi="Times New Roman" w:cs="Times New Roman"/>
          <w:sz w:val="20"/>
          <w:szCs w:val="24"/>
          <w:lang w:val="es-MX" w:eastAsia="es-ES"/>
        </w:rPr>
        <w:t>E</w:t>
      </w:r>
      <w:r w:rsidR="00785996" w:rsidRPr="00132509">
        <w:rPr>
          <w:rFonts w:ascii="Times New Roman" w:eastAsiaTheme="minorEastAsia" w:hAnsi="Times New Roman" w:cs="Times New Roman"/>
          <w:sz w:val="20"/>
          <w:szCs w:val="24"/>
          <w:lang w:val="es-MX" w:eastAsia="es-ES"/>
        </w:rPr>
        <w:t>n millones de quetzales</w:t>
      </w:r>
    </w:p>
    <w:p w:rsidR="00E62867" w:rsidRPr="00132509" w:rsidRDefault="00132509" w:rsidP="00E62867">
      <w:pPr>
        <w:spacing w:after="0" w:line="240" w:lineRule="auto"/>
        <w:jc w:val="both"/>
        <w:rPr>
          <w:rFonts w:ascii="Times New Roman" w:hAnsi="Times New Roman" w:cs="Times New Roman"/>
          <w:lang w:val="es-US"/>
        </w:rPr>
      </w:pPr>
      <w:r w:rsidRPr="00132509">
        <w:rPr>
          <w:rFonts w:ascii="Times New Roman" w:hAnsi="Times New Roman" w:cs="Times New Roman"/>
          <w:noProof/>
          <w:lang w:eastAsia="es-GT"/>
        </w:rPr>
        <w:drawing>
          <wp:inline distT="0" distB="0" distL="0" distR="0" wp14:anchorId="0C252787" wp14:editId="086A1613">
            <wp:extent cx="2657475" cy="2000250"/>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C66BE" w:rsidRPr="00132509" w:rsidRDefault="00E62867" w:rsidP="00132509">
      <w:pPr>
        <w:spacing w:after="0" w:line="240" w:lineRule="auto"/>
        <w:jc w:val="both"/>
        <w:rPr>
          <w:rFonts w:ascii="Times New Roman" w:hAnsi="Times New Roman" w:cs="Times New Roman"/>
          <w:sz w:val="16"/>
          <w:lang w:val="es-MX"/>
        </w:rPr>
      </w:pPr>
      <w:r w:rsidRPr="00132509">
        <w:rPr>
          <w:rFonts w:ascii="Times New Roman" w:hAnsi="Times New Roman" w:cs="Times New Roman"/>
          <w:sz w:val="16"/>
          <w:lang w:val="es-MX"/>
        </w:rPr>
        <w:t>Fuente: Dirección de Análisis y Política Fiscal</w:t>
      </w:r>
    </w:p>
    <w:p w:rsidR="00132509" w:rsidRDefault="00132509" w:rsidP="00785996">
      <w:pPr>
        <w:spacing w:after="0" w:line="240" w:lineRule="auto"/>
        <w:jc w:val="both"/>
        <w:rPr>
          <w:rFonts w:ascii="Times New Roman" w:hAnsi="Times New Roman" w:cs="Times New Roman"/>
          <w:color w:val="FF0000"/>
          <w:lang w:val="es-US"/>
        </w:rPr>
      </w:pPr>
    </w:p>
    <w:p w:rsidR="00186970" w:rsidRPr="007B4BB9" w:rsidRDefault="00186970" w:rsidP="00186970">
      <w:pPr>
        <w:spacing w:after="0" w:line="240" w:lineRule="auto"/>
        <w:jc w:val="both"/>
        <w:rPr>
          <w:rFonts w:ascii="Times New Roman" w:hAnsi="Times New Roman" w:cs="Times New Roman"/>
          <w:lang w:val="es-US"/>
        </w:rPr>
      </w:pPr>
      <w:r>
        <w:rPr>
          <w:rFonts w:ascii="Times New Roman" w:hAnsi="Times New Roman" w:cs="Times New Roman"/>
          <w:lang w:val="es-US"/>
        </w:rPr>
        <w:t>La recaudación del impuesto de</w:t>
      </w:r>
      <w:r w:rsidR="003B4C6F">
        <w:rPr>
          <w:rFonts w:ascii="Times New Roman" w:hAnsi="Times New Roman" w:cs="Times New Roman"/>
          <w:lang w:val="es-US"/>
        </w:rPr>
        <w:t xml:space="preserve"> circulación de vehículos generó</w:t>
      </w:r>
      <w:r>
        <w:rPr>
          <w:rFonts w:ascii="Times New Roman" w:hAnsi="Times New Roman" w:cs="Times New Roman"/>
          <w:lang w:val="es-US"/>
        </w:rPr>
        <w:t xml:space="preserve"> una brecha positiva de Q76.1 millones respecto a lo observado en 2019, este resultado producto de la vigencia del Decreto 24-2020 el </w:t>
      </w:r>
      <w:r w:rsidRPr="007B4BB9">
        <w:rPr>
          <w:rFonts w:ascii="Times New Roman" w:hAnsi="Times New Roman" w:cs="Times New Roman"/>
          <w:lang w:val="es-US"/>
        </w:rPr>
        <w:t>cual trasladó el vencimiento de este impuesto para el mes de octubre.</w:t>
      </w:r>
    </w:p>
    <w:p w:rsidR="00785996" w:rsidRPr="007B4BB9" w:rsidRDefault="00785996" w:rsidP="00785996">
      <w:pPr>
        <w:spacing w:after="0" w:line="240" w:lineRule="auto"/>
        <w:jc w:val="both"/>
        <w:rPr>
          <w:rFonts w:ascii="Times New Roman" w:hAnsi="Times New Roman" w:cs="Times New Roman"/>
          <w:lang w:val="es-US"/>
        </w:rPr>
      </w:pPr>
    </w:p>
    <w:p w:rsidR="00785996" w:rsidRPr="007B4BB9" w:rsidRDefault="00785996" w:rsidP="00785996">
      <w:pPr>
        <w:spacing w:after="0" w:line="240" w:lineRule="auto"/>
        <w:rPr>
          <w:rFonts w:ascii="Times New Roman" w:hAnsi="Times New Roman" w:cs="Times New Roman"/>
          <w:b/>
          <w:lang w:val="es-US"/>
        </w:rPr>
      </w:pPr>
      <w:r w:rsidRPr="007B4BB9">
        <w:rPr>
          <w:rFonts w:ascii="Times New Roman" w:hAnsi="Times New Roman" w:cs="Times New Roman"/>
          <w:b/>
          <w:lang w:val="es-US"/>
        </w:rPr>
        <w:t>Impuesto a la Renta</w:t>
      </w:r>
    </w:p>
    <w:p w:rsidR="00785996" w:rsidRPr="007B4BB9" w:rsidRDefault="00785996" w:rsidP="00785996">
      <w:pPr>
        <w:spacing w:after="0" w:line="240" w:lineRule="auto"/>
        <w:rPr>
          <w:rFonts w:ascii="Times New Roman" w:hAnsi="Times New Roman" w:cs="Times New Roman"/>
          <w:b/>
          <w:lang w:val="es-US"/>
        </w:rPr>
      </w:pPr>
    </w:p>
    <w:p w:rsidR="00186970" w:rsidRPr="007B4BB9" w:rsidRDefault="003B4C6F" w:rsidP="00186970">
      <w:pPr>
        <w:spacing w:after="0" w:line="240" w:lineRule="auto"/>
        <w:jc w:val="both"/>
        <w:rPr>
          <w:rFonts w:ascii="Times New Roman" w:hAnsi="Times New Roman" w:cs="Times New Roman"/>
          <w:lang w:val="es-US"/>
        </w:rPr>
      </w:pPr>
      <w:r>
        <w:rPr>
          <w:rFonts w:ascii="Times New Roman" w:hAnsi="Times New Roman" w:cs="Times New Roman"/>
          <w:lang w:val="es-US"/>
        </w:rPr>
        <w:t>A</w:t>
      </w:r>
      <w:r w:rsidR="00186970" w:rsidRPr="007B4BB9">
        <w:rPr>
          <w:rFonts w:ascii="Times New Roman" w:hAnsi="Times New Roman" w:cs="Times New Roman"/>
          <w:lang w:val="es-US"/>
        </w:rPr>
        <w:t>l mes de septiembre</w:t>
      </w:r>
      <w:r>
        <w:rPr>
          <w:rFonts w:ascii="Times New Roman" w:hAnsi="Times New Roman" w:cs="Times New Roman"/>
          <w:lang w:val="es-US"/>
        </w:rPr>
        <w:t xml:space="preserve">, </w:t>
      </w:r>
      <w:r w:rsidRPr="007B4BB9">
        <w:rPr>
          <w:rFonts w:ascii="Times New Roman" w:hAnsi="Times New Roman" w:cs="Times New Roman"/>
          <w:lang w:val="es-US"/>
        </w:rPr>
        <w:t>de manera mensual</w:t>
      </w:r>
      <w:r>
        <w:rPr>
          <w:rFonts w:ascii="Times New Roman" w:hAnsi="Times New Roman" w:cs="Times New Roman"/>
          <w:lang w:val="es-US"/>
        </w:rPr>
        <w:t>,</w:t>
      </w:r>
      <w:r w:rsidR="00186970" w:rsidRPr="007B4BB9">
        <w:rPr>
          <w:rFonts w:ascii="Times New Roman" w:hAnsi="Times New Roman" w:cs="Times New Roman"/>
          <w:lang w:val="es-US"/>
        </w:rPr>
        <w:t xml:space="preserve"> ha generado una brecha negativa</w:t>
      </w:r>
      <w:r>
        <w:rPr>
          <w:rFonts w:ascii="Times New Roman" w:hAnsi="Times New Roman" w:cs="Times New Roman"/>
          <w:lang w:val="es-US"/>
        </w:rPr>
        <w:t xml:space="preserve"> de</w:t>
      </w:r>
      <w:r w:rsidR="00186970" w:rsidRPr="007B4BB9">
        <w:rPr>
          <w:rFonts w:ascii="Times New Roman" w:hAnsi="Times New Roman" w:cs="Times New Roman"/>
          <w:lang w:val="es-US"/>
        </w:rPr>
        <w:t xml:space="preserve"> Q139.3 millones</w:t>
      </w:r>
      <w:r w:rsidRPr="007B4BB9">
        <w:rPr>
          <w:rFonts w:ascii="Times New Roman" w:hAnsi="Times New Roman" w:cs="Times New Roman"/>
          <w:lang w:val="es-US"/>
        </w:rPr>
        <w:t xml:space="preserve"> </w:t>
      </w:r>
      <w:r>
        <w:rPr>
          <w:rFonts w:ascii="Times New Roman" w:hAnsi="Times New Roman" w:cs="Times New Roman"/>
          <w:lang w:val="es-US"/>
        </w:rPr>
        <w:t>respecto a lo observado en 2019;</w:t>
      </w:r>
      <w:r w:rsidR="00186970" w:rsidRPr="007B4BB9">
        <w:rPr>
          <w:rFonts w:ascii="Times New Roman" w:hAnsi="Times New Roman" w:cs="Times New Roman"/>
          <w:lang w:val="es-US"/>
        </w:rPr>
        <w:t xml:space="preserve"> en el mes de agosto este impuesto observó una brecha negativa de Q155.8 millones</w:t>
      </w:r>
      <w:r>
        <w:rPr>
          <w:rFonts w:ascii="Times New Roman" w:hAnsi="Times New Roman" w:cs="Times New Roman"/>
          <w:lang w:val="es-US"/>
        </w:rPr>
        <w:t>,</w:t>
      </w:r>
      <w:r w:rsidR="00186970" w:rsidRPr="007B4BB9">
        <w:rPr>
          <w:rFonts w:ascii="Times New Roman" w:hAnsi="Times New Roman" w:cs="Times New Roman"/>
          <w:lang w:val="es-US"/>
        </w:rPr>
        <w:t xml:space="preserve"> siendo el </w:t>
      </w:r>
      <w:r w:rsidR="00186970" w:rsidRPr="007B4BB9">
        <w:rPr>
          <w:rFonts w:ascii="Times New Roman" w:hAnsi="Times New Roman" w:cs="Times New Roman"/>
          <w:lang w:val="es-US"/>
        </w:rPr>
        <w:lastRenderedPageBreak/>
        <w:t>régimen sobre ingresos el que aporta la mayor caída</w:t>
      </w:r>
      <w:r>
        <w:rPr>
          <w:rFonts w:ascii="Times New Roman" w:hAnsi="Times New Roman" w:cs="Times New Roman"/>
          <w:lang w:val="es-US"/>
        </w:rPr>
        <w:t>,</w:t>
      </w:r>
      <w:r w:rsidR="00186970" w:rsidRPr="007B4BB9">
        <w:rPr>
          <w:rFonts w:ascii="Times New Roman" w:hAnsi="Times New Roman" w:cs="Times New Roman"/>
          <w:lang w:val="es-US"/>
        </w:rPr>
        <w:t xml:space="preserve"> seguido del régimen de retención a los no domiciliados</w:t>
      </w:r>
      <w:r>
        <w:rPr>
          <w:rFonts w:ascii="Times New Roman" w:hAnsi="Times New Roman" w:cs="Times New Roman"/>
          <w:lang w:val="es-US"/>
        </w:rPr>
        <w:t>,</w:t>
      </w:r>
      <w:r w:rsidR="00186970" w:rsidRPr="007B4BB9">
        <w:rPr>
          <w:rFonts w:ascii="Times New Roman" w:hAnsi="Times New Roman" w:cs="Times New Roman"/>
          <w:lang w:val="es-US"/>
        </w:rPr>
        <w:t xml:space="preserve"> la reducción en la brecha en este impuesto puede ser un signo de una leve mejora.</w:t>
      </w:r>
    </w:p>
    <w:p w:rsidR="00E62867" w:rsidRPr="007B4BB9" w:rsidRDefault="00E62867" w:rsidP="00E62867">
      <w:pPr>
        <w:spacing w:after="0" w:line="240" w:lineRule="auto"/>
        <w:jc w:val="both"/>
        <w:rPr>
          <w:rFonts w:ascii="Times New Roman" w:hAnsi="Times New Roman" w:cs="Times New Roman"/>
          <w:lang w:val="es-US"/>
        </w:rPr>
      </w:pPr>
    </w:p>
    <w:p w:rsidR="001F4598" w:rsidRPr="007B4BB9" w:rsidRDefault="001F4598" w:rsidP="001F4598">
      <w:pPr>
        <w:spacing w:after="0" w:line="240" w:lineRule="auto"/>
        <w:jc w:val="center"/>
        <w:rPr>
          <w:rFonts w:ascii="Times New Roman" w:eastAsiaTheme="minorEastAsia" w:hAnsi="Times New Roman" w:cs="Times New Roman"/>
          <w:b/>
          <w:szCs w:val="24"/>
          <w:lang w:val="es-MX" w:eastAsia="es-ES"/>
        </w:rPr>
      </w:pPr>
      <w:r w:rsidRPr="007B4BB9">
        <w:rPr>
          <w:rFonts w:ascii="Times New Roman" w:eastAsiaTheme="minorEastAsia" w:hAnsi="Times New Roman" w:cs="Times New Roman"/>
          <w:b/>
          <w:szCs w:val="24"/>
          <w:lang w:val="es-MX" w:eastAsia="es-ES"/>
        </w:rPr>
        <w:t xml:space="preserve">Brecha de recaudación </w:t>
      </w:r>
      <w:r w:rsidR="00785996" w:rsidRPr="007B4BB9">
        <w:rPr>
          <w:rFonts w:ascii="Times New Roman" w:eastAsiaTheme="minorEastAsia" w:hAnsi="Times New Roman" w:cs="Times New Roman"/>
          <w:b/>
          <w:szCs w:val="24"/>
          <w:lang w:val="es-MX" w:eastAsia="es-ES"/>
        </w:rPr>
        <w:t>del ISR</w:t>
      </w:r>
      <w:r w:rsidRPr="007B4BB9">
        <w:rPr>
          <w:rFonts w:ascii="Times New Roman" w:eastAsiaTheme="minorEastAsia" w:hAnsi="Times New Roman" w:cs="Times New Roman"/>
          <w:b/>
          <w:szCs w:val="24"/>
          <w:lang w:val="es-MX" w:eastAsia="es-ES"/>
        </w:rPr>
        <w:t xml:space="preserve"> respecto a </w:t>
      </w:r>
      <w:r w:rsidR="00785996" w:rsidRPr="007B4BB9">
        <w:rPr>
          <w:rFonts w:ascii="Times New Roman" w:eastAsiaTheme="minorEastAsia" w:hAnsi="Times New Roman" w:cs="Times New Roman"/>
          <w:b/>
          <w:szCs w:val="24"/>
          <w:lang w:val="es-MX" w:eastAsia="es-ES"/>
        </w:rPr>
        <w:t>2019</w:t>
      </w:r>
    </w:p>
    <w:p w:rsidR="009907A9" w:rsidRPr="007B4BB9" w:rsidRDefault="009907A9" w:rsidP="009907A9">
      <w:pPr>
        <w:spacing w:after="0" w:line="240" w:lineRule="auto"/>
        <w:jc w:val="center"/>
        <w:rPr>
          <w:rFonts w:ascii="Times New Roman" w:eastAsiaTheme="minorEastAsia" w:hAnsi="Times New Roman" w:cs="Times New Roman"/>
          <w:sz w:val="20"/>
          <w:szCs w:val="24"/>
          <w:lang w:val="es-MX" w:eastAsia="es-ES"/>
        </w:rPr>
      </w:pPr>
      <w:r w:rsidRPr="007B4BB9">
        <w:rPr>
          <w:rFonts w:ascii="Times New Roman" w:eastAsiaTheme="minorEastAsia" w:hAnsi="Times New Roman" w:cs="Times New Roman"/>
          <w:sz w:val="20"/>
          <w:szCs w:val="24"/>
          <w:lang w:val="es-MX" w:eastAsia="es-ES"/>
        </w:rPr>
        <w:t>En millones de quetzales</w:t>
      </w:r>
    </w:p>
    <w:p w:rsidR="00E62867" w:rsidRPr="007B4BB9" w:rsidRDefault="00186970" w:rsidP="00E62867">
      <w:pPr>
        <w:spacing w:after="0" w:line="240" w:lineRule="auto"/>
        <w:jc w:val="both"/>
        <w:rPr>
          <w:rFonts w:ascii="Times New Roman" w:hAnsi="Times New Roman" w:cs="Times New Roman"/>
          <w:lang w:val="es-US"/>
        </w:rPr>
      </w:pPr>
      <w:r w:rsidRPr="007B4BB9">
        <w:rPr>
          <w:rFonts w:ascii="Times New Roman" w:hAnsi="Times New Roman" w:cs="Times New Roman"/>
          <w:noProof/>
          <w:lang w:eastAsia="es-GT"/>
        </w:rPr>
        <w:drawing>
          <wp:inline distT="0" distB="0" distL="0" distR="0" wp14:anchorId="7133E911" wp14:editId="6F81223D">
            <wp:extent cx="2724150" cy="1847850"/>
            <wp:effectExtent l="0" t="0" r="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62867" w:rsidRPr="007B4BB9" w:rsidRDefault="00E62867" w:rsidP="00E62867">
      <w:pPr>
        <w:spacing w:after="0"/>
        <w:jc w:val="both"/>
        <w:rPr>
          <w:rFonts w:ascii="Times New Roman" w:hAnsi="Times New Roman" w:cs="Times New Roman"/>
          <w:sz w:val="16"/>
          <w:lang w:val="es-MX"/>
        </w:rPr>
      </w:pPr>
      <w:r w:rsidRPr="007B4BB9">
        <w:rPr>
          <w:rFonts w:ascii="Times New Roman" w:hAnsi="Times New Roman" w:cs="Times New Roman"/>
          <w:sz w:val="16"/>
          <w:lang w:val="es-MX"/>
        </w:rPr>
        <w:t>Fuente: Dirección de Análisis y Política Fiscal</w:t>
      </w:r>
    </w:p>
    <w:p w:rsidR="00E62867" w:rsidRPr="007B4BB9" w:rsidRDefault="00E62867" w:rsidP="007C66BE">
      <w:pPr>
        <w:spacing w:after="0" w:line="240" w:lineRule="auto"/>
        <w:jc w:val="both"/>
        <w:rPr>
          <w:rFonts w:ascii="Times New Roman" w:hAnsi="Times New Roman" w:cs="Times New Roman"/>
          <w:b/>
          <w:bCs/>
        </w:rPr>
      </w:pPr>
    </w:p>
    <w:p w:rsidR="00785996" w:rsidRPr="007B4BB9" w:rsidRDefault="00785996" w:rsidP="00785996">
      <w:pPr>
        <w:spacing w:after="0" w:line="240" w:lineRule="auto"/>
        <w:jc w:val="both"/>
        <w:rPr>
          <w:rFonts w:ascii="Times New Roman" w:hAnsi="Times New Roman" w:cs="Times New Roman"/>
          <w:b/>
          <w:lang w:val="es-US"/>
        </w:rPr>
      </w:pPr>
      <w:r w:rsidRPr="007B4BB9">
        <w:rPr>
          <w:rFonts w:ascii="Times New Roman" w:hAnsi="Times New Roman" w:cs="Times New Roman"/>
          <w:b/>
          <w:lang w:val="es-US"/>
        </w:rPr>
        <w:t>Impuesto al valor agregado</w:t>
      </w:r>
    </w:p>
    <w:p w:rsidR="00785996" w:rsidRPr="00582EE2" w:rsidRDefault="00785996" w:rsidP="00785996">
      <w:pPr>
        <w:spacing w:after="0" w:line="240" w:lineRule="auto"/>
        <w:rPr>
          <w:rFonts w:ascii="Times New Roman" w:hAnsi="Times New Roman" w:cs="Times New Roman"/>
          <w:b/>
          <w:color w:val="FF0000"/>
          <w:lang w:val="es-US"/>
        </w:rPr>
      </w:pPr>
    </w:p>
    <w:p w:rsidR="007B4BB9" w:rsidRDefault="007B4BB9" w:rsidP="007B4BB9">
      <w:pPr>
        <w:spacing w:after="0" w:line="240" w:lineRule="auto"/>
        <w:jc w:val="both"/>
        <w:rPr>
          <w:rFonts w:ascii="Times New Roman" w:hAnsi="Times New Roman" w:cs="Times New Roman"/>
          <w:lang w:val="es-US"/>
        </w:rPr>
      </w:pPr>
      <w:r>
        <w:rPr>
          <w:rFonts w:ascii="Times New Roman" w:hAnsi="Times New Roman" w:cs="Times New Roman"/>
          <w:lang w:val="es-US"/>
        </w:rPr>
        <w:t>Este impuesto en septiembre genera una brecha positiva de Q20.7 millones respecto a lo observado en 2019, de los cuales por IVA importaciones se dejó de recaudar Q20.9 millones y por IVA domestico se tuvo un excedente de Q41.6 millones.</w:t>
      </w:r>
    </w:p>
    <w:p w:rsidR="007B4BB9" w:rsidRDefault="007B4BB9" w:rsidP="007B4BB9">
      <w:pPr>
        <w:spacing w:after="0" w:line="240" w:lineRule="auto"/>
        <w:jc w:val="both"/>
        <w:rPr>
          <w:rFonts w:ascii="Times New Roman" w:hAnsi="Times New Roman" w:cs="Times New Roman"/>
          <w:lang w:val="es-US"/>
        </w:rPr>
      </w:pPr>
    </w:p>
    <w:p w:rsidR="007B4BB9" w:rsidRDefault="007B4BB9" w:rsidP="007B4BB9">
      <w:pPr>
        <w:spacing w:after="0" w:line="240" w:lineRule="auto"/>
        <w:jc w:val="both"/>
        <w:rPr>
          <w:rFonts w:ascii="Times New Roman" w:hAnsi="Times New Roman" w:cs="Times New Roman"/>
          <w:lang w:val="es-US"/>
        </w:rPr>
      </w:pPr>
      <w:r>
        <w:rPr>
          <w:rFonts w:ascii="Times New Roman" w:hAnsi="Times New Roman" w:cs="Times New Roman"/>
          <w:lang w:val="es-US"/>
        </w:rPr>
        <w:t>El desempeño positivo observado en la recaudación mensual permitió que la brecha acumulada al 30 de septiembre no se ampliara de manera excesiva</w:t>
      </w:r>
      <w:r w:rsidR="00320C31">
        <w:rPr>
          <w:rFonts w:ascii="Times New Roman" w:hAnsi="Times New Roman" w:cs="Times New Roman"/>
          <w:lang w:val="es-US"/>
        </w:rPr>
        <w:t>,</w:t>
      </w:r>
      <w:r>
        <w:rPr>
          <w:rFonts w:ascii="Times New Roman" w:hAnsi="Times New Roman" w:cs="Times New Roman"/>
          <w:lang w:val="es-US"/>
        </w:rPr>
        <w:t xml:space="preserve"> como se ha observado en meses anteriores. </w:t>
      </w:r>
    </w:p>
    <w:p w:rsidR="007B4BB9" w:rsidRDefault="007B4BB9" w:rsidP="007B4BB9">
      <w:pPr>
        <w:spacing w:after="0" w:line="240" w:lineRule="auto"/>
        <w:jc w:val="both"/>
        <w:rPr>
          <w:rFonts w:ascii="Times New Roman" w:hAnsi="Times New Roman" w:cs="Times New Roman"/>
          <w:lang w:val="es-US"/>
        </w:rPr>
      </w:pPr>
    </w:p>
    <w:p w:rsidR="003C45EB" w:rsidRPr="007B4BB9" w:rsidRDefault="007B4BB9" w:rsidP="00E62867">
      <w:pPr>
        <w:spacing w:after="0" w:line="240" w:lineRule="auto"/>
        <w:jc w:val="both"/>
        <w:rPr>
          <w:rFonts w:ascii="Times New Roman" w:hAnsi="Times New Roman" w:cs="Times New Roman"/>
          <w:lang w:val="es-US"/>
        </w:rPr>
      </w:pPr>
      <w:r>
        <w:rPr>
          <w:rFonts w:ascii="Times New Roman" w:hAnsi="Times New Roman" w:cs="Times New Roman"/>
          <w:lang w:val="es-US"/>
        </w:rPr>
        <w:t>La recaudación tributaria acumulada asociada al comercio exterior tiene una caída de 11.8%, los impuestos internos también caen en 4.6% respecto a lo observado en 2019, aunque los resultados siguen siendo negativos se observa un cambio en la tendencia.</w:t>
      </w:r>
    </w:p>
    <w:p w:rsidR="00785996" w:rsidRPr="007B4BB9" w:rsidRDefault="00785996" w:rsidP="00785996">
      <w:pPr>
        <w:spacing w:after="0" w:line="240" w:lineRule="auto"/>
        <w:jc w:val="center"/>
        <w:rPr>
          <w:rFonts w:ascii="Times New Roman" w:eastAsiaTheme="minorEastAsia" w:hAnsi="Times New Roman" w:cs="Times New Roman"/>
          <w:b/>
          <w:szCs w:val="24"/>
          <w:lang w:val="es-MX" w:eastAsia="es-ES"/>
        </w:rPr>
      </w:pPr>
      <w:r w:rsidRPr="007B4BB9">
        <w:rPr>
          <w:rFonts w:ascii="Times New Roman" w:eastAsiaTheme="minorEastAsia" w:hAnsi="Times New Roman" w:cs="Times New Roman"/>
          <w:b/>
          <w:szCs w:val="24"/>
          <w:lang w:val="es-MX" w:eastAsia="es-ES"/>
        </w:rPr>
        <w:lastRenderedPageBreak/>
        <w:t>Variación interanual de recaudación tributaria acumulada a septiembre</w:t>
      </w:r>
    </w:p>
    <w:p w:rsidR="00785996" w:rsidRPr="007B4BB9" w:rsidRDefault="00785996" w:rsidP="00785996">
      <w:pPr>
        <w:spacing w:after="0" w:line="240" w:lineRule="auto"/>
        <w:jc w:val="center"/>
        <w:rPr>
          <w:rFonts w:ascii="Times New Roman" w:eastAsiaTheme="minorEastAsia" w:hAnsi="Times New Roman" w:cs="Times New Roman"/>
          <w:sz w:val="20"/>
          <w:szCs w:val="24"/>
          <w:lang w:val="es-MX" w:eastAsia="es-ES"/>
        </w:rPr>
      </w:pPr>
      <w:r w:rsidRPr="007B4BB9">
        <w:rPr>
          <w:rFonts w:ascii="Times New Roman" w:eastAsiaTheme="minorEastAsia" w:hAnsi="Times New Roman" w:cs="Times New Roman"/>
          <w:sz w:val="20"/>
          <w:szCs w:val="24"/>
          <w:lang w:val="es-MX" w:eastAsia="es-ES"/>
        </w:rPr>
        <w:t>en Porcentaje</w:t>
      </w:r>
    </w:p>
    <w:p w:rsidR="007D38F3" w:rsidRPr="007B4BB9" w:rsidRDefault="007B4BB9" w:rsidP="007D38F3">
      <w:pPr>
        <w:spacing w:after="0" w:line="240" w:lineRule="auto"/>
        <w:jc w:val="both"/>
        <w:rPr>
          <w:rFonts w:ascii="Times New Roman" w:hAnsi="Times New Roman" w:cs="Times New Roman"/>
          <w:lang w:val="es-US"/>
        </w:rPr>
      </w:pPr>
      <w:r w:rsidRPr="00F05CF7">
        <w:rPr>
          <w:rFonts w:ascii="Times New Roman" w:hAnsi="Times New Roman" w:cs="Times New Roman"/>
          <w:noProof/>
          <w:shd w:val="clear" w:color="auto" w:fill="F79646" w:themeFill="accent6"/>
          <w:lang w:eastAsia="es-GT"/>
        </w:rPr>
        <w:drawing>
          <wp:inline distT="0" distB="0" distL="0" distR="0" wp14:anchorId="2DC10E53" wp14:editId="624F4949">
            <wp:extent cx="2581275" cy="2160905"/>
            <wp:effectExtent l="0" t="0" r="0"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D38F3" w:rsidRPr="00F05CF7" w:rsidRDefault="007D38F3" w:rsidP="007D38F3">
      <w:pPr>
        <w:spacing w:after="0" w:line="240" w:lineRule="auto"/>
        <w:jc w:val="both"/>
        <w:rPr>
          <w:rFonts w:ascii="Times New Roman" w:hAnsi="Times New Roman" w:cs="Times New Roman"/>
          <w:sz w:val="24"/>
          <w:lang w:val="es-US"/>
        </w:rPr>
      </w:pPr>
      <w:r w:rsidRPr="00F05CF7">
        <w:rPr>
          <w:rFonts w:ascii="Times New Roman" w:hAnsi="Times New Roman" w:cs="Times New Roman"/>
          <w:sz w:val="16"/>
          <w:lang w:val="es-MX"/>
        </w:rPr>
        <w:t>Fuente: Dirección de Análisis y Política Fisca</w:t>
      </w:r>
      <w:r w:rsidR="007B4BB9" w:rsidRPr="00F05CF7">
        <w:rPr>
          <w:rFonts w:ascii="Times New Roman" w:hAnsi="Times New Roman" w:cs="Times New Roman"/>
          <w:sz w:val="16"/>
          <w:lang w:val="es-MX"/>
        </w:rPr>
        <w:t>l</w:t>
      </w:r>
    </w:p>
    <w:p w:rsidR="007D38F3" w:rsidRPr="00F05CF7" w:rsidRDefault="007D38F3" w:rsidP="00E62867">
      <w:pPr>
        <w:spacing w:after="0" w:line="240" w:lineRule="auto"/>
        <w:jc w:val="both"/>
        <w:rPr>
          <w:rFonts w:ascii="Times New Roman" w:hAnsi="Times New Roman" w:cs="Times New Roman"/>
          <w:lang w:val="es-US"/>
        </w:rPr>
      </w:pPr>
    </w:p>
    <w:p w:rsidR="00785996" w:rsidRPr="00F05CF7" w:rsidRDefault="00785996" w:rsidP="00785996">
      <w:pPr>
        <w:spacing w:after="0" w:line="240" w:lineRule="auto"/>
        <w:jc w:val="both"/>
        <w:rPr>
          <w:rFonts w:ascii="Times New Roman" w:hAnsi="Times New Roman" w:cs="Times New Roman"/>
          <w:b/>
          <w:lang w:val="es-US"/>
        </w:rPr>
      </w:pPr>
      <w:r w:rsidRPr="00F05CF7">
        <w:rPr>
          <w:rFonts w:ascii="Times New Roman" w:hAnsi="Times New Roman" w:cs="Times New Roman"/>
          <w:b/>
          <w:lang w:val="es-US"/>
        </w:rPr>
        <w:t>Resto de impuestos</w:t>
      </w:r>
    </w:p>
    <w:p w:rsidR="00785996" w:rsidRPr="00582EE2" w:rsidRDefault="00785996" w:rsidP="00785996">
      <w:pPr>
        <w:spacing w:after="0" w:line="240" w:lineRule="auto"/>
        <w:jc w:val="both"/>
        <w:rPr>
          <w:rFonts w:ascii="Times New Roman" w:hAnsi="Times New Roman" w:cs="Times New Roman"/>
          <w:color w:val="FF0000"/>
          <w:lang w:val="es-US"/>
        </w:rPr>
      </w:pPr>
    </w:p>
    <w:p w:rsidR="00F05CF7" w:rsidRDefault="00F05CF7" w:rsidP="007D38F3">
      <w:pPr>
        <w:spacing w:after="0" w:line="240" w:lineRule="auto"/>
        <w:jc w:val="both"/>
        <w:rPr>
          <w:rFonts w:ascii="Times New Roman" w:hAnsi="Times New Roman" w:cs="Times New Roman"/>
          <w:lang w:val="es-US"/>
        </w:rPr>
      </w:pPr>
      <w:r>
        <w:rPr>
          <w:rFonts w:ascii="Times New Roman" w:hAnsi="Times New Roman" w:cs="Times New Roman"/>
          <w:lang w:val="es-US"/>
        </w:rPr>
        <w:t>Del resto de impuestos, los que superan lo observado en 2019 son el ISO, el de di</w:t>
      </w:r>
      <w:r w:rsidR="00320C31">
        <w:rPr>
          <w:rFonts w:ascii="Times New Roman" w:hAnsi="Times New Roman" w:cs="Times New Roman"/>
          <w:lang w:val="es-US"/>
        </w:rPr>
        <w:t>stribución de bebidas y cemento;</w:t>
      </w:r>
      <w:r>
        <w:rPr>
          <w:rFonts w:ascii="Times New Roman" w:hAnsi="Times New Roman" w:cs="Times New Roman"/>
          <w:lang w:val="es-US"/>
        </w:rPr>
        <w:t xml:space="preserve"> con relación al año anterior</w:t>
      </w:r>
      <w:r w:rsidR="00320C31">
        <w:rPr>
          <w:rFonts w:ascii="Times New Roman" w:hAnsi="Times New Roman" w:cs="Times New Roman"/>
          <w:lang w:val="es-US"/>
        </w:rPr>
        <w:t>, el ISO, bebidas,</w:t>
      </w:r>
      <w:r>
        <w:rPr>
          <w:rFonts w:ascii="Times New Roman" w:hAnsi="Times New Roman" w:cs="Times New Roman"/>
          <w:lang w:val="es-US"/>
        </w:rPr>
        <w:t xml:space="preserve"> cemento</w:t>
      </w:r>
      <w:r w:rsidR="00320C31">
        <w:rPr>
          <w:rFonts w:ascii="Times New Roman" w:hAnsi="Times New Roman" w:cs="Times New Roman"/>
          <w:lang w:val="es-US"/>
        </w:rPr>
        <w:t xml:space="preserve"> y</w:t>
      </w:r>
      <w:r>
        <w:rPr>
          <w:rFonts w:ascii="Times New Roman" w:hAnsi="Times New Roman" w:cs="Times New Roman"/>
          <w:lang w:val="es-US"/>
        </w:rPr>
        <w:t xml:space="preserve"> el resto generaron brecha negativa.</w:t>
      </w:r>
    </w:p>
    <w:p w:rsidR="00F05CF7" w:rsidRPr="00F05CF7" w:rsidRDefault="00F05CF7" w:rsidP="007D38F3">
      <w:pPr>
        <w:spacing w:after="0" w:line="240" w:lineRule="auto"/>
        <w:jc w:val="both"/>
        <w:rPr>
          <w:rFonts w:ascii="Times New Roman" w:hAnsi="Times New Roman" w:cs="Times New Roman"/>
          <w:lang w:val="es-US"/>
        </w:rPr>
      </w:pPr>
    </w:p>
    <w:p w:rsidR="007D38F3" w:rsidRPr="00F05CF7" w:rsidRDefault="007D38F3" w:rsidP="007D38F3">
      <w:pPr>
        <w:spacing w:after="0" w:line="240" w:lineRule="auto"/>
        <w:jc w:val="center"/>
        <w:rPr>
          <w:rFonts w:ascii="Times New Roman" w:hAnsi="Times New Roman" w:cs="Times New Roman"/>
          <w:b/>
          <w:lang w:val="es-US"/>
        </w:rPr>
      </w:pPr>
      <w:r w:rsidRPr="00F05CF7">
        <w:rPr>
          <w:rFonts w:ascii="Times New Roman" w:hAnsi="Times New Roman" w:cs="Times New Roman"/>
          <w:b/>
          <w:lang w:val="es-US"/>
        </w:rPr>
        <w:lastRenderedPageBreak/>
        <w:t>Brechas de recaudación tributaria neta</w:t>
      </w:r>
    </w:p>
    <w:p w:rsidR="007D38F3" w:rsidRPr="00F05CF7" w:rsidRDefault="007D38F3" w:rsidP="007D38F3">
      <w:pPr>
        <w:spacing w:after="0" w:line="240" w:lineRule="auto"/>
        <w:jc w:val="center"/>
        <w:rPr>
          <w:rFonts w:ascii="Times New Roman" w:hAnsi="Times New Roman" w:cs="Times New Roman"/>
          <w:sz w:val="20"/>
          <w:lang w:val="es-US"/>
        </w:rPr>
      </w:pPr>
      <w:r w:rsidRPr="00F05CF7">
        <w:rPr>
          <w:rFonts w:ascii="Times New Roman" w:hAnsi="Times New Roman" w:cs="Times New Roman"/>
          <w:sz w:val="20"/>
          <w:lang w:val="es-US"/>
        </w:rPr>
        <w:t>Millones de quetzales</w:t>
      </w:r>
    </w:p>
    <w:p w:rsidR="007D38F3" w:rsidRPr="00F05CF7" w:rsidRDefault="00F05CF7" w:rsidP="007D38F3">
      <w:pPr>
        <w:spacing w:after="0" w:line="240" w:lineRule="auto"/>
        <w:jc w:val="both"/>
        <w:rPr>
          <w:rFonts w:ascii="Times New Roman" w:hAnsi="Times New Roman" w:cs="Times New Roman"/>
          <w:noProof/>
          <w:lang w:eastAsia="es-GT"/>
        </w:rPr>
      </w:pPr>
      <w:r w:rsidRPr="00F05CF7">
        <w:rPr>
          <w:rFonts w:ascii="Times New Roman" w:hAnsi="Times New Roman" w:cs="Times New Roman"/>
          <w:noProof/>
          <w:lang w:eastAsia="es-GT"/>
        </w:rPr>
        <w:drawing>
          <wp:inline distT="0" distB="0" distL="0" distR="0" wp14:anchorId="1AF37D05" wp14:editId="0A0FD660">
            <wp:extent cx="2581275" cy="3724275"/>
            <wp:effectExtent l="0" t="0" r="0"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D38F3" w:rsidRPr="00F05CF7" w:rsidRDefault="007D38F3" w:rsidP="007D38F3">
      <w:pPr>
        <w:spacing w:after="0" w:line="240" w:lineRule="auto"/>
        <w:jc w:val="both"/>
        <w:rPr>
          <w:rFonts w:ascii="Times New Roman" w:hAnsi="Times New Roman" w:cs="Times New Roman"/>
          <w:sz w:val="18"/>
          <w:lang w:val="es-US"/>
        </w:rPr>
        <w:sectPr w:rsidR="007D38F3" w:rsidRPr="00F05CF7" w:rsidSect="007D38F3">
          <w:type w:val="continuous"/>
          <w:pgSz w:w="12240" w:h="15840"/>
          <w:pgMar w:top="1417" w:right="1701" w:bottom="1417" w:left="1701" w:header="708" w:footer="708" w:gutter="0"/>
          <w:cols w:num="2" w:space="708"/>
          <w:docGrid w:linePitch="360"/>
        </w:sectPr>
      </w:pPr>
      <w:r w:rsidRPr="00F05CF7">
        <w:rPr>
          <w:rFonts w:ascii="Times New Roman" w:hAnsi="Times New Roman" w:cs="Times New Roman"/>
          <w:sz w:val="16"/>
          <w:lang w:val="es-US"/>
        </w:rPr>
        <w:t>Fuente: Direcció</w:t>
      </w:r>
      <w:r w:rsidR="00F05CF7" w:rsidRPr="00F05CF7">
        <w:rPr>
          <w:rFonts w:ascii="Times New Roman" w:hAnsi="Times New Roman" w:cs="Times New Roman"/>
          <w:sz w:val="16"/>
          <w:lang w:val="es-US"/>
        </w:rPr>
        <w:t>n de Análisis y Política Fiscal</w:t>
      </w:r>
    </w:p>
    <w:p w:rsidR="00BA7AF8" w:rsidRPr="00F05CF7" w:rsidRDefault="00BA7AF8" w:rsidP="00FE1950">
      <w:pPr>
        <w:spacing w:after="0" w:line="240" w:lineRule="auto"/>
        <w:jc w:val="both"/>
        <w:rPr>
          <w:rFonts w:ascii="Times New Roman" w:hAnsi="Times New Roman" w:cs="Times New Roman"/>
          <w:color w:val="FF0000"/>
          <w:sz w:val="12"/>
          <w:lang w:val="es-US"/>
        </w:rPr>
        <w:sectPr w:rsidR="00BA7AF8" w:rsidRPr="00F05CF7" w:rsidSect="007C66BE">
          <w:type w:val="continuous"/>
          <w:pgSz w:w="12240" w:h="15840"/>
          <w:pgMar w:top="1417" w:right="1701" w:bottom="1417" w:left="1701" w:header="720" w:footer="720" w:gutter="0"/>
          <w:cols w:num="2" w:space="720"/>
          <w:docGrid w:linePitch="360"/>
        </w:sectPr>
      </w:pPr>
    </w:p>
    <w:p w:rsidR="001A6038" w:rsidRPr="00F05CF7" w:rsidRDefault="001A6038" w:rsidP="00674EAE">
      <w:pPr>
        <w:pStyle w:val="Sinespaciado"/>
        <w:jc w:val="both"/>
        <w:rPr>
          <w:rFonts w:ascii="Times New Roman" w:hAnsi="Times New Roman" w:cs="Times New Roman"/>
          <w:color w:val="FF0000"/>
          <w:sz w:val="10"/>
          <w:szCs w:val="18"/>
          <w:lang w:val="es-US"/>
        </w:rPr>
        <w:sectPr w:rsidR="001A6038" w:rsidRPr="00F05CF7" w:rsidSect="005A03A9">
          <w:headerReference w:type="default" r:id="rId17"/>
          <w:footerReference w:type="default" r:id="rId18"/>
          <w:type w:val="continuous"/>
          <w:pgSz w:w="12240" w:h="15840"/>
          <w:pgMar w:top="1417" w:right="1701" w:bottom="1417" w:left="1701" w:header="708" w:footer="708" w:gutter="0"/>
          <w:cols w:num="2" w:space="708"/>
          <w:docGrid w:linePitch="360"/>
        </w:sectPr>
      </w:pPr>
    </w:p>
    <w:p w:rsidR="00FA3B81" w:rsidRPr="00DE0239" w:rsidRDefault="00951307" w:rsidP="004F72F9">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FA3B81" w:rsidRPr="00DE0239" w:rsidSect="00FA3B81">
          <w:headerReference w:type="default" r:id="rId19"/>
          <w:footerReference w:type="default" r:id="rId20"/>
          <w:type w:val="continuous"/>
          <w:pgSz w:w="12240" w:h="15840" w:code="1"/>
          <w:pgMar w:top="1418" w:right="1418" w:bottom="1418" w:left="1418" w:header="709" w:footer="709" w:gutter="0"/>
          <w:cols w:space="708"/>
          <w:docGrid w:linePitch="360"/>
        </w:sectPr>
      </w:pPr>
      <w:r w:rsidRPr="00DE0239">
        <w:rPr>
          <w:rFonts w:ascii="Times New Roman" w:hAnsi="Times New Roman" w:cs="Times New Roman"/>
          <w:b/>
          <w:lang w:val="es-MX"/>
        </w:rPr>
        <w:lastRenderedPageBreak/>
        <w:t xml:space="preserve">Septiembre supera el dinamismo del </w:t>
      </w:r>
      <w:r w:rsidR="00F36FE5" w:rsidRPr="00DE0239">
        <w:rPr>
          <w:rFonts w:ascii="Times New Roman" w:hAnsi="Times New Roman" w:cs="Times New Roman"/>
          <w:b/>
          <w:lang w:val="es-MX"/>
        </w:rPr>
        <w:t xml:space="preserve">gasto público </w:t>
      </w:r>
      <w:r w:rsidRPr="00DE0239">
        <w:rPr>
          <w:rFonts w:ascii="Times New Roman" w:hAnsi="Times New Roman" w:cs="Times New Roman"/>
          <w:b/>
          <w:lang w:val="es-MX"/>
        </w:rPr>
        <w:t>observado en 2019</w:t>
      </w:r>
    </w:p>
    <w:p w:rsidR="00FA3B81" w:rsidRPr="00582EE2" w:rsidRDefault="00FA3B81" w:rsidP="00FA3B81">
      <w:pPr>
        <w:pStyle w:val="Sinespaciado"/>
        <w:rPr>
          <w:rFonts w:ascii="Times New Roman" w:hAnsi="Times New Roman" w:cs="Times New Roman"/>
          <w:b/>
          <w:color w:val="FF0000"/>
          <w:sz w:val="18"/>
          <w:lang w:val="es-MX"/>
        </w:rPr>
      </w:pPr>
    </w:p>
    <w:p w:rsidR="00FA3B81" w:rsidRPr="00582EE2" w:rsidRDefault="00FA3B81" w:rsidP="00FA3B81">
      <w:pPr>
        <w:pStyle w:val="Sinespaciado"/>
        <w:jc w:val="center"/>
        <w:rPr>
          <w:rFonts w:ascii="Times New Roman" w:hAnsi="Times New Roman" w:cs="Times New Roman"/>
          <w:b/>
          <w:color w:val="FF0000"/>
          <w:lang w:val="es-MX"/>
        </w:rPr>
        <w:sectPr w:rsidR="00FA3B81" w:rsidRPr="00582EE2" w:rsidSect="004E358C">
          <w:type w:val="continuous"/>
          <w:pgSz w:w="12240" w:h="15840"/>
          <w:pgMar w:top="1417" w:right="1701" w:bottom="1417" w:left="1701" w:header="708" w:footer="708" w:gutter="0"/>
          <w:cols w:space="708"/>
          <w:docGrid w:linePitch="360"/>
        </w:sectPr>
      </w:pPr>
    </w:p>
    <w:p w:rsidR="00BA7AF8" w:rsidRPr="00582EE2" w:rsidRDefault="00DE0239" w:rsidP="00BA7AF8">
      <w:pPr>
        <w:pStyle w:val="Sinespaciado"/>
        <w:jc w:val="both"/>
        <w:rPr>
          <w:rFonts w:ascii="Times New Roman" w:hAnsi="Times New Roman" w:cs="Times New Roman"/>
          <w:color w:val="FF0000"/>
          <w:lang w:val="es-MX"/>
        </w:rPr>
      </w:pPr>
      <w:r>
        <w:rPr>
          <w:rFonts w:ascii="Times New Roman" w:hAnsi="Times New Roman" w:cs="Times New Roman"/>
          <w:lang w:val="es-MX"/>
        </w:rPr>
        <w:lastRenderedPageBreak/>
        <w:t>El ritmo de</w:t>
      </w:r>
      <w:r w:rsidRPr="00EC7D03">
        <w:rPr>
          <w:rFonts w:ascii="Times New Roman" w:hAnsi="Times New Roman" w:cs="Times New Roman"/>
          <w:lang w:val="es-MX"/>
        </w:rPr>
        <w:t xml:space="preserve"> ejecución del gasto público</w:t>
      </w:r>
      <w:r>
        <w:rPr>
          <w:rFonts w:ascii="Times New Roman" w:hAnsi="Times New Roman" w:cs="Times New Roman"/>
          <w:lang w:val="es-MX"/>
        </w:rPr>
        <w:t xml:space="preserve"> al mes de septiembre continúa creciendo y por primera vez en el año, supera el nivel observado en 2019.</w:t>
      </w:r>
      <w:r w:rsidR="00BA7AF8" w:rsidRPr="00582EE2">
        <w:rPr>
          <w:rFonts w:ascii="Times New Roman" w:hAnsi="Times New Roman" w:cs="Times New Roman"/>
          <w:color w:val="FF0000"/>
          <w:lang w:val="es-MX"/>
        </w:rPr>
        <w:t xml:space="preserve"> </w:t>
      </w:r>
    </w:p>
    <w:p w:rsidR="00BA7AF8" w:rsidRPr="00582EE2" w:rsidRDefault="00BA7AF8" w:rsidP="00BA7AF8">
      <w:pPr>
        <w:pStyle w:val="Sinespaciado"/>
        <w:jc w:val="both"/>
        <w:rPr>
          <w:rFonts w:ascii="Times New Roman" w:hAnsi="Times New Roman" w:cs="Times New Roman"/>
          <w:color w:val="FF0000"/>
          <w:lang w:val="es-MX"/>
        </w:rPr>
      </w:pPr>
    </w:p>
    <w:p w:rsidR="00DE0239" w:rsidRDefault="00DE0239" w:rsidP="00DE0239">
      <w:pPr>
        <w:pStyle w:val="Sinespaciado"/>
        <w:jc w:val="both"/>
        <w:rPr>
          <w:rFonts w:ascii="Times New Roman" w:hAnsi="Times New Roman" w:cs="Times New Roman"/>
          <w:lang w:val="es-MX"/>
        </w:rPr>
      </w:pPr>
      <w:r>
        <w:rPr>
          <w:rFonts w:ascii="Times New Roman" w:hAnsi="Times New Roman" w:cs="Times New Roman"/>
          <w:lang w:val="es-MX"/>
        </w:rPr>
        <w:t>El gasto que no considera</w:t>
      </w:r>
      <w:r w:rsidRPr="00EC7D03">
        <w:rPr>
          <w:rFonts w:ascii="Times New Roman" w:hAnsi="Times New Roman" w:cs="Times New Roman"/>
          <w:lang w:val="es-MX"/>
        </w:rPr>
        <w:t xml:space="preserve"> las amortizaciones de</w:t>
      </w:r>
      <w:r>
        <w:rPr>
          <w:rFonts w:ascii="Times New Roman" w:hAnsi="Times New Roman" w:cs="Times New Roman"/>
          <w:lang w:val="es-MX"/>
        </w:rPr>
        <w:t xml:space="preserve"> la deuda pública, se ubicó en Q64</w:t>
      </w:r>
      <w:r w:rsidRPr="00EC7D03">
        <w:rPr>
          <w:rFonts w:ascii="Times New Roman" w:hAnsi="Times New Roman" w:cs="Times New Roman"/>
          <w:lang w:val="es-MX"/>
        </w:rPr>
        <w:t>,</w:t>
      </w:r>
      <w:r>
        <w:rPr>
          <w:rFonts w:ascii="Times New Roman" w:hAnsi="Times New Roman" w:cs="Times New Roman"/>
          <w:lang w:val="es-MX"/>
        </w:rPr>
        <w:t>992.9 millones</w:t>
      </w:r>
      <w:r w:rsidRPr="00EC7D03">
        <w:rPr>
          <w:rFonts w:ascii="Times New Roman" w:hAnsi="Times New Roman" w:cs="Times New Roman"/>
          <w:lang w:val="es-MX"/>
        </w:rPr>
        <w:t xml:space="preserve"> </w:t>
      </w:r>
      <w:r>
        <w:rPr>
          <w:rFonts w:ascii="Times New Roman" w:hAnsi="Times New Roman" w:cs="Times New Roman"/>
          <w:lang w:val="es-MX"/>
        </w:rPr>
        <w:t xml:space="preserve">con un crecimiento interanual positivo de </w:t>
      </w:r>
      <w:r w:rsidRPr="00A32053">
        <w:rPr>
          <w:rFonts w:ascii="Times New Roman" w:hAnsi="Times New Roman" w:cs="Times New Roman"/>
          <w:lang w:val="es-MX"/>
        </w:rPr>
        <w:t>14.9%,</w:t>
      </w:r>
      <w:r>
        <w:rPr>
          <w:rFonts w:ascii="Times New Roman" w:hAnsi="Times New Roman" w:cs="Times New Roman"/>
          <w:lang w:val="es-MX"/>
        </w:rPr>
        <w:t xml:space="preserve"> lo que es equivalente a Q8,414.5 millones. Este ritmo de ejecución del gasto se espera siga mostrando niveles dinámicos en el último trimestre del año. </w:t>
      </w:r>
    </w:p>
    <w:p w:rsidR="00BA7AF8" w:rsidRPr="00582EE2" w:rsidRDefault="00BA7AF8" w:rsidP="00BA7AF8">
      <w:pPr>
        <w:pStyle w:val="Sinespaciado"/>
        <w:jc w:val="both"/>
        <w:rPr>
          <w:rFonts w:ascii="Times New Roman" w:hAnsi="Times New Roman" w:cs="Times New Roman"/>
          <w:color w:val="FF0000"/>
          <w:lang w:val="es-MX"/>
        </w:rPr>
      </w:pPr>
      <w:r w:rsidRPr="00582EE2">
        <w:rPr>
          <w:rFonts w:ascii="Times New Roman" w:hAnsi="Times New Roman" w:cs="Times New Roman"/>
          <w:color w:val="FF0000"/>
          <w:lang w:val="es-MX"/>
        </w:rPr>
        <w:t xml:space="preserve">. </w:t>
      </w:r>
    </w:p>
    <w:p w:rsidR="00BA7AF8" w:rsidRDefault="00BA7AF8" w:rsidP="00BA7AF8">
      <w:pPr>
        <w:pStyle w:val="Sinespaciado"/>
        <w:jc w:val="both"/>
        <w:rPr>
          <w:rFonts w:ascii="Times New Roman" w:hAnsi="Times New Roman" w:cs="Times New Roman"/>
          <w:color w:val="FF0000"/>
          <w:lang w:val="es-MX"/>
        </w:rPr>
      </w:pPr>
    </w:p>
    <w:p w:rsidR="00DE0239" w:rsidRDefault="00DE0239" w:rsidP="00BA7AF8">
      <w:pPr>
        <w:pStyle w:val="Sinespaciado"/>
        <w:jc w:val="both"/>
        <w:rPr>
          <w:rFonts w:ascii="Times New Roman" w:hAnsi="Times New Roman" w:cs="Times New Roman"/>
          <w:color w:val="FF0000"/>
          <w:lang w:val="es-MX"/>
        </w:rPr>
      </w:pPr>
    </w:p>
    <w:p w:rsidR="00DE0239" w:rsidRDefault="00DE0239" w:rsidP="00BA7AF8">
      <w:pPr>
        <w:pStyle w:val="Sinespaciado"/>
        <w:jc w:val="both"/>
        <w:rPr>
          <w:rFonts w:ascii="Times New Roman" w:hAnsi="Times New Roman" w:cs="Times New Roman"/>
          <w:color w:val="FF0000"/>
          <w:lang w:val="es-MX"/>
        </w:rPr>
      </w:pPr>
    </w:p>
    <w:p w:rsidR="00DE0239" w:rsidRPr="00582EE2" w:rsidRDefault="00DE0239" w:rsidP="00BA7AF8">
      <w:pPr>
        <w:pStyle w:val="Sinespaciado"/>
        <w:jc w:val="both"/>
        <w:rPr>
          <w:rFonts w:ascii="Times New Roman" w:hAnsi="Times New Roman" w:cs="Times New Roman"/>
          <w:color w:val="FF0000"/>
          <w:lang w:val="es-MX"/>
        </w:rPr>
      </w:pPr>
    </w:p>
    <w:p w:rsidR="00BA7AF8" w:rsidRPr="00DE0239" w:rsidRDefault="00BA7AF8" w:rsidP="00BA7AF8">
      <w:pPr>
        <w:pStyle w:val="Sinespaciado"/>
        <w:jc w:val="center"/>
        <w:rPr>
          <w:rFonts w:ascii="Times New Roman" w:hAnsi="Times New Roman" w:cs="Times New Roman"/>
          <w:b/>
          <w:lang w:val="es-MX"/>
        </w:rPr>
      </w:pPr>
      <w:r w:rsidRPr="00DE0239">
        <w:rPr>
          <w:rFonts w:ascii="Times New Roman" w:hAnsi="Times New Roman" w:cs="Times New Roman"/>
          <w:b/>
          <w:lang w:val="es-MX"/>
        </w:rPr>
        <w:lastRenderedPageBreak/>
        <w:t>Ritmo de Ejecución del Gasto</w:t>
      </w:r>
    </w:p>
    <w:p w:rsidR="00BA7AF8" w:rsidRPr="00DE0239" w:rsidRDefault="00DE0239" w:rsidP="00BA7AF8">
      <w:pPr>
        <w:pStyle w:val="Sinespaciado"/>
        <w:jc w:val="center"/>
        <w:rPr>
          <w:rFonts w:ascii="Times New Roman" w:hAnsi="Times New Roman" w:cs="Times New Roman"/>
          <w:sz w:val="18"/>
          <w:lang w:val="es-MX"/>
        </w:rPr>
      </w:pPr>
      <w:r w:rsidRPr="00DE0239">
        <w:rPr>
          <w:rFonts w:ascii="Times New Roman" w:hAnsi="Times New Roman" w:cs="Times New Roman"/>
          <w:noProof/>
          <w:sz w:val="18"/>
          <w:lang w:eastAsia="es-GT"/>
        </w:rPr>
        <w:drawing>
          <wp:anchor distT="0" distB="0" distL="114300" distR="114300" simplePos="0" relativeHeight="251845632" behindDoc="0" locked="0" layoutInCell="1" allowOverlap="1" wp14:anchorId="5EE718A9" wp14:editId="62A9EE00">
            <wp:simplePos x="0" y="0"/>
            <wp:positionH relativeFrom="column">
              <wp:posOffset>-180975</wp:posOffset>
            </wp:positionH>
            <wp:positionV relativeFrom="paragraph">
              <wp:posOffset>147955</wp:posOffset>
            </wp:positionV>
            <wp:extent cx="2876550" cy="2085975"/>
            <wp:effectExtent l="0" t="0" r="0" b="0"/>
            <wp:wrapSquare wrapText="bothSides"/>
            <wp:docPr id="2"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BA7AF8" w:rsidRPr="00DE0239">
        <w:rPr>
          <w:rFonts w:ascii="Times New Roman" w:hAnsi="Times New Roman" w:cs="Times New Roman"/>
          <w:sz w:val="20"/>
          <w:lang w:val="es-MX"/>
        </w:rPr>
        <w:t>Variación Interanual*</w:t>
      </w:r>
    </w:p>
    <w:p w:rsidR="00BA7AF8" w:rsidRPr="00DE0239" w:rsidRDefault="00BA7AF8" w:rsidP="00BA7AF8">
      <w:pPr>
        <w:pStyle w:val="Sinespaciado"/>
        <w:rPr>
          <w:rFonts w:ascii="Times New Roman" w:hAnsi="Times New Roman" w:cs="Times New Roman"/>
          <w:sz w:val="16"/>
          <w:lang w:val="es-MX"/>
        </w:rPr>
      </w:pPr>
      <w:r w:rsidRPr="00DE0239">
        <w:rPr>
          <w:rFonts w:ascii="Times New Roman" w:hAnsi="Times New Roman" w:cs="Times New Roman"/>
          <w:sz w:val="16"/>
          <w:lang w:val="es-MX"/>
        </w:rPr>
        <w:t>*No incluye amortizaciones de la deuda pública</w:t>
      </w:r>
    </w:p>
    <w:p w:rsidR="00BA7AF8" w:rsidRPr="00DE0239" w:rsidRDefault="00BA7AF8" w:rsidP="00BA7AF8">
      <w:pPr>
        <w:spacing w:after="0" w:line="240" w:lineRule="auto"/>
        <w:jc w:val="both"/>
        <w:rPr>
          <w:rFonts w:ascii="Times New Roman" w:hAnsi="Times New Roman" w:cs="Times New Roman"/>
          <w:sz w:val="16"/>
        </w:rPr>
      </w:pPr>
      <w:r w:rsidRPr="00DE0239">
        <w:rPr>
          <w:rFonts w:ascii="Times New Roman" w:hAnsi="Times New Roman" w:cs="Times New Roman"/>
          <w:sz w:val="16"/>
        </w:rPr>
        <w:t>Fuente: Dirección de Análisis y Política Fiscal</w:t>
      </w:r>
    </w:p>
    <w:p w:rsidR="00BA7AF8" w:rsidRPr="00582EE2" w:rsidRDefault="00BA7AF8" w:rsidP="00BA7AF8">
      <w:pPr>
        <w:pStyle w:val="Sinespaciado"/>
        <w:jc w:val="both"/>
        <w:rPr>
          <w:rFonts w:ascii="Times New Roman" w:hAnsi="Times New Roman" w:cs="Times New Roman"/>
          <w:color w:val="FF0000"/>
          <w:lang w:val="es-MX"/>
        </w:rPr>
      </w:pPr>
    </w:p>
    <w:p w:rsidR="00BA7AF8" w:rsidRPr="00582EE2" w:rsidRDefault="00E54483" w:rsidP="00E54483">
      <w:pPr>
        <w:pStyle w:val="Sinespaciado"/>
        <w:jc w:val="both"/>
        <w:rPr>
          <w:rFonts w:ascii="Times New Roman" w:hAnsi="Times New Roman" w:cs="Times New Roman"/>
          <w:color w:val="FF0000"/>
          <w:lang w:val="es-MX"/>
        </w:rPr>
      </w:pPr>
      <w:r>
        <w:rPr>
          <w:rFonts w:ascii="Times New Roman" w:hAnsi="Times New Roman" w:cs="Times New Roman"/>
          <w:lang w:val="es-MX"/>
        </w:rPr>
        <w:t>A nivel de rubro de cuenta económica, el mayor crecimiento interanual se reporta en las transferencias corrientes, las cuales son mayores en Q5,915.7 millones a las reportadas en 2019, con un crecimiento de 52.8%, como resultado de la ejecución observada en las transferencias a personas individuales, las cuales provienen principalmente del Bono Familia y el Fondo de Protección de Empleo, hasta la fecha se han ejecutado Q6,527.1 millones entre ambas actividades.</w:t>
      </w:r>
      <w:r w:rsidR="00BA7AF8" w:rsidRPr="00582EE2">
        <w:rPr>
          <w:rFonts w:ascii="Times New Roman" w:hAnsi="Times New Roman" w:cs="Times New Roman"/>
          <w:color w:val="FF0000"/>
          <w:lang w:val="es-MX"/>
        </w:rPr>
        <w:t xml:space="preserve"> </w:t>
      </w:r>
    </w:p>
    <w:p w:rsidR="00BA7AF8" w:rsidRPr="00582EE2" w:rsidRDefault="00BA7AF8" w:rsidP="00BA7AF8">
      <w:pPr>
        <w:pStyle w:val="Sinespaciado"/>
        <w:jc w:val="both"/>
        <w:rPr>
          <w:rFonts w:ascii="Times New Roman" w:hAnsi="Times New Roman" w:cs="Times New Roman"/>
          <w:color w:val="FF0000"/>
          <w:lang w:val="es-MX"/>
        </w:rPr>
      </w:pPr>
    </w:p>
    <w:p w:rsidR="00BA7AF8" w:rsidRPr="00582EE2" w:rsidRDefault="00E54483" w:rsidP="00FD3C18">
      <w:pPr>
        <w:pStyle w:val="Sinespaciado"/>
        <w:jc w:val="both"/>
        <w:rPr>
          <w:rFonts w:ascii="Times New Roman" w:hAnsi="Times New Roman" w:cs="Times New Roman"/>
          <w:color w:val="FF0000"/>
          <w:lang w:val="es-MX"/>
        </w:rPr>
      </w:pPr>
      <w:r>
        <w:rPr>
          <w:rFonts w:ascii="Times New Roman" w:hAnsi="Times New Roman" w:cs="Times New Roman"/>
          <w:lang w:val="es-MX"/>
        </w:rPr>
        <w:t>Por su parte, la inversión financiera reporta una ejecución mayor en Q2,145.5 millones a la reportada en 2019 y representan el 3.3% del gasto público. La alta ejecución en dicho rubro se espera sea distintiva de este ejercicio fiscal, ya que en este rubro se registran los fondos otorgados a instituciones públicas financieras, específicamente el traslado de recursos hacia entidades financieras para otorgar créditos en condiciones blandas en atención a la emergencia del COVID-19. En septiembre se desembolsaron Q700 millones por este concepto</w:t>
      </w:r>
      <w:r>
        <w:rPr>
          <w:rFonts w:ascii="Times New Roman" w:hAnsi="Times New Roman" w:cs="Times New Roman"/>
          <w:lang w:val="es-MX"/>
        </w:rPr>
        <w:t>.</w:t>
      </w:r>
    </w:p>
    <w:p w:rsidR="00BA7AF8" w:rsidRPr="00E54483" w:rsidRDefault="00BA7AF8" w:rsidP="00E54483">
      <w:pPr>
        <w:pStyle w:val="Sinespaciado"/>
        <w:jc w:val="both"/>
        <w:rPr>
          <w:rFonts w:ascii="Times New Roman" w:hAnsi="Times New Roman" w:cs="Times New Roman"/>
          <w:lang w:val="es-MX"/>
        </w:rPr>
      </w:pPr>
    </w:p>
    <w:p w:rsidR="00E54483" w:rsidRDefault="000B33FB" w:rsidP="00E54483">
      <w:pPr>
        <w:pStyle w:val="Sinespaciado"/>
        <w:jc w:val="both"/>
        <w:rPr>
          <w:rFonts w:ascii="Times New Roman" w:hAnsi="Times New Roman" w:cs="Times New Roman"/>
          <w:lang w:val="es-MX"/>
        </w:rPr>
      </w:pPr>
      <w:r>
        <w:rPr>
          <w:rFonts w:ascii="Times New Roman" w:hAnsi="Times New Roman" w:cs="Times New Roman"/>
          <w:lang w:val="es-MX"/>
        </w:rPr>
        <w:t>L</w:t>
      </w:r>
      <w:r w:rsidR="00E54483" w:rsidRPr="00421446">
        <w:rPr>
          <w:rFonts w:ascii="Times New Roman" w:hAnsi="Times New Roman" w:cs="Times New Roman"/>
          <w:lang w:val="es-MX"/>
        </w:rPr>
        <w:t>as remuneraciones reportan</w:t>
      </w:r>
      <w:r w:rsidR="00E54483">
        <w:rPr>
          <w:rFonts w:ascii="Times New Roman" w:hAnsi="Times New Roman" w:cs="Times New Roman"/>
          <w:lang w:val="es-MX"/>
        </w:rPr>
        <w:t xml:space="preserve"> un crecimiento interanual de 8.5</w:t>
      </w:r>
      <w:r w:rsidR="00E54483" w:rsidRPr="00421446">
        <w:rPr>
          <w:rFonts w:ascii="Times New Roman" w:hAnsi="Times New Roman" w:cs="Times New Roman"/>
          <w:lang w:val="es-MX"/>
        </w:rPr>
        <w:t>%, equivalente a Q1,</w:t>
      </w:r>
      <w:r w:rsidR="00E54483">
        <w:rPr>
          <w:rFonts w:ascii="Times New Roman" w:hAnsi="Times New Roman" w:cs="Times New Roman"/>
          <w:lang w:val="es-MX"/>
        </w:rPr>
        <w:t>559.2</w:t>
      </w:r>
      <w:r w:rsidR="00E54483" w:rsidRPr="00421446">
        <w:rPr>
          <w:rFonts w:ascii="Times New Roman" w:hAnsi="Times New Roman" w:cs="Times New Roman"/>
          <w:lang w:val="es-MX"/>
        </w:rPr>
        <w:t xml:space="preserve"> millones</w:t>
      </w:r>
      <w:r w:rsidR="00E54483">
        <w:rPr>
          <w:rFonts w:ascii="Times New Roman" w:hAnsi="Times New Roman" w:cs="Times New Roman"/>
          <w:lang w:val="es-MX"/>
        </w:rPr>
        <w:t>.</w:t>
      </w:r>
    </w:p>
    <w:p w:rsidR="00E54483" w:rsidRDefault="00E54483" w:rsidP="00E54483">
      <w:pPr>
        <w:pStyle w:val="Sinespaciado"/>
        <w:jc w:val="both"/>
        <w:rPr>
          <w:rFonts w:ascii="Times New Roman" w:hAnsi="Times New Roman" w:cs="Times New Roman"/>
          <w:lang w:val="es-MX"/>
        </w:rPr>
      </w:pPr>
    </w:p>
    <w:p w:rsidR="00E54483" w:rsidRDefault="00E54483" w:rsidP="00E54483">
      <w:pPr>
        <w:spacing w:after="0" w:line="240" w:lineRule="auto"/>
        <w:jc w:val="both"/>
        <w:rPr>
          <w:rFonts w:ascii="Times New Roman" w:hAnsi="Times New Roman" w:cs="Times New Roman"/>
          <w:lang w:val="es-MX"/>
        </w:rPr>
      </w:pPr>
      <w:r>
        <w:rPr>
          <w:rFonts w:ascii="Times New Roman" w:hAnsi="Times New Roman" w:cs="Times New Roman"/>
          <w:lang w:val="es-MX"/>
        </w:rPr>
        <w:t xml:space="preserve">En cuanto al </w:t>
      </w:r>
      <w:r w:rsidRPr="007E4892">
        <w:rPr>
          <w:rFonts w:ascii="Times New Roman" w:hAnsi="Times New Roman" w:cs="Times New Roman"/>
          <w:lang w:val="es-MX"/>
        </w:rPr>
        <w:t xml:space="preserve">pago de intereses también </w:t>
      </w:r>
      <w:r>
        <w:rPr>
          <w:rFonts w:ascii="Times New Roman" w:hAnsi="Times New Roman" w:cs="Times New Roman"/>
          <w:lang w:val="es-MX"/>
        </w:rPr>
        <w:t xml:space="preserve">se </w:t>
      </w:r>
      <w:r w:rsidRPr="007E4892">
        <w:rPr>
          <w:rFonts w:ascii="Times New Roman" w:hAnsi="Times New Roman" w:cs="Times New Roman"/>
          <w:lang w:val="es-MX"/>
        </w:rPr>
        <w:t xml:space="preserve">reporta una mayor ejecución respecto al año previo, siendo el crecimiento interanual de </w:t>
      </w:r>
      <w:r>
        <w:rPr>
          <w:rFonts w:ascii="Times New Roman" w:hAnsi="Times New Roman" w:cs="Times New Roman"/>
          <w:lang w:val="es-MX"/>
        </w:rPr>
        <w:t>3</w:t>
      </w:r>
      <w:r w:rsidRPr="007E4892">
        <w:rPr>
          <w:rFonts w:ascii="Times New Roman" w:hAnsi="Times New Roman" w:cs="Times New Roman"/>
          <w:lang w:val="es-MX"/>
        </w:rPr>
        <w:t>.</w:t>
      </w:r>
      <w:r>
        <w:rPr>
          <w:rFonts w:ascii="Times New Roman" w:hAnsi="Times New Roman" w:cs="Times New Roman"/>
          <w:lang w:val="es-MX"/>
        </w:rPr>
        <w:t>3</w:t>
      </w:r>
      <w:r w:rsidRPr="007E4892">
        <w:rPr>
          <w:rFonts w:ascii="Times New Roman" w:hAnsi="Times New Roman" w:cs="Times New Roman"/>
          <w:lang w:val="es-MX"/>
        </w:rPr>
        <w:t>%, equivalente a Q</w:t>
      </w:r>
      <w:r>
        <w:rPr>
          <w:rFonts w:ascii="Times New Roman" w:hAnsi="Times New Roman" w:cs="Times New Roman"/>
          <w:lang w:val="es-MX"/>
        </w:rPr>
        <w:t>217</w:t>
      </w:r>
      <w:r w:rsidRPr="007E4892">
        <w:rPr>
          <w:rFonts w:ascii="Times New Roman" w:hAnsi="Times New Roman" w:cs="Times New Roman"/>
          <w:lang w:val="es-MX"/>
        </w:rPr>
        <w:t>.</w:t>
      </w:r>
      <w:r>
        <w:rPr>
          <w:rFonts w:ascii="Times New Roman" w:hAnsi="Times New Roman" w:cs="Times New Roman"/>
          <w:lang w:val="es-MX"/>
        </w:rPr>
        <w:t>1</w:t>
      </w:r>
      <w:r w:rsidRPr="007E4892">
        <w:rPr>
          <w:rFonts w:ascii="Times New Roman" w:hAnsi="Times New Roman" w:cs="Times New Roman"/>
          <w:lang w:val="es-MX"/>
        </w:rPr>
        <w:t xml:space="preserve"> millones, </w:t>
      </w:r>
      <w:r>
        <w:rPr>
          <w:rFonts w:ascii="Times New Roman" w:hAnsi="Times New Roman" w:cs="Times New Roman"/>
          <w:lang w:val="es-MX"/>
        </w:rPr>
        <w:t xml:space="preserve">el cual se </w:t>
      </w:r>
      <w:r w:rsidRPr="007E4892">
        <w:rPr>
          <w:rFonts w:ascii="Times New Roman" w:hAnsi="Times New Roman" w:cs="Times New Roman"/>
          <w:lang w:val="es-MX"/>
        </w:rPr>
        <w:t>explica por los bonos colocados en el mercado internacional</w:t>
      </w:r>
      <w:r>
        <w:rPr>
          <w:rFonts w:ascii="Times New Roman" w:hAnsi="Times New Roman" w:cs="Times New Roman"/>
          <w:lang w:val="es-MX"/>
        </w:rPr>
        <w:t xml:space="preserve">, conocidos como Eurobonos. </w:t>
      </w:r>
    </w:p>
    <w:p w:rsidR="00E54483" w:rsidRDefault="00E54483" w:rsidP="00E54483">
      <w:pPr>
        <w:spacing w:after="0" w:line="240" w:lineRule="auto"/>
        <w:jc w:val="both"/>
        <w:rPr>
          <w:rFonts w:ascii="Times New Roman" w:hAnsi="Times New Roman" w:cs="Times New Roman"/>
          <w:lang w:val="es-MX"/>
        </w:rPr>
      </w:pPr>
    </w:p>
    <w:p w:rsidR="00E54483" w:rsidRDefault="00E54483" w:rsidP="00E54483">
      <w:pPr>
        <w:spacing w:after="0" w:line="240" w:lineRule="auto"/>
        <w:jc w:val="both"/>
        <w:rPr>
          <w:rFonts w:ascii="Times New Roman" w:hAnsi="Times New Roman" w:cs="Times New Roman"/>
          <w:lang w:val="es-MX"/>
        </w:rPr>
      </w:pPr>
      <w:r w:rsidRPr="007E4892">
        <w:rPr>
          <w:rFonts w:ascii="Times New Roman" w:hAnsi="Times New Roman" w:cs="Times New Roman"/>
          <w:lang w:val="es-MX"/>
        </w:rPr>
        <w:t>Respecto a las prestaciones a la seguridad social, reportan un crecimiento leve de 0.7%, equivalente a Q2</w:t>
      </w:r>
      <w:r>
        <w:rPr>
          <w:rFonts w:ascii="Times New Roman" w:hAnsi="Times New Roman" w:cs="Times New Roman"/>
          <w:lang w:val="es-MX"/>
        </w:rPr>
        <w:t>8</w:t>
      </w:r>
      <w:r w:rsidRPr="007E4892">
        <w:rPr>
          <w:rFonts w:ascii="Times New Roman" w:hAnsi="Times New Roman" w:cs="Times New Roman"/>
          <w:lang w:val="es-MX"/>
        </w:rPr>
        <w:t>.</w:t>
      </w:r>
      <w:r>
        <w:rPr>
          <w:rFonts w:ascii="Times New Roman" w:hAnsi="Times New Roman" w:cs="Times New Roman"/>
          <w:lang w:val="es-MX"/>
        </w:rPr>
        <w:t>0</w:t>
      </w:r>
      <w:r w:rsidRPr="007E4892">
        <w:rPr>
          <w:rFonts w:ascii="Times New Roman" w:hAnsi="Times New Roman" w:cs="Times New Roman"/>
          <w:lang w:val="es-MX"/>
        </w:rPr>
        <w:t xml:space="preserve"> millones. </w:t>
      </w:r>
    </w:p>
    <w:p w:rsidR="00E54483" w:rsidRPr="007E4892" w:rsidRDefault="00E54483" w:rsidP="00E54483">
      <w:pPr>
        <w:spacing w:after="0" w:line="240" w:lineRule="auto"/>
        <w:jc w:val="both"/>
        <w:rPr>
          <w:rFonts w:ascii="Times New Roman" w:hAnsi="Times New Roman" w:cs="Times New Roman"/>
          <w:lang w:val="es-MX"/>
        </w:rPr>
      </w:pPr>
    </w:p>
    <w:p w:rsidR="00E54483" w:rsidRDefault="00E54483" w:rsidP="00E54483">
      <w:pPr>
        <w:pStyle w:val="Sinespaciado"/>
        <w:jc w:val="both"/>
        <w:rPr>
          <w:rFonts w:ascii="Times New Roman" w:hAnsi="Times New Roman" w:cs="Times New Roman"/>
          <w:lang w:val="es-MX"/>
        </w:rPr>
      </w:pPr>
      <w:r>
        <w:rPr>
          <w:rFonts w:ascii="Times New Roman" w:hAnsi="Times New Roman" w:cs="Times New Roman"/>
          <w:lang w:val="es-MX"/>
        </w:rPr>
        <w:t xml:space="preserve">Así mismo, los bienes y servicios reportan un crecimiento de 3.5% equivalente a Q191.3 millones, </w:t>
      </w:r>
      <w:r w:rsidRPr="00DE3C5A">
        <w:rPr>
          <w:rFonts w:ascii="Times New Roman" w:hAnsi="Times New Roman" w:cs="Times New Roman"/>
          <w:lang w:val="es-MX"/>
        </w:rPr>
        <w:t xml:space="preserve">los cuales se explican por una mayor </w:t>
      </w:r>
      <w:r w:rsidRPr="00DE3C5A">
        <w:rPr>
          <w:rFonts w:ascii="Times New Roman" w:hAnsi="Times New Roman" w:cs="Times New Roman"/>
          <w:lang w:val="es-MX"/>
        </w:rPr>
        <w:lastRenderedPageBreak/>
        <w:t>ejecución en este rubro por parte del Ministerio de Salud Pública y Asistencia Social con Q273.4 millones destinados a la compra de insumos médicos diversos para la atención del COVID-19 y en el Ministerio de Comunicaciones, Infraestructura y Vivienda con Q190.1 millones correspondiente al mantenimiento y reparación de carreteras.</w:t>
      </w:r>
      <w:r>
        <w:rPr>
          <w:rFonts w:ascii="Times New Roman" w:hAnsi="Times New Roman" w:cs="Times New Roman"/>
          <w:lang w:val="es-MX"/>
        </w:rPr>
        <w:t xml:space="preserve"> </w:t>
      </w:r>
    </w:p>
    <w:p w:rsidR="00E54483" w:rsidRDefault="00E54483" w:rsidP="00E54483">
      <w:pPr>
        <w:pStyle w:val="Sinespaciado"/>
        <w:jc w:val="both"/>
        <w:rPr>
          <w:rFonts w:ascii="Times New Roman" w:hAnsi="Times New Roman" w:cs="Times New Roman"/>
          <w:lang w:val="es-MX"/>
        </w:rPr>
      </w:pPr>
    </w:p>
    <w:p w:rsidR="00BA7AF8" w:rsidRPr="00582EE2" w:rsidRDefault="00E54483" w:rsidP="00E54483">
      <w:pPr>
        <w:spacing w:line="240" w:lineRule="auto"/>
        <w:jc w:val="both"/>
        <w:rPr>
          <w:rFonts w:ascii="Times New Roman" w:hAnsi="Times New Roman" w:cs="Times New Roman"/>
          <w:color w:val="FF0000"/>
          <w:lang w:val="es-MX"/>
        </w:rPr>
      </w:pPr>
      <w:r>
        <w:rPr>
          <w:rFonts w:ascii="Times New Roman" w:hAnsi="Times New Roman" w:cs="Times New Roman"/>
          <w:lang w:val="es-MX"/>
        </w:rPr>
        <w:t>Los rubros que reportan caídas son las transferencias de capital con -4.4% y la inversión real directa con una fuerte caída de -39.8%.</w:t>
      </w:r>
      <w:r w:rsidR="00BA7AF8" w:rsidRPr="00582EE2">
        <w:rPr>
          <w:rFonts w:ascii="Times New Roman" w:hAnsi="Times New Roman" w:cs="Times New Roman"/>
          <w:color w:val="FF0000"/>
          <w:lang w:val="es-MX"/>
        </w:rPr>
        <w:t xml:space="preserve"> </w:t>
      </w:r>
    </w:p>
    <w:p w:rsidR="00BA7AF8" w:rsidRPr="00E54483" w:rsidRDefault="00BA7AF8" w:rsidP="00BA7AF8">
      <w:pPr>
        <w:pStyle w:val="Sinespaciado"/>
        <w:jc w:val="center"/>
        <w:rPr>
          <w:rFonts w:ascii="Times New Roman" w:hAnsi="Times New Roman" w:cs="Times New Roman"/>
          <w:sz w:val="20"/>
          <w:lang w:val="es-MX"/>
        </w:rPr>
      </w:pPr>
      <w:r w:rsidRPr="00E54483">
        <w:rPr>
          <w:rFonts w:ascii="Times New Roman" w:hAnsi="Times New Roman" w:cs="Times New Roman"/>
          <w:b/>
          <w:lang w:val="es-MX"/>
        </w:rPr>
        <w:t>Ejecución por rubro de Cuenta Económica</w:t>
      </w:r>
      <w:r w:rsidRPr="00E54483">
        <w:t xml:space="preserve"> </w:t>
      </w:r>
      <w:r w:rsidRPr="00E54483">
        <w:rPr>
          <w:rFonts w:ascii="Times New Roman" w:hAnsi="Times New Roman" w:cs="Times New Roman"/>
          <w:sz w:val="20"/>
          <w:lang w:val="es-MX"/>
        </w:rPr>
        <w:t>2020 – 2019</w:t>
      </w:r>
    </w:p>
    <w:p w:rsidR="00BA7AF8" w:rsidRPr="00E54483" w:rsidRDefault="00E54483" w:rsidP="00BA7AF8">
      <w:pPr>
        <w:pStyle w:val="Sinespaciado"/>
        <w:jc w:val="center"/>
        <w:rPr>
          <w:rFonts w:ascii="Times New Roman" w:hAnsi="Times New Roman" w:cs="Times New Roman"/>
          <w:sz w:val="20"/>
          <w:lang w:val="es-MX"/>
        </w:rPr>
      </w:pPr>
      <w:r w:rsidRPr="00E54483">
        <w:rPr>
          <w:rFonts w:ascii="Times New Roman" w:hAnsi="Times New Roman" w:cs="Times New Roman"/>
          <w:noProof/>
          <w:sz w:val="18"/>
          <w:lang w:eastAsia="es-GT"/>
        </w:rPr>
        <w:drawing>
          <wp:anchor distT="0" distB="0" distL="114300" distR="114300" simplePos="0" relativeHeight="251847680" behindDoc="0" locked="0" layoutInCell="1" allowOverlap="1" wp14:anchorId="3F71E707" wp14:editId="0FB8DECC">
            <wp:simplePos x="0" y="0"/>
            <wp:positionH relativeFrom="column">
              <wp:posOffset>-1270</wp:posOffset>
            </wp:positionH>
            <wp:positionV relativeFrom="paragraph">
              <wp:posOffset>196850</wp:posOffset>
            </wp:positionV>
            <wp:extent cx="2790825" cy="3104515"/>
            <wp:effectExtent l="0" t="0" r="0" b="635"/>
            <wp:wrapSquare wrapText="bothSides"/>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BA7AF8" w:rsidRPr="00E54483">
        <w:rPr>
          <w:rFonts w:ascii="Times New Roman" w:hAnsi="Times New Roman" w:cs="Times New Roman"/>
          <w:sz w:val="20"/>
          <w:lang w:val="es-MX"/>
        </w:rPr>
        <w:t>Variación absoluta interanual</w:t>
      </w:r>
    </w:p>
    <w:p w:rsidR="00BA7AF8" w:rsidRPr="00E54483" w:rsidRDefault="00BA7AF8" w:rsidP="00BA7AF8">
      <w:pPr>
        <w:spacing w:after="0" w:line="240" w:lineRule="auto"/>
        <w:jc w:val="both"/>
        <w:rPr>
          <w:rFonts w:ascii="Times New Roman" w:hAnsi="Times New Roman" w:cs="Times New Roman"/>
          <w:sz w:val="16"/>
        </w:rPr>
      </w:pPr>
      <w:r w:rsidRPr="00E54483">
        <w:rPr>
          <w:rFonts w:ascii="Times New Roman" w:hAnsi="Times New Roman" w:cs="Times New Roman"/>
          <w:sz w:val="16"/>
        </w:rPr>
        <w:t>Fuente: Dirección de Análisis y Política Fiscal</w:t>
      </w:r>
    </w:p>
    <w:p w:rsidR="00BA7AF8" w:rsidRPr="00582EE2" w:rsidRDefault="00BA7AF8" w:rsidP="00BA7AF8">
      <w:pPr>
        <w:pStyle w:val="Sinespaciado"/>
        <w:jc w:val="both"/>
        <w:rPr>
          <w:rFonts w:ascii="Times New Roman" w:hAnsi="Times New Roman" w:cs="Times New Roman"/>
          <w:color w:val="FF0000"/>
        </w:rPr>
      </w:pPr>
    </w:p>
    <w:p w:rsidR="00866AFC" w:rsidRPr="005C0D08" w:rsidRDefault="00866AFC" w:rsidP="00866AFC">
      <w:pPr>
        <w:pStyle w:val="Sinespaciado"/>
        <w:jc w:val="both"/>
        <w:rPr>
          <w:rFonts w:ascii="Times New Roman" w:hAnsi="Times New Roman" w:cs="Times New Roman"/>
          <w:lang w:val="es-MX"/>
        </w:rPr>
      </w:pPr>
      <w:r w:rsidRPr="005C0D08">
        <w:rPr>
          <w:rFonts w:ascii="Times New Roman" w:hAnsi="Times New Roman" w:cs="Times New Roman"/>
          <w:lang w:val="es-MX"/>
        </w:rPr>
        <w:t>En lo que respecta a las transferencias de capital, se espera que estas se mantengan con un menor dinamismo derivado de la caída en la recaudación tributaria, la cual afecta las transferencias</w:t>
      </w:r>
      <w:r>
        <w:rPr>
          <w:rFonts w:ascii="Times New Roman" w:hAnsi="Times New Roman" w:cs="Times New Roman"/>
          <w:lang w:val="es-MX"/>
        </w:rPr>
        <w:t xml:space="preserve"> que se realizan hacia</w:t>
      </w:r>
      <w:r w:rsidRPr="005C0D08">
        <w:rPr>
          <w:rFonts w:ascii="Times New Roman" w:hAnsi="Times New Roman" w:cs="Times New Roman"/>
          <w:lang w:val="es-MX"/>
        </w:rPr>
        <w:t xml:space="preserve"> las municipalidades, </w:t>
      </w:r>
      <w:r>
        <w:rPr>
          <w:rFonts w:ascii="Times New Roman" w:hAnsi="Times New Roman" w:cs="Times New Roman"/>
          <w:lang w:val="es-MX"/>
        </w:rPr>
        <w:t xml:space="preserve">las cuales </w:t>
      </w:r>
      <w:r w:rsidRPr="005C0D08">
        <w:rPr>
          <w:rFonts w:ascii="Times New Roman" w:hAnsi="Times New Roman" w:cs="Times New Roman"/>
          <w:lang w:val="es-MX"/>
        </w:rPr>
        <w:t xml:space="preserve">reportan un crecimiento negativo de 1.8% y la transferencia </w:t>
      </w:r>
      <w:r w:rsidRPr="005C0D08">
        <w:rPr>
          <w:rFonts w:ascii="Times New Roman" w:hAnsi="Times New Roman" w:cs="Times New Roman"/>
          <w:lang w:val="es-MX"/>
        </w:rPr>
        <w:lastRenderedPageBreak/>
        <w:t xml:space="preserve">hacia los Consejos de Desarrollo Urbano y Rural con un crecimiento negativo de 17.1%. </w:t>
      </w:r>
    </w:p>
    <w:p w:rsidR="00866AFC" w:rsidRPr="008C5A6D" w:rsidRDefault="00866AFC" w:rsidP="00866AFC">
      <w:pPr>
        <w:pStyle w:val="Sinespaciado"/>
        <w:jc w:val="both"/>
        <w:rPr>
          <w:rFonts w:ascii="Times New Roman" w:hAnsi="Times New Roman" w:cs="Times New Roman"/>
          <w:highlight w:val="yellow"/>
          <w:lang w:val="es-MX"/>
        </w:rPr>
      </w:pPr>
    </w:p>
    <w:p w:rsidR="00866AFC" w:rsidRDefault="00866AFC" w:rsidP="00866AFC">
      <w:pPr>
        <w:pStyle w:val="Sinespaciado"/>
        <w:jc w:val="both"/>
        <w:rPr>
          <w:rFonts w:ascii="Times New Roman" w:hAnsi="Times New Roman" w:cs="Times New Roman"/>
          <w:lang w:val="es-MX"/>
        </w:rPr>
      </w:pPr>
      <w:r w:rsidRPr="00FA1AB5">
        <w:rPr>
          <w:rFonts w:ascii="Times New Roman" w:hAnsi="Times New Roman" w:cs="Times New Roman"/>
          <w:lang w:val="es-MX"/>
        </w:rPr>
        <w:t xml:space="preserve">Por su parte, la inversión real directa es el rubro del gasto con la caída más significativa, siendo de Q1,263.2 millones. Esto se debe a un dinamismo lento en el Ministerio de Comunicaciones, Infraestructura y Vivienda, </w:t>
      </w:r>
      <w:r>
        <w:rPr>
          <w:rFonts w:ascii="Times New Roman" w:hAnsi="Times New Roman" w:cs="Times New Roman"/>
          <w:lang w:val="es-MX"/>
        </w:rPr>
        <w:t>el cual reporta una ejecución menor en Q898.2 millones respecto al año previo y e</w:t>
      </w:r>
      <w:r w:rsidRPr="00FA1AB5">
        <w:rPr>
          <w:rFonts w:ascii="Times New Roman" w:hAnsi="Times New Roman" w:cs="Times New Roman"/>
          <w:lang w:val="es-MX"/>
        </w:rPr>
        <w:t xml:space="preserve">ncontrándose entre las instituciones </w:t>
      </w:r>
      <w:r>
        <w:rPr>
          <w:rFonts w:ascii="Times New Roman" w:hAnsi="Times New Roman" w:cs="Times New Roman"/>
          <w:lang w:val="es-MX"/>
        </w:rPr>
        <w:t xml:space="preserve">con </w:t>
      </w:r>
      <w:r w:rsidRPr="00FA1AB5">
        <w:rPr>
          <w:rFonts w:ascii="Times New Roman" w:hAnsi="Times New Roman" w:cs="Times New Roman"/>
          <w:lang w:val="es-MX"/>
        </w:rPr>
        <w:t>las ejecuciones más rezagadas.</w:t>
      </w:r>
      <w:r>
        <w:rPr>
          <w:rFonts w:ascii="Times New Roman" w:hAnsi="Times New Roman" w:cs="Times New Roman"/>
          <w:lang w:val="es-MX"/>
        </w:rPr>
        <w:t xml:space="preserve"> Aunque es importante mencionar que se han otorgado algunos anticipos para proyectos de infraestructura, estos no han sido regularizados.</w:t>
      </w:r>
    </w:p>
    <w:p w:rsidR="00866AFC" w:rsidRDefault="00866AFC" w:rsidP="00866AFC">
      <w:pPr>
        <w:pStyle w:val="Sinespaciado"/>
        <w:jc w:val="both"/>
        <w:rPr>
          <w:rFonts w:ascii="Times New Roman" w:hAnsi="Times New Roman" w:cs="Times New Roman"/>
          <w:lang w:val="es-MX"/>
        </w:rPr>
      </w:pPr>
    </w:p>
    <w:p w:rsidR="00866AFC" w:rsidRDefault="00866AFC" w:rsidP="00866AFC">
      <w:pPr>
        <w:pStyle w:val="Sinespaciado"/>
        <w:jc w:val="both"/>
        <w:rPr>
          <w:rFonts w:ascii="Times New Roman" w:hAnsi="Times New Roman" w:cs="Times New Roman"/>
          <w:lang w:val="es-MX"/>
        </w:rPr>
      </w:pPr>
      <w:r>
        <w:rPr>
          <w:rFonts w:ascii="Times New Roman" w:hAnsi="Times New Roman" w:cs="Times New Roman"/>
          <w:lang w:val="es-MX"/>
        </w:rPr>
        <w:t xml:space="preserve">En cuanto al </w:t>
      </w:r>
      <w:r w:rsidRPr="006220B2">
        <w:rPr>
          <w:rFonts w:ascii="Times New Roman" w:hAnsi="Times New Roman" w:cs="Times New Roman"/>
          <w:lang w:val="es-MX"/>
        </w:rPr>
        <w:t>gasto</w:t>
      </w:r>
      <w:r>
        <w:rPr>
          <w:rFonts w:ascii="Times New Roman" w:hAnsi="Times New Roman" w:cs="Times New Roman"/>
          <w:lang w:val="es-MX"/>
        </w:rPr>
        <w:t xml:space="preserve"> total</w:t>
      </w:r>
      <w:r w:rsidRPr="006220B2">
        <w:rPr>
          <w:rFonts w:ascii="Times New Roman" w:hAnsi="Times New Roman" w:cs="Times New Roman"/>
          <w:lang w:val="es-MX"/>
        </w:rPr>
        <w:t xml:space="preserve">, </w:t>
      </w:r>
      <w:r>
        <w:rPr>
          <w:rFonts w:ascii="Times New Roman" w:hAnsi="Times New Roman" w:cs="Times New Roman"/>
          <w:lang w:val="es-MX"/>
        </w:rPr>
        <w:t>el</w:t>
      </w:r>
      <w:r w:rsidRPr="006220B2">
        <w:rPr>
          <w:rFonts w:ascii="Times New Roman" w:hAnsi="Times New Roman" w:cs="Times New Roman"/>
          <w:lang w:val="es-MX"/>
        </w:rPr>
        <w:t xml:space="preserve"> cual incluye amortizaciones de la </w:t>
      </w:r>
      <w:r>
        <w:rPr>
          <w:rFonts w:ascii="Times New Roman" w:hAnsi="Times New Roman" w:cs="Times New Roman"/>
          <w:lang w:val="es-MX"/>
        </w:rPr>
        <w:t xml:space="preserve">deuda pública, </w:t>
      </w:r>
      <w:r w:rsidRPr="006220B2">
        <w:rPr>
          <w:rFonts w:ascii="Times New Roman" w:hAnsi="Times New Roman" w:cs="Times New Roman"/>
          <w:lang w:val="es-MX"/>
        </w:rPr>
        <w:t>se situó en Q</w:t>
      </w:r>
      <w:r>
        <w:rPr>
          <w:rFonts w:ascii="Times New Roman" w:hAnsi="Times New Roman" w:cs="Times New Roman"/>
          <w:lang w:val="es-MX"/>
        </w:rPr>
        <w:t>67</w:t>
      </w:r>
      <w:r w:rsidRPr="006220B2">
        <w:rPr>
          <w:rFonts w:ascii="Times New Roman" w:hAnsi="Times New Roman" w:cs="Times New Roman"/>
          <w:lang w:val="es-MX"/>
        </w:rPr>
        <w:t>,</w:t>
      </w:r>
      <w:r>
        <w:rPr>
          <w:rFonts w:ascii="Times New Roman" w:hAnsi="Times New Roman" w:cs="Times New Roman"/>
          <w:lang w:val="es-MX"/>
        </w:rPr>
        <w:t xml:space="preserve">376.0 </w:t>
      </w:r>
      <w:r w:rsidRPr="006220B2">
        <w:rPr>
          <w:rFonts w:ascii="Times New Roman" w:hAnsi="Times New Roman" w:cs="Times New Roman"/>
          <w:lang w:val="es-MX"/>
        </w:rPr>
        <w:t>millones</w:t>
      </w:r>
      <w:r>
        <w:rPr>
          <w:rFonts w:ascii="Times New Roman" w:hAnsi="Times New Roman" w:cs="Times New Roman"/>
          <w:lang w:val="es-MX"/>
        </w:rPr>
        <w:t>, con un grado de ejecución de 62.5% y una variación interanual de 14.4%. E</w:t>
      </w:r>
      <w:r w:rsidRPr="006220B2">
        <w:rPr>
          <w:rFonts w:ascii="Times New Roman" w:hAnsi="Times New Roman" w:cs="Times New Roman"/>
          <w:lang w:val="es-MX"/>
        </w:rPr>
        <w:t xml:space="preserve">ste </w:t>
      </w:r>
      <w:r>
        <w:rPr>
          <w:rFonts w:ascii="Times New Roman" w:hAnsi="Times New Roman" w:cs="Times New Roman"/>
          <w:lang w:val="es-MX"/>
        </w:rPr>
        <w:t xml:space="preserve">grado de ejecución </w:t>
      </w:r>
      <w:r w:rsidRPr="006220B2">
        <w:rPr>
          <w:rFonts w:ascii="Times New Roman" w:hAnsi="Times New Roman" w:cs="Times New Roman"/>
          <w:lang w:val="es-MX"/>
        </w:rPr>
        <w:t xml:space="preserve">se encuentra por </w:t>
      </w:r>
      <w:r>
        <w:rPr>
          <w:rFonts w:ascii="Times New Roman" w:hAnsi="Times New Roman" w:cs="Times New Roman"/>
          <w:lang w:val="es-MX"/>
        </w:rPr>
        <w:t>abajo d</w:t>
      </w:r>
      <w:r w:rsidRPr="006220B2">
        <w:rPr>
          <w:rFonts w:ascii="Times New Roman" w:hAnsi="Times New Roman" w:cs="Times New Roman"/>
          <w:lang w:val="es-MX"/>
        </w:rPr>
        <w:t>e la ejecución promedio de los últimos 5 años (</w:t>
      </w:r>
      <w:r>
        <w:rPr>
          <w:rFonts w:ascii="Times New Roman" w:hAnsi="Times New Roman" w:cs="Times New Roman"/>
          <w:lang w:val="es-MX"/>
        </w:rPr>
        <w:t>65.2</w:t>
      </w:r>
      <w:r w:rsidRPr="006220B2">
        <w:rPr>
          <w:rFonts w:ascii="Times New Roman" w:hAnsi="Times New Roman" w:cs="Times New Roman"/>
          <w:lang w:val="es-MX"/>
        </w:rPr>
        <w:t>%)</w:t>
      </w:r>
      <w:r>
        <w:rPr>
          <w:rFonts w:ascii="Times New Roman" w:hAnsi="Times New Roman" w:cs="Times New Roman"/>
          <w:lang w:val="es-MX"/>
        </w:rPr>
        <w:t xml:space="preserve"> </w:t>
      </w:r>
      <w:r w:rsidRPr="006220B2">
        <w:rPr>
          <w:rFonts w:ascii="Times New Roman" w:hAnsi="Times New Roman" w:cs="Times New Roman"/>
          <w:lang w:val="es-MX"/>
        </w:rPr>
        <w:t xml:space="preserve">y es </w:t>
      </w:r>
      <w:r>
        <w:rPr>
          <w:rFonts w:ascii="Times New Roman" w:hAnsi="Times New Roman" w:cs="Times New Roman"/>
          <w:lang w:val="es-MX"/>
        </w:rPr>
        <w:t>infer</w:t>
      </w:r>
      <w:r w:rsidRPr="006220B2">
        <w:rPr>
          <w:rFonts w:ascii="Times New Roman" w:hAnsi="Times New Roman" w:cs="Times New Roman"/>
          <w:lang w:val="es-MX"/>
        </w:rPr>
        <w:t>ior a la reportada en</w:t>
      </w:r>
      <w:r>
        <w:rPr>
          <w:rFonts w:ascii="Times New Roman" w:hAnsi="Times New Roman" w:cs="Times New Roman"/>
          <w:lang w:val="es-MX"/>
        </w:rPr>
        <w:t xml:space="preserve"> cada uno de los años previos, a excepción del año 2017 que reportaba una ejecución de 62.3%. </w:t>
      </w:r>
    </w:p>
    <w:p w:rsidR="00866AFC" w:rsidRDefault="00866AFC" w:rsidP="00866AFC">
      <w:pPr>
        <w:pStyle w:val="Sinespaciado"/>
        <w:jc w:val="both"/>
        <w:rPr>
          <w:rFonts w:ascii="Times New Roman" w:hAnsi="Times New Roman" w:cs="Times New Roman"/>
          <w:lang w:val="es-MX"/>
        </w:rPr>
      </w:pPr>
    </w:p>
    <w:p w:rsidR="00BA7AF8" w:rsidRPr="00582EE2" w:rsidRDefault="00866AFC" w:rsidP="00866AFC">
      <w:pPr>
        <w:pStyle w:val="Sinespaciado"/>
        <w:jc w:val="both"/>
        <w:rPr>
          <w:rFonts w:ascii="Times New Roman" w:hAnsi="Times New Roman" w:cs="Times New Roman"/>
          <w:color w:val="FF0000"/>
          <w:lang w:val="es-MX"/>
        </w:rPr>
      </w:pPr>
      <w:r>
        <w:rPr>
          <w:rFonts w:ascii="Times New Roman" w:hAnsi="Times New Roman" w:cs="Times New Roman"/>
          <w:lang w:val="es-MX"/>
        </w:rPr>
        <w:t>Es importante tener presente que hay un efecto en la ejecución presupuestaria dadas las amplias modificaciones presupuestarias aprobadas en el año, las cuales ascienden a Q20,045.7 millones, de las cuales Q14,610.0 millones corresponden a los programas sociales y económicos de seguimiento en atención a la emergencia del COVID-19. Al sustraer las ampliaciones presupuestarias y la ejecución derivadas de la emergencia del COVID-19, el grado de ejecución disminuye en 0.7%, hasta ubicarse en 61.8%. Esto muestra que el nivel de ejecución por concepto de COVID-19 está siendo más dinámico que la ejecución del gasto público normal.</w:t>
      </w:r>
      <w:r w:rsidR="00BA7AF8" w:rsidRPr="00582EE2">
        <w:rPr>
          <w:rFonts w:ascii="Times New Roman" w:hAnsi="Times New Roman" w:cs="Times New Roman"/>
          <w:color w:val="FF0000"/>
          <w:lang w:val="es-MX"/>
        </w:rPr>
        <w:t xml:space="preserve"> </w:t>
      </w:r>
    </w:p>
    <w:p w:rsidR="00BA7AF8" w:rsidRDefault="00BA7AF8" w:rsidP="00BA7AF8">
      <w:pPr>
        <w:pStyle w:val="Sinespaciado"/>
        <w:jc w:val="both"/>
        <w:rPr>
          <w:rFonts w:ascii="Times New Roman" w:hAnsi="Times New Roman" w:cs="Times New Roman"/>
          <w:color w:val="FF0000"/>
          <w:lang w:val="es-MX"/>
        </w:rPr>
      </w:pPr>
    </w:p>
    <w:p w:rsidR="00866AFC" w:rsidRDefault="00866AFC" w:rsidP="00BA7AF8">
      <w:pPr>
        <w:pStyle w:val="Sinespaciado"/>
        <w:jc w:val="both"/>
        <w:rPr>
          <w:rFonts w:ascii="Times New Roman" w:hAnsi="Times New Roman" w:cs="Times New Roman"/>
          <w:color w:val="FF0000"/>
          <w:lang w:val="es-MX"/>
        </w:rPr>
      </w:pPr>
    </w:p>
    <w:p w:rsidR="00866AFC" w:rsidRDefault="00866AFC" w:rsidP="00BA7AF8">
      <w:pPr>
        <w:pStyle w:val="Sinespaciado"/>
        <w:jc w:val="both"/>
        <w:rPr>
          <w:rFonts w:ascii="Times New Roman" w:hAnsi="Times New Roman" w:cs="Times New Roman"/>
          <w:color w:val="FF0000"/>
          <w:lang w:val="es-MX"/>
        </w:rPr>
      </w:pPr>
    </w:p>
    <w:p w:rsidR="00866AFC" w:rsidRPr="00582EE2" w:rsidRDefault="00866AFC" w:rsidP="00BA7AF8">
      <w:pPr>
        <w:pStyle w:val="Sinespaciado"/>
        <w:jc w:val="both"/>
        <w:rPr>
          <w:rFonts w:ascii="Times New Roman" w:hAnsi="Times New Roman" w:cs="Times New Roman"/>
          <w:color w:val="FF0000"/>
          <w:lang w:val="es-MX"/>
        </w:rPr>
      </w:pPr>
    </w:p>
    <w:p w:rsidR="00BA7AF8" w:rsidRPr="00866AFC" w:rsidRDefault="00BA7AF8" w:rsidP="00BA7AF8">
      <w:pPr>
        <w:spacing w:after="0" w:line="240" w:lineRule="auto"/>
        <w:jc w:val="center"/>
        <w:rPr>
          <w:rFonts w:ascii="Times New Roman" w:hAnsi="Times New Roman" w:cs="Times New Roman"/>
          <w:b/>
          <w:lang w:val="es-MX"/>
        </w:rPr>
      </w:pPr>
      <w:r w:rsidRPr="00866AFC">
        <w:rPr>
          <w:rFonts w:ascii="Times New Roman" w:hAnsi="Times New Roman" w:cs="Times New Roman"/>
          <w:b/>
          <w:lang w:val="es-MX"/>
        </w:rPr>
        <w:lastRenderedPageBreak/>
        <w:t>Grado de Ejecución de los últimos 5 años</w:t>
      </w:r>
    </w:p>
    <w:p w:rsidR="00BA7AF8" w:rsidRPr="00866AFC" w:rsidRDefault="00BA7AF8" w:rsidP="00BA7AF8">
      <w:pPr>
        <w:pStyle w:val="Sinespaciado"/>
        <w:jc w:val="center"/>
        <w:rPr>
          <w:rFonts w:ascii="Times New Roman" w:hAnsi="Times New Roman" w:cs="Times New Roman"/>
          <w:sz w:val="20"/>
          <w:szCs w:val="18"/>
          <w:lang w:val="es-MX"/>
        </w:rPr>
      </w:pPr>
      <w:r w:rsidRPr="00866AFC">
        <w:rPr>
          <w:rFonts w:ascii="Times New Roman" w:hAnsi="Times New Roman" w:cs="Times New Roman"/>
          <w:sz w:val="20"/>
          <w:szCs w:val="18"/>
          <w:lang w:val="es-MX"/>
        </w:rPr>
        <w:t>Al 30 de septiembre de cada año</w:t>
      </w:r>
    </w:p>
    <w:p w:rsidR="00BA7AF8" w:rsidRPr="00866AFC" w:rsidRDefault="00866AFC" w:rsidP="00BA7AF8">
      <w:pPr>
        <w:pStyle w:val="Sinespaciado"/>
        <w:jc w:val="center"/>
        <w:rPr>
          <w:rFonts w:ascii="Times New Roman" w:hAnsi="Times New Roman" w:cs="Times New Roman"/>
          <w:sz w:val="20"/>
          <w:szCs w:val="18"/>
          <w:lang w:val="es-MX"/>
        </w:rPr>
      </w:pPr>
      <w:r w:rsidRPr="00866AFC">
        <w:rPr>
          <w:rFonts w:ascii="Times New Roman" w:hAnsi="Times New Roman" w:cs="Times New Roman"/>
          <w:noProof/>
          <w:sz w:val="18"/>
          <w:szCs w:val="18"/>
          <w:lang w:eastAsia="es-GT"/>
        </w:rPr>
        <w:drawing>
          <wp:anchor distT="0" distB="0" distL="114300" distR="114300" simplePos="0" relativeHeight="251849728" behindDoc="0" locked="0" layoutInCell="1" allowOverlap="1" wp14:anchorId="0FA2A7DA" wp14:editId="6E0E1EF3">
            <wp:simplePos x="0" y="0"/>
            <wp:positionH relativeFrom="column">
              <wp:posOffset>-96520</wp:posOffset>
            </wp:positionH>
            <wp:positionV relativeFrom="paragraph">
              <wp:posOffset>147320</wp:posOffset>
            </wp:positionV>
            <wp:extent cx="2806065" cy="2211070"/>
            <wp:effectExtent l="0" t="0" r="0" b="0"/>
            <wp:wrapSquare wrapText="bothSides"/>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BA7AF8" w:rsidRPr="00866AFC">
        <w:rPr>
          <w:rFonts w:ascii="Times New Roman" w:hAnsi="Times New Roman" w:cs="Times New Roman"/>
          <w:sz w:val="20"/>
          <w:szCs w:val="18"/>
          <w:lang w:val="es-MX"/>
        </w:rPr>
        <w:t>Cifras en porcentajes</w:t>
      </w:r>
    </w:p>
    <w:p w:rsidR="00BA7AF8" w:rsidRPr="00866AFC" w:rsidRDefault="00BA7AF8" w:rsidP="00BA7AF8">
      <w:pPr>
        <w:spacing w:after="0" w:line="240" w:lineRule="auto"/>
        <w:jc w:val="both"/>
        <w:rPr>
          <w:rFonts w:ascii="Times New Roman" w:hAnsi="Times New Roman" w:cs="Times New Roman"/>
          <w:sz w:val="16"/>
        </w:rPr>
      </w:pPr>
      <w:r w:rsidRPr="00866AFC">
        <w:rPr>
          <w:rFonts w:ascii="Times New Roman" w:hAnsi="Times New Roman" w:cs="Times New Roman"/>
          <w:sz w:val="16"/>
        </w:rPr>
        <w:t>Fuente: Dirección de Análisis y Política Fiscal</w:t>
      </w:r>
    </w:p>
    <w:p w:rsidR="00FD3C18" w:rsidRPr="00582EE2" w:rsidRDefault="00FD3C18" w:rsidP="00BA7AF8">
      <w:pPr>
        <w:pStyle w:val="Sinespaciado"/>
        <w:jc w:val="both"/>
        <w:rPr>
          <w:rFonts w:ascii="Times New Roman" w:hAnsi="Times New Roman" w:cs="Times New Roman"/>
          <w:color w:val="FF0000"/>
        </w:rPr>
      </w:pPr>
    </w:p>
    <w:p w:rsidR="0074022A" w:rsidRDefault="0074022A" w:rsidP="0074022A">
      <w:pPr>
        <w:pStyle w:val="Sinespaciado"/>
        <w:jc w:val="both"/>
        <w:rPr>
          <w:rFonts w:ascii="Times New Roman" w:hAnsi="Times New Roman" w:cs="Times New Roman"/>
        </w:rPr>
      </w:pPr>
      <w:r>
        <w:rPr>
          <w:rFonts w:ascii="Times New Roman" w:hAnsi="Times New Roman" w:cs="Times New Roman"/>
        </w:rPr>
        <w:t xml:space="preserve">A nivel del gasto público por entidades, muestran el mayor nivel de ejecución Desarrollo Social (73.4%), la PGN (73.0%), Educación (70.2%), Presidencia (65.5%), Obligaciones del Estado a cargo del Tesoro (63.9%) y el Servicio de la Deuda Pública (62.6%), todas estas entidades se encuentran por arriba de la ejecución total. </w:t>
      </w:r>
    </w:p>
    <w:p w:rsidR="00BA7AF8" w:rsidRPr="00582EE2" w:rsidRDefault="00BA7AF8" w:rsidP="00BA7AF8">
      <w:pPr>
        <w:pStyle w:val="Sinespaciado"/>
        <w:jc w:val="both"/>
        <w:rPr>
          <w:rFonts w:ascii="Times New Roman" w:hAnsi="Times New Roman" w:cs="Times New Roman"/>
          <w:color w:val="FF0000"/>
        </w:rPr>
      </w:pPr>
    </w:p>
    <w:p w:rsidR="0074022A" w:rsidRPr="004748F4" w:rsidRDefault="0074022A" w:rsidP="0074022A">
      <w:pPr>
        <w:pStyle w:val="Sinespaciado"/>
        <w:jc w:val="both"/>
        <w:rPr>
          <w:rFonts w:ascii="Times New Roman" w:hAnsi="Times New Roman" w:cs="Times New Roman"/>
        </w:rPr>
      </w:pPr>
      <w:r>
        <w:rPr>
          <w:rFonts w:ascii="Times New Roman" w:hAnsi="Times New Roman" w:cs="Times New Roman"/>
        </w:rPr>
        <w:t xml:space="preserve">Resalta el caso específico del Ministerio de Desarrollo Social, ubicándose como la entidad que se encuentra a la cabeza por nivel de ejecución, situación que es atípica de este ejercicio fiscal y responde a la ejecución del programa Bono Familia, del cual únicamente está pendiente de ejecutar el tercer pago, dando así por concluida la actividad más relevante del gobierno en atención al COVID-19. </w:t>
      </w:r>
    </w:p>
    <w:p w:rsidR="0074022A" w:rsidRDefault="0074022A" w:rsidP="0074022A">
      <w:pPr>
        <w:pStyle w:val="Sinespaciado"/>
        <w:jc w:val="both"/>
        <w:rPr>
          <w:rFonts w:ascii="Times New Roman" w:hAnsi="Times New Roman" w:cs="Times New Roman"/>
        </w:rPr>
      </w:pPr>
    </w:p>
    <w:p w:rsidR="0074022A" w:rsidRDefault="0074022A" w:rsidP="0074022A">
      <w:pPr>
        <w:pStyle w:val="Sinespaciado"/>
        <w:jc w:val="both"/>
        <w:rPr>
          <w:rFonts w:ascii="Times New Roman" w:hAnsi="Times New Roman" w:cs="Times New Roman"/>
        </w:rPr>
      </w:pPr>
      <w:r>
        <w:rPr>
          <w:rFonts w:ascii="Times New Roman" w:hAnsi="Times New Roman" w:cs="Times New Roman"/>
        </w:rPr>
        <w:t>Por su parte, el resto de las entidades se encuentran por debajo de la ejecución institucional total, resalta el caso de tres entidades, siendo Comunicaciones (46.0%), Cultura y Deportes (36.3%) y Agricultura (34</w:t>
      </w:r>
      <w:r w:rsidRPr="00241093">
        <w:rPr>
          <w:rFonts w:ascii="Times New Roman" w:hAnsi="Times New Roman" w:cs="Times New Roman"/>
        </w:rPr>
        <w:t>.</w:t>
      </w:r>
      <w:r>
        <w:rPr>
          <w:rFonts w:ascii="Times New Roman" w:hAnsi="Times New Roman" w:cs="Times New Roman"/>
        </w:rPr>
        <w:t>7</w:t>
      </w:r>
      <w:r w:rsidRPr="00241093">
        <w:rPr>
          <w:rFonts w:ascii="Times New Roman" w:hAnsi="Times New Roman" w:cs="Times New Roman"/>
        </w:rPr>
        <w:t>%)</w:t>
      </w:r>
      <w:r>
        <w:rPr>
          <w:rFonts w:ascii="Times New Roman" w:hAnsi="Times New Roman" w:cs="Times New Roman"/>
        </w:rPr>
        <w:t xml:space="preserve">. </w:t>
      </w:r>
    </w:p>
    <w:p w:rsidR="0074022A" w:rsidRDefault="0074022A" w:rsidP="0074022A">
      <w:pPr>
        <w:pStyle w:val="Sinespaciado"/>
        <w:jc w:val="both"/>
        <w:rPr>
          <w:rFonts w:ascii="Times New Roman" w:hAnsi="Times New Roman" w:cs="Times New Roman"/>
        </w:rPr>
      </w:pPr>
    </w:p>
    <w:p w:rsidR="0074022A" w:rsidRDefault="0074022A" w:rsidP="0074022A">
      <w:pPr>
        <w:pStyle w:val="Sinespaciado"/>
        <w:jc w:val="both"/>
        <w:rPr>
          <w:rFonts w:ascii="Times New Roman" w:hAnsi="Times New Roman" w:cs="Times New Roman"/>
        </w:rPr>
      </w:pPr>
      <w:r>
        <w:rPr>
          <w:rFonts w:ascii="Times New Roman" w:hAnsi="Times New Roman" w:cs="Times New Roman"/>
        </w:rPr>
        <w:lastRenderedPageBreak/>
        <w:t>En el caso de Agricultura, Ganadería y Alimentación el nivel de ejecución se ha visto afectado por un dinamismo bajo en la ejecución de los programas asociados al COVID-19, los cuales representan una proporción importante del presupuesto de la entidad, en el caso del programa de dotación alimentaria se ha regularizado una pequeña parte del anticipo otorgado y en cuanto al programa de agricultura campesina, este no reporta ejecución a la fecha.</w:t>
      </w:r>
    </w:p>
    <w:p w:rsidR="0074022A" w:rsidRDefault="0074022A" w:rsidP="0074022A">
      <w:pPr>
        <w:pStyle w:val="Sinespaciado"/>
        <w:jc w:val="both"/>
        <w:rPr>
          <w:rFonts w:ascii="Times New Roman" w:hAnsi="Times New Roman" w:cs="Times New Roman"/>
        </w:rPr>
      </w:pPr>
    </w:p>
    <w:p w:rsidR="0074022A" w:rsidRPr="00CB0CD5" w:rsidRDefault="0074022A" w:rsidP="0074022A">
      <w:pPr>
        <w:pStyle w:val="Sinespaciado"/>
        <w:jc w:val="both"/>
        <w:rPr>
          <w:rFonts w:ascii="Times New Roman" w:hAnsi="Times New Roman" w:cs="Times New Roman"/>
        </w:rPr>
      </w:pPr>
      <w:r>
        <w:rPr>
          <w:rFonts w:ascii="Times New Roman" w:hAnsi="Times New Roman" w:cs="Times New Roman"/>
        </w:rPr>
        <w:t>Por su parte, Salud Pública y Asistencia Social, entidad cuyo proceder se consideraba especialmente relevante por la coyuntura de la pandemia COVID-19 y su combate, no</w:t>
      </w:r>
      <w:r w:rsidRPr="00CB0CD5">
        <w:rPr>
          <w:rFonts w:ascii="Times New Roman" w:hAnsi="Times New Roman" w:cs="Times New Roman"/>
        </w:rPr>
        <w:t xml:space="preserve"> ha mostrado </w:t>
      </w:r>
      <w:r>
        <w:rPr>
          <w:rFonts w:ascii="Times New Roman" w:hAnsi="Times New Roman" w:cs="Times New Roman"/>
        </w:rPr>
        <w:t>el dinamismo esperado, de esa cuenta, su ejecución es de 58.1%.</w:t>
      </w:r>
      <w:r w:rsidRPr="00CB0CD5">
        <w:rPr>
          <w:rFonts w:ascii="Times New Roman" w:hAnsi="Times New Roman" w:cs="Times New Roman"/>
        </w:rPr>
        <w:t xml:space="preserve"> </w:t>
      </w:r>
    </w:p>
    <w:p w:rsidR="0074022A" w:rsidRPr="00CB0CD5" w:rsidRDefault="0074022A" w:rsidP="0074022A">
      <w:pPr>
        <w:pStyle w:val="Sinespaciado"/>
        <w:jc w:val="both"/>
        <w:rPr>
          <w:rFonts w:ascii="Times New Roman" w:hAnsi="Times New Roman" w:cs="Times New Roman"/>
        </w:rPr>
      </w:pPr>
    </w:p>
    <w:p w:rsidR="0074022A" w:rsidRDefault="0074022A" w:rsidP="0074022A">
      <w:pPr>
        <w:pStyle w:val="Sinespaciado"/>
        <w:jc w:val="both"/>
        <w:rPr>
          <w:rFonts w:ascii="Times New Roman" w:hAnsi="Times New Roman" w:cs="Times New Roman"/>
        </w:rPr>
      </w:pPr>
      <w:r w:rsidRPr="00CB0CD5">
        <w:rPr>
          <w:rFonts w:ascii="Times New Roman" w:hAnsi="Times New Roman" w:cs="Times New Roman"/>
        </w:rPr>
        <w:t xml:space="preserve">En </w:t>
      </w:r>
      <w:r>
        <w:rPr>
          <w:rFonts w:ascii="Times New Roman" w:hAnsi="Times New Roman" w:cs="Times New Roman"/>
        </w:rPr>
        <w:t>septiembre, se tomó la decisión de no solicitar una nueva</w:t>
      </w:r>
      <w:r w:rsidRPr="00CB0CD5">
        <w:rPr>
          <w:rFonts w:ascii="Times New Roman" w:hAnsi="Times New Roman" w:cs="Times New Roman"/>
        </w:rPr>
        <w:t xml:space="preserve"> prórroga del Estado de Calamidad</w:t>
      </w:r>
      <w:r>
        <w:rPr>
          <w:rFonts w:ascii="Times New Roman" w:hAnsi="Times New Roman" w:cs="Times New Roman"/>
        </w:rPr>
        <w:t xml:space="preserve">, con lo cual, a partir del 01 de octubre el Ejecutivo no puede </w:t>
      </w:r>
      <w:r w:rsidRPr="00CB0CD5">
        <w:rPr>
          <w:rFonts w:ascii="Times New Roman" w:hAnsi="Times New Roman" w:cs="Times New Roman"/>
        </w:rPr>
        <w:t>tomar medidas</w:t>
      </w:r>
      <w:r>
        <w:rPr>
          <w:rFonts w:ascii="Times New Roman" w:hAnsi="Times New Roman" w:cs="Times New Roman"/>
        </w:rPr>
        <w:t xml:space="preserve"> extraordinarias en cuanto a las restricciones de movilidad y otras para evitar la propagación del virus</w:t>
      </w:r>
      <w:r w:rsidRPr="00CB0CD5">
        <w:rPr>
          <w:rFonts w:ascii="Times New Roman" w:hAnsi="Times New Roman" w:cs="Times New Roman"/>
        </w:rPr>
        <w:t>.</w:t>
      </w:r>
      <w:r>
        <w:rPr>
          <w:rFonts w:ascii="Times New Roman" w:hAnsi="Times New Roman" w:cs="Times New Roman"/>
        </w:rPr>
        <w:t xml:space="preserve"> No obstante, los programas continúan su ejecución hasta finalizar el ejercicio fiscal 2020, en caso los fondos no sean ejecutados para los fines establecidos, estos deberán devolverse al Fondo Común. </w:t>
      </w:r>
    </w:p>
    <w:p w:rsidR="0074022A" w:rsidRDefault="0074022A" w:rsidP="0074022A">
      <w:pPr>
        <w:pStyle w:val="Sinespaciado"/>
        <w:jc w:val="both"/>
        <w:rPr>
          <w:rFonts w:ascii="Times New Roman" w:hAnsi="Times New Roman" w:cs="Times New Roman"/>
        </w:rPr>
      </w:pPr>
    </w:p>
    <w:p w:rsidR="0074022A" w:rsidRDefault="0074022A" w:rsidP="0074022A">
      <w:pPr>
        <w:pStyle w:val="Sinespaciado"/>
        <w:jc w:val="both"/>
        <w:rPr>
          <w:rFonts w:ascii="Times New Roman" w:hAnsi="Times New Roman" w:cs="Times New Roman"/>
        </w:rPr>
      </w:pPr>
      <w:r>
        <w:rPr>
          <w:rFonts w:ascii="Times New Roman" w:hAnsi="Times New Roman" w:cs="Times New Roman"/>
        </w:rPr>
        <w:t xml:space="preserve">En cuanto a crecimiento interanual </w:t>
      </w:r>
      <w:r w:rsidRPr="00502A24">
        <w:rPr>
          <w:rFonts w:ascii="Times New Roman" w:hAnsi="Times New Roman" w:cs="Times New Roman"/>
        </w:rPr>
        <w:t>reportan avances</w:t>
      </w:r>
      <w:r>
        <w:rPr>
          <w:rFonts w:ascii="Times New Roman" w:hAnsi="Times New Roman" w:cs="Times New Roman"/>
        </w:rPr>
        <w:t xml:space="preserve"> importantes el Ministerio de Desarrollo Social (823.5%) y Economía (576.8%), derivado de la ejecución de las actividades para la atención del COVID-19, aunque es importante considerar que estas actividades son de carácter temporal y para el siguiente ejercicio fiscal no fueron consideradas en el proyecto de presupuesto de ingresos y egresos para el 2021.</w:t>
      </w:r>
    </w:p>
    <w:p w:rsidR="0074022A" w:rsidRDefault="0074022A" w:rsidP="0074022A">
      <w:pPr>
        <w:pStyle w:val="Sinespaciado"/>
        <w:jc w:val="both"/>
        <w:rPr>
          <w:rFonts w:ascii="Times New Roman" w:hAnsi="Times New Roman" w:cs="Times New Roman"/>
        </w:rPr>
      </w:pPr>
    </w:p>
    <w:p w:rsidR="0074022A" w:rsidRPr="00582EE2" w:rsidRDefault="0074022A" w:rsidP="0074022A">
      <w:pPr>
        <w:pStyle w:val="Sinespaciado"/>
        <w:jc w:val="both"/>
        <w:rPr>
          <w:rFonts w:ascii="Times New Roman" w:hAnsi="Times New Roman" w:cs="Times New Roman"/>
          <w:color w:val="FF0000"/>
          <w:lang w:val="es-MX"/>
        </w:rPr>
      </w:pPr>
      <w:r>
        <w:rPr>
          <w:rFonts w:ascii="Times New Roman" w:hAnsi="Times New Roman" w:cs="Times New Roman"/>
        </w:rPr>
        <w:t xml:space="preserve">Nueve entidades reportan retrocesos respecto al año previo, entre las caídas más importantes, se encuentra Cultura y Deportes (-30.4%), Agricultura (-26.0%), Ambiente y Recursos </w:t>
      </w:r>
      <w:r>
        <w:rPr>
          <w:rFonts w:ascii="Times New Roman" w:hAnsi="Times New Roman" w:cs="Times New Roman"/>
        </w:rPr>
        <w:lastRenderedPageBreak/>
        <w:t>Naturales (-26.0%) y Comunicaciones, Infraestructura y Vivienda (-22.4%).</w:t>
      </w:r>
    </w:p>
    <w:p w:rsidR="00FD3C18" w:rsidRPr="00582EE2" w:rsidRDefault="00FD3C18" w:rsidP="00BA7AF8">
      <w:pPr>
        <w:pStyle w:val="Sinespaciado"/>
        <w:jc w:val="both"/>
        <w:rPr>
          <w:rFonts w:ascii="Times New Roman" w:hAnsi="Times New Roman" w:cs="Times New Roman"/>
          <w:color w:val="FF0000"/>
        </w:rPr>
      </w:pPr>
    </w:p>
    <w:p w:rsidR="00BA7AF8" w:rsidRPr="0074022A" w:rsidRDefault="00BA7AF8" w:rsidP="00BA7AF8">
      <w:pPr>
        <w:spacing w:after="0" w:line="240" w:lineRule="auto"/>
        <w:jc w:val="center"/>
        <w:rPr>
          <w:rFonts w:ascii="Times New Roman" w:hAnsi="Times New Roman" w:cs="Times New Roman"/>
          <w:b/>
          <w:lang w:val="es-MX"/>
        </w:rPr>
      </w:pPr>
      <w:r w:rsidRPr="0074022A">
        <w:rPr>
          <w:rFonts w:ascii="Times New Roman" w:hAnsi="Times New Roman" w:cs="Times New Roman"/>
          <w:b/>
          <w:lang w:val="es-MX"/>
        </w:rPr>
        <w:t>Grado de Ejecución por Entidad</w:t>
      </w:r>
    </w:p>
    <w:p w:rsidR="00BA7AF8" w:rsidRPr="0074022A" w:rsidRDefault="00BA7AF8" w:rsidP="00BA7AF8">
      <w:pPr>
        <w:spacing w:after="0" w:line="240" w:lineRule="auto"/>
        <w:jc w:val="center"/>
        <w:rPr>
          <w:rFonts w:ascii="Times New Roman" w:hAnsi="Times New Roman" w:cs="Times New Roman"/>
          <w:sz w:val="18"/>
          <w:szCs w:val="18"/>
          <w:lang w:val="es-MX"/>
        </w:rPr>
      </w:pPr>
      <w:r w:rsidRPr="0074022A">
        <w:rPr>
          <w:rFonts w:ascii="Times New Roman" w:hAnsi="Times New Roman" w:cs="Times New Roman"/>
          <w:sz w:val="18"/>
          <w:szCs w:val="18"/>
          <w:lang w:val="es-MX"/>
        </w:rPr>
        <w:t>Al 30 de septiembre del 2020</w:t>
      </w:r>
    </w:p>
    <w:p w:rsidR="00BA7AF8" w:rsidRPr="0074022A" w:rsidRDefault="0074022A" w:rsidP="00BA7AF8">
      <w:pPr>
        <w:spacing w:after="0" w:line="240" w:lineRule="auto"/>
        <w:jc w:val="center"/>
        <w:rPr>
          <w:rFonts w:ascii="Times New Roman" w:hAnsi="Times New Roman" w:cs="Times New Roman"/>
          <w:sz w:val="18"/>
          <w:szCs w:val="18"/>
          <w:lang w:val="es-MX"/>
        </w:rPr>
      </w:pPr>
      <w:r w:rsidRPr="0074022A">
        <w:rPr>
          <w:rFonts w:ascii="Times New Roman" w:hAnsi="Times New Roman" w:cs="Times New Roman"/>
          <w:noProof/>
          <w:sz w:val="18"/>
          <w:szCs w:val="18"/>
          <w:lang w:eastAsia="es-GT"/>
        </w:rPr>
        <w:drawing>
          <wp:anchor distT="0" distB="0" distL="114300" distR="114300" simplePos="0" relativeHeight="251851776" behindDoc="0" locked="0" layoutInCell="1" allowOverlap="1" wp14:anchorId="1E7119C2" wp14:editId="73F5E2D1">
            <wp:simplePos x="0" y="0"/>
            <wp:positionH relativeFrom="column">
              <wp:posOffset>-96520</wp:posOffset>
            </wp:positionH>
            <wp:positionV relativeFrom="paragraph">
              <wp:posOffset>168910</wp:posOffset>
            </wp:positionV>
            <wp:extent cx="2806700" cy="3412490"/>
            <wp:effectExtent l="0" t="0" r="0" b="0"/>
            <wp:wrapSquare wrapText="bothSides"/>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BA7AF8" w:rsidRPr="0074022A">
        <w:rPr>
          <w:rFonts w:ascii="Times New Roman" w:hAnsi="Times New Roman" w:cs="Times New Roman"/>
          <w:sz w:val="18"/>
          <w:szCs w:val="18"/>
          <w:lang w:val="es-MX"/>
        </w:rPr>
        <w:t>Millones de quetzales</w:t>
      </w:r>
    </w:p>
    <w:p w:rsidR="00BA7AF8" w:rsidRPr="0074022A" w:rsidRDefault="00BA7AF8" w:rsidP="00BA7AF8">
      <w:pPr>
        <w:spacing w:after="0" w:line="240" w:lineRule="auto"/>
        <w:jc w:val="both"/>
        <w:rPr>
          <w:rFonts w:ascii="Times New Roman" w:hAnsi="Times New Roman" w:cs="Times New Roman"/>
          <w:sz w:val="16"/>
        </w:rPr>
      </w:pPr>
      <w:r w:rsidRPr="0074022A">
        <w:rPr>
          <w:rFonts w:ascii="Times New Roman" w:hAnsi="Times New Roman" w:cs="Times New Roman"/>
          <w:sz w:val="16"/>
        </w:rPr>
        <w:t>Fuente: Dirección de Análisis y Política Fiscal</w:t>
      </w:r>
    </w:p>
    <w:p w:rsidR="00BA7AF8" w:rsidRPr="00582EE2" w:rsidRDefault="00BA7AF8" w:rsidP="00BA7AF8">
      <w:pPr>
        <w:pStyle w:val="Sinespaciado"/>
        <w:jc w:val="both"/>
        <w:rPr>
          <w:rFonts w:ascii="Times New Roman" w:hAnsi="Times New Roman" w:cs="Times New Roman"/>
          <w:color w:val="FF0000"/>
          <w:lang w:val="es-MX"/>
        </w:rPr>
      </w:pPr>
    </w:p>
    <w:p w:rsidR="0074022A" w:rsidRDefault="0074022A" w:rsidP="0074022A">
      <w:pPr>
        <w:pStyle w:val="Sinespaciado"/>
        <w:jc w:val="both"/>
        <w:rPr>
          <w:rFonts w:ascii="Times New Roman" w:hAnsi="Times New Roman" w:cs="Times New Roman"/>
          <w:lang w:val="es-MX"/>
        </w:rPr>
      </w:pPr>
      <w:r>
        <w:rPr>
          <w:rFonts w:ascii="Times New Roman" w:hAnsi="Times New Roman" w:cs="Times New Roman"/>
          <w:lang w:val="es-MX"/>
        </w:rPr>
        <w:t>En cuanto a la cuota aprobada para el mes por parte de</w:t>
      </w:r>
      <w:r w:rsidRPr="00D10AD4">
        <w:rPr>
          <w:rFonts w:ascii="Times New Roman" w:hAnsi="Times New Roman" w:cs="Times New Roman"/>
          <w:lang w:val="es-MX"/>
        </w:rPr>
        <w:t xml:space="preserve">l Comité de Programación </w:t>
      </w:r>
      <w:r>
        <w:rPr>
          <w:rFonts w:ascii="Times New Roman" w:hAnsi="Times New Roman" w:cs="Times New Roman"/>
          <w:lang w:val="es-MX"/>
        </w:rPr>
        <w:t xml:space="preserve">de la Ejecución Presupuestaria (COPEP), esta ascendió a Q9,988.8 millones, de los cuales se ejecutaron Q8,940.9 millones, quedando sin ejecutar Q1,048.0 millones. Esto muestra que, si bien la ejecución del gasto es dinámica, algunas entidades tienen problema en la ejecución de los recursos aprobados, tal es el caso de Agricultura y Economía con una ejecución de 19.9% y 61.5% respectivamente, en relación a la cuota disponible en septiembre. </w:t>
      </w:r>
    </w:p>
    <w:p w:rsidR="0074022A" w:rsidRDefault="0074022A" w:rsidP="0074022A">
      <w:pPr>
        <w:pStyle w:val="Sinespaciado"/>
        <w:jc w:val="both"/>
        <w:rPr>
          <w:rFonts w:ascii="Times New Roman" w:hAnsi="Times New Roman" w:cs="Times New Roman"/>
          <w:lang w:val="es-MX"/>
        </w:rPr>
      </w:pPr>
    </w:p>
    <w:p w:rsidR="0074022A" w:rsidRDefault="0074022A" w:rsidP="0074022A">
      <w:pPr>
        <w:pStyle w:val="Sinespaciado"/>
        <w:jc w:val="both"/>
        <w:rPr>
          <w:rFonts w:ascii="Times New Roman" w:hAnsi="Times New Roman" w:cs="Times New Roman"/>
          <w:lang w:val="es-MX"/>
        </w:rPr>
      </w:pPr>
      <w:r>
        <w:rPr>
          <w:rFonts w:ascii="Times New Roman" w:hAnsi="Times New Roman" w:cs="Times New Roman"/>
          <w:lang w:val="es-MX"/>
        </w:rPr>
        <w:t xml:space="preserve">De </w:t>
      </w:r>
      <w:r w:rsidRPr="00C74885">
        <w:rPr>
          <w:rFonts w:ascii="Times New Roman" w:hAnsi="Times New Roman" w:cs="Times New Roman"/>
          <w:lang w:val="es-MX"/>
        </w:rPr>
        <w:t>l</w:t>
      </w:r>
      <w:r>
        <w:rPr>
          <w:rFonts w:ascii="Times New Roman" w:hAnsi="Times New Roman" w:cs="Times New Roman"/>
          <w:lang w:val="es-MX"/>
        </w:rPr>
        <w:t>a ejecución del</w:t>
      </w:r>
      <w:r w:rsidRPr="00C74885">
        <w:rPr>
          <w:rFonts w:ascii="Times New Roman" w:hAnsi="Times New Roman" w:cs="Times New Roman"/>
          <w:lang w:val="es-MX"/>
        </w:rPr>
        <w:t xml:space="preserve"> gasto social, </w:t>
      </w:r>
      <w:r>
        <w:rPr>
          <w:rFonts w:ascii="Times New Roman" w:hAnsi="Times New Roman" w:cs="Times New Roman"/>
          <w:lang w:val="es-MX"/>
        </w:rPr>
        <w:t xml:space="preserve">que considera únicamente los sectores de salud, educación y vivienda, se reporta una ejecución de 63.1%, al </w:t>
      </w:r>
      <w:r>
        <w:rPr>
          <w:rFonts w:ascii="Times New Roman" w:hAnsi="Times New Roman" w:cs="Times New Roman"/>
          <w:lang w:val="es-MX"/>
        </w:rPr>
        <w:lastRenderedPageBreak/>
        <w:t xml:space="preserve">incluir en el gasto social a los sectores que son parte de los compromisos asumidos por los Acuerdos de Paz, la ejecución disminuye y se ubica en 62.7%. </w:t>
      </w:r>
    </w:p>
    <w:p w:rsidR="0074022A" w:rsidRDefault="0074022A" w:rsidP="0074022A">
      <w:pPr>
        <w:pStyle w:val="Sinespaciado"/>
        <w:jc w:val="both"/>
        <w:rPr>
          <w:rFonts w:ascii="Times New Roman" w:hAnsi="Times New Roman" w:cs="Times New Roman"/>
          <w:lang w:val="es-MX"/>
        </w:rPr>
      </w:pPr>
    </w:p>
    <w:p w:rsidR="0074022A" w:rsidRDefault="0074022A" w:rsidP="0074022A">
      <w:pPr>
        <w:pStyle w:val="Sinespaciado"/>
        <w:jc w:val="both"/>
        <w:rPr>
          <w:rFonts w:ascii="Times New Roman" w:hAnsi="Times New Roman" w:cs="Times New Roman"/>
          <w:lang w:val="es-MX"/>
        </w:rPr>
      </w:pPr>
      <w:r>
        <w:rPr>
          <w:rFonts w:ascii="Times New Roman" w:hAnsi="Times New Roman" w:cs="Times New Roman"/>
          <w:lang w:val="es-MX"/>
        </w:rPr>
        <w:t xml:space="preserve">Los aportes dados al Organismo Judicial y a Corte de Constitucionalidad continúan mostrando el mayor dinamismo del gasto social con 69.8% de ejecución. Seguido del sector </w:t>
      </w:r>
      <w:r w:rsidRPr="002B60D4">
        <w:rPr>
          <w:rFonts w:ascii="Times New Roman" w:hAnsi="Times New Roman" w:cs="Times New Roman"/>
          <w:lang w:val="es-MX"/>
        </w:rPr>
        <w:t xml:space="preserve">educación, ciencia y cultura con una ejecución de </w:t>
      </w:r>
      <w:r>
        <w:rPr>
          <w:rFonts w:ascii="Times New Roman" w:hAnsi="Times New Roman" w:cs="Times New Roman"/>
          <w:lang w:val="es-MX"/>
        </w:rPr>
        <w:t>67</w:t>
      </w:r>
      <w:r w:rsidRPr="002B60D4">
        <w:rPr>
          <w:rFonts w:ascii="Times New Roman" w:hAnsi="Times New Roman" w:cs="Times New Roman"/>
          <w:lang w:val="es-MX"/>
        </w:rPr>
        <w:t>.</w:t>
      </w:r>
      <w:r>
        <w:rPr>
          <w:rFonts w:ascii="Times New Roman" w:hAnsi="Times New Roman" w:cs="Times New Roman"/>
          <w:lang w:val="es-MX"/>
        </w:rPr>
        <w:t>2%</w:t>
      </w:r>
      <w:r w:rsidRPr="002B60D4">
        <w:rPr>
          <w:rFonts w:ascii="Times New Roman" w:hAnsi="Times New Roman" w:cs="Times New Roman"/>
          <w:lang w:val="es-MX"/>
        </w:rPr>
        <w:t>.</w:t>
      </w:r>
      <w:r>
        <w:rPr>
          <w:rFonts w:ascii="Times New Roman" w:hAnsi="Times New Roman" w:cs="Times New Roman"/>
          <w:lang w:val="es-MX"/>
        </w:rPr>
        <w:t xml:space="preserve"> </w:t>
      </w:r>
    </w:p>
    <w:p w:rsidR="0074022A" w:rsidRDefault="0074022A" w:rsidP="0074022A">
      <w:pPr>
        <w:pStyle w:val="Sinespaciado"/>
        <w:jc w:val="both"/>
        <w:rPr>
          <w:rFonts w:ascii="Times New Roman" w:hAnsi="Times New Roman" w:cs="Times New Roman"/>
          <w:lang w:val="es-MX"/>
        </w:rPr>
      </w:pPr>
    </w:p>
    <w:p w:rsidR="00BA7AF8" w:rsidRPr="00582EE2" w:rsidRDefault="0074022A" w:rsidP="00BA7AF8">
      <w:pPr>
        <w:pStyle w:val="Sinespaciado"/>
        <w:jc w:val="both"/>
        <w:rPr>
          <w:rFonts w:ascii="Times New Roman" w:hAnsi="Times New Roman" w:cs="Times New Roman"/>
          <w:color w:val="FF0000"/>
          <w:lang w:val="es-MX"/>
        </w:rPr>
      </w:pPr>
      <w:r>
        <w:rPr>
          <w:rFonts w:ascii="Times New Roman" w:hAnsi="Times New Roman" w:cs="Times New Roman"/>
          <w:lang w:val="es-MX"/>
        </w:rPr>
        <w:t>El sector con la menor ejecución del gasto social es el de la vivienda, reportando únicamente un 38.6%.</w:t>
      </w:r>
      <w:r w:rsidR="00BA7AF8" w:rsidRPr="00582EE2">
        <w:rPr>
          <w:rFonts w:ascii="Times New Roman" w:hAnsi="Times New Roman" w:cs="Times New Roman"/>
          <w:color w:val="FF0000"/>
          <w:lang w:val="es-MX"/>
        </w:rPr>
        <w:t xml:space="preserve"> </w:t>
      </w:r>
    </w:p>
    <w:p w:rsidR="00BA7AF8" w:rsidRPr="0074022A" w:rsidRDefault="00BA7AF8" w:rsidP="00BA7AF8">
      <w:pPr>
        <w:pStyle w:val="Sinespaciado"/>
        <w:jc w:val="center"/>
        <w:rPr>
          <w:rFonts w:ascii="Times New Roman" w:hAnsi="Times New Roman" w:cs="Times New Roman"/>
          <w:b/>
          <w:lang w:val="es-MX"/>
        </w:rPr>
      </w:pPr>
      <w:r w:rsidRPr="0074022A">
        <w:rPr>
          <w:rFonts w:ascii="Times New Roman" w:hAnsi="Times New Roman" w:cs="Times New Roman"/>
          <w:b/>
          <w:lang w:val="es-MX"/>
        </w:rPr>
        <w:lastRenderedPageBreak/>
        <w:t xml:space="preserve">Ejecución y crecimiento del Gasto Social </w:t>
      </w:r>
    </w:p>
    <w:p w:rsidR="00BA7AF8" w:rsidRPr="0074022A" w:rsidRDefault="00BA7AF8" w:rsidP="00BA7AF8">
      <w:pPr>
        <w:pStyle w:val="Sinespaciado"/>
        <w:jc w:val="center"/>
        <w:rPr>
          <w:rFonts w:ascii="Times New Roman" w:hAnsi="Times New Roman" w:cs="Times New Roman"/>
          <w:sz w:val="18"/>
          <w:szCs w:val="18"/>
          <w:lang w:val="es-MX"/>
        </w:rPr>
      </w:pPr>
      <w:r w:rsidRPr="0074022A">
        <w:rPr>
          <w:rFonts w:ascii="Times New Roman" w:hAnsi="Times New Roman" w:cs="Times New Roman"/>
          <w:sz w:val="18"/>
          <w:szCs w:val="18"/>
          <w:lang w:val="es-MX"/>
        </w:rPr>
        <w:t>Al 30 de septiembre 2020</w:t>
      </w:r>
    </w:p>
    <w:p w:rsidR="00BA7AF8" w:rsidRPr="0074022A" w:rsidRDefault="0074022A" w:rsidP="00BA7AF8">
      <w:pPr>
        <w:pStyle w:val="Sinespaciado"/>
        <w:jc w:val="center"/>
        <w:rPr>
          <w:rFonts w:ascii="Times New Roman" w:hAnsi="Times New Roman" w:cs="Times New Roman"/>
          <w:sz w:val="18"/>
          <w:szCs w:val="18"/>
          <w:lang w:val="es-MX"/>
        </w:rPr>
      </w:pPr>
      <w:r w:rsidRPr="0074022A">
        <w:rPr>
          <w:noProof/>
          <w:lang w:eastAsia="es-GT"/>
        </w:rPr>
        <w:drawing>
          <wp:anchor distT="0" distB="0" distL="114300" distR="114300" simplePos="0" relativeHeight="251853824" behindDoc="0" locked="0" layoutInCell="1" allowOverlap="1" wp14:anchorId="30C64F43" wp14:editId="42DB8CD7">
            <wp:simplePos x="0" y="0"/>
            <wp:positionH relativeFrom="column">
              <wp:posOffset>-148309</wp:posOffset>
            </wp:positionH>
            <wp:positionV relativeFrom="paragraph">
              <wp:posOffset>227891</wp:posOffset>
            </wp:positionV>
            <wp:extent cx="3032760" cy="1467293"/>
            <wp:effectExtent l="0" t="0" r="0" b="0"/>
            <wp:wrapSquare wrapText="bothSides"/>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32760" cy="1467293"/>
                    </a:xfrm>
                    <a:prstGeom prst="rect">
                      <a:avLst/>
                    </a:prstGeom>
                    <a:noFill/>
                    <a:ln>
                      <a:noFill/>
                    </a:ln>
                  </pic:spPr>
                </pic:pic>
              </a:graphicData>
            </a:graphic>
            <wp14:sizeRelH relativeFrom="page">
              <wp14:pctWidth>0</wp14:pctWidth>
            </wp14:sizeRelH>
            <wp14:sizeRelV relativeFrom="page">
              <wp14:pctHeight>0</wp14:pctHeight>
            </wp14:sizeRelV>
          </wp:anchor>
        </w:drawing>
      </w:r>
      <w:r w:rsidR="00BA7AF8" w:rsidRPr="0074022A">
        <w:rPr>
          <w:rFonts w:ascii="Times New Roman" w:hAnsi="Times New Roman" w:cs="Times New Roman"/>
          <w:sz w:val="18"/>
          <w:szCs w:val="18"/>
          <w:lang w:val="es-MX"/>
        </w:rPr>
        <w:t>Cifras en porcentajes y en millones de quetzales</w:t>
      </w:r>
    </w:p>
    <w:p w:rsidR="00BA7AF8" w:rsidRPr="0074022A" w:rsidRDefault="00BA7AF8" w:rsidP="00FD3C18">
      <w:pPr>
        <w:pStyle w:val="Sinespaciado"/>
        <w:rPr>
          <w:rFonts w:ascii="Times New Roman" w:hAnsi="Times New Roman" w:cs="Times New Roman"/>
          <w:sz w:val="16"/>
        </w:rPr>
      </w:pPr>
      <w:r w:rsidRPr="0074022A">
        <w:rPr>
          <w:rFonts w:ascii="Times New Roman" w:hAnsi="Times New Roman" w:cs="Times New Roman"/>
          <w:sz w:val="16"/>
        </w:rPr>
        <w:t>Fuente: Dirección de Análisis y Política Fiscal</w:t>
      </w:r>
    </w:p>
    <w:p w:rsidR="00FD3C18" w:rsidRPr="00582EE2" w:rsidRDefault="00FD3C18" w:rsidP="00FD3C18">
      <w:pPr>
        <w:pStyle w:val="Sinespaciado"/>
        <w:rPr>
          <w:rFonts w:ascii="Times New Roman" w:hAnsi="Times New Roman" w:cs="Times New Roman"/>
          <w:color w:val="FF0000"/>
          <w:sz w:val="16"/>
        </w:rPr>
      </w:pPr>
    </w:p>
    <w:p w:rsidR="00FD3C18" w:rsidRPr="00582EE2" w:rsidRDefault="00FD3C18" w:rsidP="00FD3C18">
      <w:pPr>
        <w:pStyle w:val="Sinespaciado"/>
        <w:rPr>
          <w:rFonts w:ascii="Times New Roman" w:hAnsi="Times New Roman" w:cs="Times New Roman"/>
          <w:color w:val="FF0000"/>
          <w:sz w:val="16"/>
        </w:rPr>
      </w:pPr>
    </w:p>
    <w:p w:rsidR="00FD3C18" w:rsidRPr="00582EE2" w:rsidRDefault="00FD3C18" w:rsidP="00FD3C18">
      <w:pPr>
        <w:pStyle w:val="Sinespaciado"/>
        <w:rPr>
          <w:rFonts w:ascii="Times New Roman" w:hAnsi="Times New Roman" w:cs="Times New Roman"/>
          <w:color w:val="FF0000"/>
          <w:sz w:val="28"/>
        </w:rPr>
      </w:pPr>
    </w:p>
    <w:p w:rsidR="00BA782D" w:rsidRPr="00582EE2" w:rsidRDefault="00BA782D" w:rsidP="00BA782D">
      <w:pPr>
        <w:pStyle w:val="Sinespaciado"/>
        <w:jc w:val="both"/>
        <w:rPr>
          <w:rFonts w:ascii="Times New Roman" w:hAnsi="Times New Roman" w:cs="Times New Roman"/>
          <w:color w:val="FF0000"/>
          <w:sz w:val="14"/>
        </w:rPr>
        <w:sectPr w:rsidR="00BA782D" w:rsidRPr="00582EE2" w:rsidSect="00040C99">
          <w:headerReference w:type="default" r:id="rId26"/>
          <w:footerReference w:type="default" r:id="rId27"/>
          <w:type w:val="continuous"/>
          <w:pgSz w:w="12240" w:h="15840" w:code="1"/>
          <w:pgMar w:top="1418" w:right="1418" w:bottom="1418" w:left="1701" w:header="709" w:footer="709" w:gutter="0"/>
          <w:cols w:num="2" w:space="708"/>
          <w:docGrid w:linePitch="360"/>
        </w:sectPr>
      </w:pPr>
    </w:p>
    <w:p w:rsidR="00BA782D" w:rsidRPr="00582EE2" w:rsidRDefault="00BA782D" w:rsidP="00216605">
      <w:pPr>
        <w:pStyle w:val="Sinespaciado"/>
        <w:jc w:val="both"/>
        <w:rPr>
          <w:rFonts w:ascii="Times New Roman" w:hAnsi="Times New Roman" w:cs="Times New Roman"/>
          <w:color w:val="FF0000"/>
          <w:sz w:val="2"/>
          <w:lang w:val="es-MX"/>
        </w:rPr>
      </w:pPr>
    </w:p>
    <w:p w:rsidR="00216605" w:rsidRPr="0074022A" w:rsidRDefault="00CF7EE0" w:rsidP="00216605">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216605" w:rsidRPr="0074022A" w:rsidSect="00FA3B81">
          <w:type w:val="continuous"/>
          <w:pgSz w:w="12240" w:h="15840" w:code="1"/>
          <w:pgMar w:top="1418" w:right="1418" w:bottom="1418" w:left="1418" w:header="709" w:footer="709" w:gutter="0"/>
          <w:cols w:space="708"/>
          <w:docGrid w:linePitch="360"/>
        </w:sectPr>
      </w:pPr>
      <w:r w:rsidRPr="0074022A">
        <w:rPr>
          <w:rFonts w:ascii="Times New Roman" w:hAnsi="Times New Roman" w:cs="Times New Roman"/>
          <w:b/>
          <w:lang w:val="es-MX"/>
        </w:rPr>
        <w:t>C</w:t>
      </w:r>
      <w:r w:rsidR="00F94C84" w:rsidRPr="0074022A">
        <w:rPr>
          <w:rFonts w:ascii="Times New Roman" w:hAnsi="Times New Roman" w:cs="Times New Roman"/>
          <w:b/>
          <w:lang w:val="es-MX"/>
        </w:rPr>
        <w:t xml:space="preserve">olocación de Bonos </w:t>
      </w:r>
      <w:r w:rsidR="00897A38" w:rsidRPr="0074022A">
        <w:rPr>
          <w:rFonts w:ascii="Times New Roman" w:hAnsi="Times New Roman" w:cs="Times New Roman"/>
          <w:b/>
          <w:lang w:val="es-MX"/>
        </w:rPr>
        <w:t>en el mercado interno</w:t>
      </w:r>
    </w:p>
    <w:p w:rsidR="00216605" w:rsidRPr="00582EE2" w:rsidRDefault="00216605" w:rsidP="00216605">
      <w:pPr>
        <w:pStyle w:val="Sinespaciado"/>
        <w:rPr>
          <w:rFonts w:ascii="Times New Roman" w:hAnsi="Times New Roman" w:cs="Times New Roman"/>
          <w:b/>
          <w:color w:val="FF0000"/>
          <w:sz w:val="24"/>
          <w:lang w:val="es-MX"/>
        </w:rPr>
      </w:pPr>
    </w:p>
    <w:p w:rsidR="00216605" w:rsidRPr="00582EE2" w:rsidRDefault="00216605" w:rsidP="00216605">
      <w:pPr>
        <w:pStyle w:val="Sinespaciado"/>
        <w:rPr>
          <w:rFonts w:ascii="Times New Roman" w:hAnsi="Times New Roman" w:cs="Times New Roman"/>
          <w:b/>
          <w:color w:val="FF0000"/>
          <w:lang w:val="es-MX"/>
        </w:rPr>
        <w:sectPr w:rsidR="00216605" w:rsidRPr="00582EE2" w:rsidSect="004E358C">
          <w:type w:val="continuous"/>
          <w:pgSz w:w="12240" w:h="15840"/>
          <w:pgMar w:top="1417" w:right="1701" w:bottom="1417" w:left="1701" w:header="708" w:footer="708" w:gutter="0"/>
          <w:cols w:space="708"/>
          <w:docGrid w:linePitch="360"/>
        </w:sectPr>
      </w:pPr>
    </w:p>
    <w:p w:rsidR="0074022A" w:rsidRDefault="0074022A" w:rsidP="0074022A">
      <w:pPr>
        <w:pStyle w:val="Sinespaciado"/>
        <w:jc w:val="both"/>
        <w:rPr>
          <w:rFonts w:ascii="Times New Roman" w:hAnsi="Times New Roman" w:cs="Times New Roman"/>
        </w:rPr>
      </w:pPr>
      <w:r w:rsidRPr="00851F17">
        <w:rPr>
          <w:rFonts w:ascii="Times New Roman" w:hAnsi="Times New Roman" w:cs="Times New Roman"/>
        </w:rPr>
        <w:lastRenderedPageBreak/>
        <w:t>En cuanto al financiamiento</w:t>
      </w:r>
      <w:r>
        <w:rPr>
          <w:rFonts w:ascii="Times New Roman" w:hAnsi="Times New Roman" w:cs="Times New Roman"/>
        </w:rPr>
        <w:t xml:space="preserve"> del gasto público, al cierre de septiembre 2020 se obtuvo un flujo positivo</w:t>
      </w:r>
      <w:r w:rsidRPr="00851F17">
        <w:rPr>
          <w:rFonts w:ascii="Times New Roman" w:hAnsi="Times New Roman" w:cs="Times New Roman"/>
        </w:rPr>
        <w:t xml:space="preserve"> en el endeudamiento exter</w:t>
      </w:r>
      <w:r>
        <w:rPr>
          <w:rFonts w:ascii="Times New Roman" w:hAnsi="Times New Roman" w:cs="Times New Roman"/>
        </w:rPr>
        <w:t xml:space="preserve">no neto por el equivalente a Q9,549.1 millones, derivado de la colocación del Eurobono por US$1,200.0 millones y los desembolsos de préstamos que alcanzan los Q2,677.7 millones, superando las amortizaciones de Q2,383.2 millones. </w:t>
      </w:r>
    </w:p>
    <w:p w:rsidR="0074022A" w:rsidRDefault="0074022A" w:rsidP="0074022A">
      <w:pPr>
        <w:pStyle w:val="Sinespaciado"/>
        <w:jc w:val="both"/>
        <w:rPr>
          <w:rFonts w:ascii="Times New Roman" w:hAnsi="Times New Roman" w:cs="Times New Roman"/>
        </w:rPr>
      </w:pPr>
    </w:p>
    <w:p w:rsidR="0074022A" w:rsidRDefault="0074022A" w:rsidP="0074022A">
      <w:pPr>
        <w:pStyle w:val="Sinespaciado"/>
        <w:jc w:val="both"/>
        <w:rPr>
          <w:rFonts w:ascii="Times New Roman" w:hAnsi="Times New Roman" w:cs="Times New Roman"/>
        </w:rPr>
      </w:pPr>
      <w:r w:rsidRPr="00851F17">
        <w:rPr>
          <w:rFonts w:ascii="Times New Roman" w:hAnsi="Times New Roman" w:cs="Times New Roman"/>
        </w:rPr>
        <w:t>Asimismo,</w:t>
      </w:r>
      <w:r>
        <w:rPr>
          <w:rFonts w:ascii="Times New Roman" w:hAnsi="Times New Roman" w:cs="Times New Roman"/>
        </w:rPr>
        <w:t xml:space="preserve"> de</w:t>
      </w:r>
      <w:r w:rsidRPr="00851F17">
        <w:rPr>
          <w:rFonts w:ascii="Times New Roman" w:hAnsi="Times New Roman" w:cs="Times New Roman"/>
        </w:rPr>
        <w:t xml:space="preserve"> las colocaciones de Bonos del Tesoro</w:t>
      </w:r>
      <w:r>
        <w:rPr>
          <w:rFonts w:ascii="Times New Roman" w:hAnsi="Times New Roman" w:cs="Times New Roman"/>
        </w:rPr>
        <w:t xml:space="preserve"> aprobadas en el decreto 25-2018, queda un saldo de Q68.5 millones correspondiente al cupo destinado para pequeños inversionistas. </w:t>
      </w:r>
    </w:p>
    <w:p w:rsidR="0074022A" w:rsidRDefault="0074022A" w:rsidP="0074022A">
      <w:pPr>
        <w:pStyle w:val="Sinespaciado"/>
        <w:jc w:val="both"/>
        <w:rPr>
          <w:rFonts w:ascii="Times New Roman" w:hAnsi="Times New Roman" w:cs="Times New Roman"/>
        </w:rPr>
      </w:pPr>
    </w:p>
    <w:p w:rsidR="0074022A" w:rsidRDefault="0074022A" w:rsidP="0074022A">
      <w:pPr>
        <w:pStyle w:val="Sinespaciado"/>
        <w:jc w:val="both"/>
        <w:rPr>
          <w:rFonts w:ascii="Times New Roman" w:hAnsi="Times New Roman" w:cs="Times New Roman"/>
        </w:rPr>
      </w:pPr>
      <w:r>
        <w:rPr>
          <w:rFonts w:ascii="Times New Roman" w:hAnsi="Times New Roman" w:cs="Times New Roman"/>
        </w:rPr>
        <w:t xml:space="preserve">De las colocaciones aprobadas mediante el decreto 20-2020, estas han sido colocadas en su totalidad y del decreto 13-2020 correspondiente a las colocaciones negociadas con el Banco de Guatemala por Q11,000 millones, conforme a lo previsto por la Constitución Política como un caso de excepción, durante septiembre se colocaron Q2,000 millones. Hasta la fecha se han colocado Q9,500 millones quedando una disponibilidad pendiente de colocar de Q1,500 millones. </w:t>
      </w:r>
    </w:p>
    <w:p w:rsidR="004F7988" w:rsidRPr="0074022A" w:rsidRDefault="0074022A" w:rsidP="0074022A">
      <w:pPr>
        <w:pStyle w:val="Sinespaciado"/>
        <w:jc w:val="both"/>
        <w:rPr>
          <w:rFonts w:ascii="Times New Roman" w:hAnsi="Times New Roman" w:cs="Times New Roman"/>
        </w:rPr>
      </w:pPr>
      <w:r>
        <w:rPr>
          <w:rFonts w:ascii="Times New Roman" w:hAnsi="Times New Roman" w:cs="Times New Roman"/>
        </w:rPr>
        <w:lastRenderedPageBreak/>
        <w:t xml:space="preserve">El total </w:t>
      </w:r>
      <w:r w:rsidRPr="00851F17">
        <w:rPr>
          <w:rFonts w:ascii="Times New Roman" w:hAnsi="Times New Roman" w:cs="Times New Roman"/>
        </w:rPr>
        <w:t>adjudicado</w:t>
      </w:r>
      <w:r>
        <w:rPr>
          <w:rFonts w:ascii="Times New Roman" w:hAnsi="Times New Roman" w:cs="Times New Roman"/>
        </w:rPr>
        <w:t xml:space="preserve"> a la fecha asciende a</w:t>
      </w:r>
      <w:r w:rsidRPr="00851F17">
        <w:rPr>
          <w:rFonts w:ascii="Times New Roman" w:hAnsi="Times New Roman" w:cs="Times New Roman"/>
        </w:rPr>
        <w:t xml:space="preserve"> Q</w:t>
      </w:r>
      <w:r>
        <w:rPr>
          <w:rFonts w:ascii="Times New Roman" w:hAnsi="Times New Roman" w:cs="Times New Roman"/>
        </w:rPr>
        <w:t>34,136.5 millones, de los cuales Q28,479.5 millones corresponden a nuevo endeudamiento y Q5,</w:t>
      </w:r>
      <w:r w:rsidRPr="0074022A">
        <w:rPr>
          <w:rFonts w:ascii="Times New Roman" w:hAnsi="Times New Roman" w:cs="Times New Roman"/>
        </w:rPr>
        <w:t>657.0 millones al roll over.</w:t>
      </w:r>
    </w:p>
    <w:p w:rsidR="00FD3C18" w:rsidRPr="0074022A" w:rsidRDefault="00FD3C18" w:rsidP="00F94C84">
      <w:pPr>
        <w:pStyle w:val="Sinespaciado"/>
        <w:jc w:val="both"/>
        <w:rPr>
          <w:rFonts w:ascii="Times New Roman" w:hAnsi="Times New Roman" w:cs="Times New Roman"/>
        </w:rPr>
      </w:pPr>
    </w:p>
    <w:p w:rsidR="00F94C84" w:rsidRPr="0074022A" w:rsidRDefault="00F94C84" w:rsidP="00F94C84">
      <w:pPr>
        <w:spacing w:after="0" w:line="240" w:lineRule="auto"/>
        <w:jc w:val="center"/>
        <w:rPr>
          <w:rFonts w:ascii="Times New Roman" w:hAnsi="Times New Roman" w:cs="Times New Roman"/>
          <w:b/>
        </w:rPr>
      </w:pPr>
      <w:r w:rsidRPr="0074022A">
        <w:rPr>
          <w:rFonts w:ascii="Times New Roman" w:hAnsi="Times New Roman" w:cs="Times New Roman"/>
          <w:b/>
        </w:rPr>
        <w:t>Colocación de Bonos del Tesoro</w:t>
      </w:r>
    </w:p>
    <w:p w:rsidR="00F94C84" w:rsidRPr="0074022A" w:rsidRDefault="00F94C84" w:rsidP="00F94C84">
      <w:pPr>
        <w:pStyle w:val="Sinespaciado"/>
        <w:jc w:val="center"/>
        <w:rPr>
          <w:rFonts w:ascii="Times New Roman" w:hAnsi="Times New Roman" w:cs="Times New Roman"/>
          <w:sz w:val="18"/>
        </w:rPr>
      </w:pPr>
      <w:r w:rsidRPr="0074022A">
        <w:rPr>
          <w:rFonts w:ascii="Times New Roman" w:hAnsi="Times New Roman" w:cs="Times New Roman"/>
          <w:sz w:val="18"/>
        </w:rPr>
        <w:t xml:space="preserve">A </w:t>
      </w:r>
      <w:r w:rsidR="00BA7AF8" w:rsidRPr="0074022A">
        <w:rPr>
          <w:rFonts w:ascii="Times New Roman" w:hAnsi="Times New Roman" w:cs="Times New Roman"/>
          <w:sz w:val="18"/>
        </w:rPr>
        <w:t>septiembre</w:t>
      </w:r>
      <w:r w:rsidRPr="0074022A">
        <w:rPr>
          <w:rFonts w:ascii="Times New Roman" w:hAnsi="Times New Roman" w:cs="Times New Roman"/>
          <w:sz w:val="18"/>
        </w:rPr>
        <w:t xml:space="preserve"> 2020</w:t>
      </w:r>
    </w:p>
    <w:p w:rsidR="00F94C84" w:rsidRPr="0074022A" w:rsidRDefault="0074022A" w:rsidP="00F94C84">
      <w:pPr>
        <w:pStyle w:val="Sinespaciado"/>
        <w:jc w:val="center"/>
        <w:rPr>
          <w:rFonts w:ascii="Times New Roman" w:hAnsi="Times New Roman" w:cs="Times New Roman"/>
          <w:sz w:val="18"/>
        </w:rPr>
      </w:pPr>
      <w:r w:rsidRPr="0074022A">
        <w:rPr>
          <w:noProof/>
          <w:lang w:eastAsia="es-GT"/>
        </w:rPr>
        <w:drawing>
          <wp:anchor distT="0" distB="0" distL="114300" distR="114300" simplePos="0" relativeHeight="251837440" behindDoc="0" locked="0" layoutInCell="1" allowOverlap="1" wp14:anchorId="19661625" wp14:editId="7C6C4BD3">
            <wp:simplePos x="0" y="0"/>
            <wp:positionH relativeFrom="column">
              <wp:posOffset>-149860</wp:posOffset>
            </wp:positionH>
            <wp:positionV relativeFrom="paragraph">
              <wp:posOffset>179705</wp:posOffset>
            </wp:positionV>
            <wp:extent cx="2945130" cy="2275205"/>
            <wp:effectExtent l="0" t="0" r="7620" b="0"/>
            <wp:wrapSquare wrapText="bothSides"/>
            <wp:docPr id="243" name="Chart 1">
              <a:extLst xmlns:a="http://schemas.openxmlformats.org/drawingml/2006/main">
                <a:ext uri="{FF2B5EF4-FFF2-40B4-BE49-F238E27FC236}">
                  <a16:creationId xmlns:a16="http://schemas.microsoft.com/office/drawing/2014/main" id="{00000000-0008-0000-1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F94C84" w:rsidRPr="0074022A">
        <w:rPr>
          <w:rFonts w:ascii="Times New Roman" w:hAnsi="Times New Roman" w:cs="Times New Roman"/>
          <w:sz w:val="18"/>
        </w:rPr>
        <w:t>Millones de quetzales y porcentajes</w:t>
      </w:r>
    </w:p>
    <w:p w:rsidR="00F94C84" w:rsidRPr="0074022A" w:rsidRDefault="00F94C84" w:rsidP="00F94C84">
      <w:pPr>
        <w:pStyle w:val="Sinespaciado"/>
        <w:rPr>
          <w:rFonts w:ascii="Times New Roman" w:hAnsi="Times New Roman" w:cs="Times New Roman"/>
          <w:sz w:val="18"/>
          <w:szCs w:val="18"/>
          <w:lang w:val="es-MX"/>
        </w:rPr>
      </w:pPr>
      <w:r w:rsidRPr="0074022A">
        <w:rPr>
          <w:rFonts w:ascii="Times New Roman" w:hAnsi="Times New Roman" w:cs="Times New Roman"/>
          <w:sz w:val="16"/>
        </w:rPr>
        <w:t>Fuente: Dirección de Análisis y Política Fiscal</w:t>
      </w:r>
    </w:p>
    <w:p w:rsidR="00216B0E" w:rsidRPr="00582EE2" w:rsidRDefault="00216B0E" w:rsidP="000C65AB">
      <w:pPr>
        <w:pStyle w:val="Sinespaciado"/>
        <w:jc w:val="both"/>
        <w:rPr>
          <w:rFonts w:ascii="Times New Roman" w:hAnsi="Times New Roman" w:cs="Times New Roman"/>
          <w:color w:val="FF0000"/>
          <w:sz w:val="12"/>
        </w:rPr>
        <w:sectPr w:rsidR="00216B0E" w:rsidRPr="00582EE2" w:rsidSect="00040C99">
          <w:headerReference w:type="default" r:id="rId29"/>
          <w:footerReference w:type="default" r:id="rId30"/>
          <w:type w:val="continuous"/>
          <w:pgSz w:w="12240" w:h="15840" w:code="1"/>
          <w:pgMar w:top="1418" w:right="1418" w:bottom="1418" w:left="1701" w:header="709" w:footer="709" w:gutter="0"/>
          <w:cols w:num="2" w:space="708"/>
          <w:docGrid w:linePitch="360"/>
        </w:sectPr>
      </w:pPr>
    </w:p>
    <w:p w:rsidR="001E4CD2" w:rsidRDefault="001E4CD2" w:rsidP="00BC7539">
      <w:pPr>
        <w:pStyle w:val="Sinespaciado"/>
        <w:jc w:val="both"/>
        <w:rPr>
          <w:rFonts w:ascii="Times New Roman" w:hAnsi="Times New Roman" w:cs="Times New Roman"/>
          <w:color w:val="FF0000"/>
          <w:sz w:val="12"/>
        </w:rPr>
      </w:pPr>
    </w:p>
    <w:p w:rsidR="0074022A" w:rsidRDefault="0074022A" w:rsidP="00BC7539">
      <w:pPr>
        <w:pStyle w:val="Sinespaciado"/>
        <w:jc w:val="both"/>
        <w:rPr>
          <w:rFonts w:ascii="Times New Roman" w:hAnsi="Times New Roman" w:cs="Times New Roman"/>
          <w:color w:val="FF0000"/>
          <w:sz w:val="12"/>
        </w:rPr>
      </w:pPr>
    </w:p>
    <w:p w:rsidR="0074022A" w:rsidRPr="00582EE2" w:rsidRDefault="0074022A" w:rsidP="00BC7539">
      <w:pPr>
        <w:pStyle w:val="Sinespaciado"/>
        <w:jc w:val="both"/>
        <w:rPr>
          <w:rFonts w:ascii="Times New Roman" w:hAnsi="Times New Roman" w:cs="Times New Roman"/>
          <w:color w:val="FF0000"/>
          <w:sz w:val="12"/>
        </w:rPr>
      </w:pPr>
    </w:p>
    <w:p w:rsidR="00A04D8E" w:rsidRPr="00582EE2" w:rsidRDefault="00A04D8E" w:rsidP="00F7228C">
      <w:pPr>
        <w:spacing w:after="0" w:line="240" w:lineRule="auto"/>
        <w:rPr>
          <w:rFonts w:ascii="Times New Roman" w:hAnsi="Times New Roman" w:cs="Times New Roman"/>
          <w:color w:val="FF0000"/>
          <w:sz w:val="16"/>
        </w:rPr>
      </w:pPr>
    </w:p>
    <w:p w:rsidR="00B7015D" w:rsidRPr="00582EE2" w:rsidRDefault="00B7015D" w:rsidP="00F94C84">
      <w:pPr>
        <w:pStyle w:val="Sinespaciado"/>
        <w:jc w:val="both"/>
        <w:rPr>
          <w:rFonts w:ascii="Times New Roman" w:hAnsi="Times New Roman" w:cs="Times New Roman"/>
          <w:color w:val="FF0000"/>
          <w:sz w:val="16"/>
        </w:rPr>
      </w:pPr>
    </w:p>
    <w:p w:rsidR="009B76D6" w:rsidRPr="00582EE2" w:rsidRDefault="009B76D6" w:rsidP="00CE75B5">
      <w:pPr>
        <w:pStyle w:val="Sinespaciado"/>
        <w:jc w:val="both"/>
        <w:rPr>
          <w:rFonts w:ascii="Times New Roman" w:hAnsi="Times New Roman" w:cs="Times New Roman"/>
          <w:color w:val="FF0000"/>
          <w:sz w:val="8"/>
        </w:rPr>
        <w:sectPr w:rsidR="009B76D6" w:rsidRPr="00582EE2" w:rsidSect="007C66BE">
          <w:type w:val="continuous"/>
          <w:pgSz w:w="12240" w:h="15840"/>
          <w:pgMar w:top="1417" w:right="1701" w:bottom="1417" w:left="1701" w:header="708" w:footer="708" w:gutter="0"/>
          <w:cols w:num="2" w:space="708"/>
          <w:docGrid w:linePitch="360"/>
        </w:sectPr>
      </w:pPr>
    </w:p>
    <w:p w:rsidR="00B96036" w:rsidRPr="00582EE2" w:rsidRDefault="00B96036" w:rsidP="00D4202F">
      <w:pPr>
        <w:spacing w:after="0"/>
        <w:rPr>
          <w:rFonts w:ascii="Times New Roman" w:hAnsi="Times New Roman" w:cs="Times New Roman"/>
          <w:color w:val="FF0000"/>
          <w:sz w:val="18"/>
          <w:lang w:val="es-MX"/>
        </w:rPr>
      </w:pPr>
    </w:p>
    <w:p w:rsidR="00F75F1E" w:rsidRPr="0074022A" w:rsidRDefault="00182C5B" w:rsidP="00F75F1E">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F75F1E" w:rsidRPr="0074022A" w:rsidSect="00FA3B81">
          <w:type w:val="continuous"/>
          <w:pgSz w:w="12240" w:h="15840" w:code="1"/>
          <w:pgMar w:top="1418" w:right="1418" w:bottom="1418" w:left="1418" w:header="709" w:footer="709" w:gutter="0"/>
          <w:cols w:space="708"/>
          <w:docGrid w:linePitch="360"/>
        </w:sectPr>
      </w:pPr>
      <w:r w:rsidRPr="0074022A">
        <w:rPr>
          <w:rFonts w:ascii="Times New Roman" w:hAnsi="Times New Roman" w:cs="Times New Roman"/>
          <w:b/>
        </w:rPr>
        <w:lastRenderedPageBreak/>
        <w:t xml:space="preserve">Tablero de seguimiento de Programas Sociales y </w:t>
      </w:r>
      <w:r w:rsidR="00F1031E" w:rsidRPr="0074022A">
        <w:rPr>
          <w:rFonts w:ascii="Times New Roman" w:hAnsi="Times New Roman" w:cs="Times New Roman"/>
          <w:b/>
        </w:rPr>
        <w:t>E</w:t>
      </w:r>
      <w:r w:rsidR="000E0E1E" w:rsidRPr="0074022A">
        <w:rPr>
          <w:rFonts w:ascii="Times New Roman" w:hAnsi="Times New Roman" w:cs="Times New Roman"/>
          <w:b/>
        </w:rPr>
        <w:t>conómicos</w:t>
      </w:r>
      <w:r w:rsidR="0074022A">
        <w:rPr>
          <w:rFonts w:ascii="Times New Roman" w:hAnsi="Times New Roman" w:cs="Times New Roman"/>
          <w:b/>
        </w:rPr>
        <w:t xml:space="preserve"> del COVID</w:t>
      </w:r>
      <w:r w:rsidR="00F1031E" w:rsidRPr="0074022A">
        <w:rPr>
          <w:rFonts w:ascii="Times New Roman" w:hAnsi="Times New Roman" w:cs="Times New Roman"/>
          <w:b/>
        </w:rPr>
        <w:t>-19</w:t>
      </w:r>
    </w:p>
    <w:p w:rsidR="00F75F1E" w:rsidRPr="0074022A" w:rsidRDefault="00F75F1E" w:rsidP="00F75F1E">
      <w:pPr>
        <w:pStyle w:val="Sinespaciado"/>
        <w:rPr>
          <w:rFonts w:ascii="Times New Roman" w:hAnsi="Times New Roman" w:cs="Times New Roman"/>
          <w:b/>
          <w:sz w:val="20"/>
          <w:lang w:val="es-MX"/>
        </w:rPr>
      </w:pPr>
    </w:p>
    <w:p w:rsidR="00F75F1E" w:rsidRPr="0074022A" w:rsidRDefault="00F75F1E" w:rsidP="00F75F1E">
      <w:pPr>
        <w:pStyle w:val="Sinespaciado"/>
        <w:rPr>
          <w:rFonts w:ascii="Times New Roman" w:hAnsi="Times New Roman" w:cs="Times New Roman"/>
          <w:b/>
          <w:sz w:val="18"/>
          <w:lang w:val="es-MX"/>
        </w:rPr>
        <w:sectPr w:rsidR="00F75F1E" w:rsidRPr="0074022A" w:rsidSect="004E358C">
          <w:type w:val="continuous"/>
          <w:pgSz w:w="12240" w:h="15840"/>
          <w:pgMar w:top="1417" w:right="1701" w:bottom="1417" w:left="1701" w:header="708" w:footer="708" w:gutter="0"/>
          <w:cols w:space="708"/>
          <w:docGrid w:linePitch="360"/>
        </w:sectPr>
      </w:pPr>
    </w:p>
    <w:p w:rsidR="00182C5B" w:rsidRPr="0074022A" w:rsidRDefault="00182C5B" w:rsidP="00182C5B">
      <w:pPr>
        <w:spacing w:after="0" w:line="240" w:lineRule="auto"/>
        <w:jc w:val="both"/>
        <w:rPr>
          <w:rFonts w:ascii="Times New Roman" w:hAnsi="Times New Roman" w:cs="Times New Roman"/>
        </w:rPr>
      </w:pPr>
      <w:r w:rsidRPr="0074022A">
        <w:rPr>
          <w:rFonts w:ascii="Times New Roman" w:hAnsi="Times New Roman" w:cs="Times New Roman"/>
        </w:rPr>
        <w:lastRenderedPageBreak/>
        <w:t xml:space="preserve">A través del Tablero de Seguimiento de Programas Sociales y Económicos del COVID-19 se le da seguimiento a la ejecución de los programas aprobados a través de los diferentes decretos por el Congreso de la República. </w:t>
      </w:r>
    </w:p>
    <w:p w:rsidR="00182C5B" w:rsidRPr="0074022A" w:rsidRDefault="00182C5B" w:rsidP="00182C5B">
      <w:pPr>
        <w:spacing w:after="0" w:line="240" w:lineRule="auto"/>
        <w:jc w:val="both"/>
        <w:rPr>
          <w:rFonts w:ascii="Times New Roman" w:hAnsi="Times New Roman" w:cs="Times New Roman"/>
        </w:rPr>
      </w:pPr>
    </w:p>
    <w:p w:rsidR="00182C5B" w:rsidRPr="0074022A" w:rsidRDefault="00182C5B" w:rsidP="00182C5B">
      <w:pPr>
        <w:spacing w:after="0" w:line="240" w:lineRule="auto"/>
        <w:jc w:val="both"/>
        <w:rPr>
          <w:rFonts w:ascii="Times New Roman" w:hAnsi="Times New Roman" w:cs="Times New Roman"/>
        </w:rPr>
      </w:pPr>
      <w:r w:rsidRPr="0074022A">
        <w:rPr>
          <w:rFonts w:ascii="Times New Roman" w:hAnsi="Times New Roman" w:cs="Times New Roman"/>
        </w:rPr>
        <w:t xml:space="preserve">El presupuesto de los programas sociales y económicos en atención al COVID-19 asciende a Q14,610.0 millones para entidades de la Administración Central y las Obligaciones del Estado a Cargo del Tesoro. De los cuales se reporta una ejecución de Q9,808.3 millones, con un nivel de ejecución del 67.1%. Durante el mes de septiembre se tuvo un avance importante respecto a agosto, siendo la ejecución del mes de Q2,772.8 millones. </w:t>
      </w:r>
    </w:p>
    <w:p w:rsidR="00182C5B" w:rsidRPr="00582EE2" w:rsidRDefault="00182C5B" w:rsidP="00182C5B">
      <w:pPr>
        <w:spacing w:after="0" w:line="240" w:lineRule="auto"/>
        <w:jc w:val="both"/>
        <w:rPr>
          <w:rFonts w:ascii="Times New Roman" w:hAnsi="Times New Roman" w:cs="Times New Roman"/>
          <w:color w:val="FF0000"/>
        </w:rPr>
      </w:pPr>
    </w:p>
    <w:p w:rsidR="00182C5B" w:rsidRPr="006B1DE3" w:rsidRDefault="00182C5B" w:rsidP="00182C5B">
      <w:pPr>
        <w:spacing w:after="0" w:line="240" w:lineRule="auto"/>
        <w:jc w:val="both"/>
        <w:rPr>
          <w:rFonts w:ascii="Times New Roman" w:hAnsi="Times New Roman" w:cs="Times New Roman"/>
        </w:rPr>
      </w:pPr>
      <w:r w:rsidRPr="006B1DE3">
        <w:rPr>
          <w:rFonts w:ascii="Times New Roman" w:hAnsi="Times New Roman" w:cs="Times New Roman"/>
        </w:rPr>
        <w:t>Siete entidades tienen a su cargo la ejecución de los programas, de las cuales tiene el mayor avance</w:t>
      </w:r>
      <w:r w:rsidR="000B33FB">
        <w:rPr>
          <w:rFonts w:ascii="Times New Roman" w:hAnsi="Times New Roman" w:cs="Times New Roman"/>
        </w:rPr>
        <w:t xml:space="preserve"> el Ministerio de</w:t>
      </w:r>
      <w:r w:rsidRPr="006B1DE3">
        <w:rPr>
          <w:rFonts w:ascii="Times New Roman" w:hAnsi="Times New Roman" w:cs="Times New Roman"/>
        </w:rPr>
        <w:t xml:space="preserve"> Desarrollo Social con una ejecución de 78%, mientras que Agricultura tiene el menor nivel de ejecución, únicamente un 6%. </w:t>
      </w:r>
    </w:p>
    <w:p w:rsidR="00182C5B" w:rsidRPr="00582EE2" w:rsidRDefault="00182C5B" w:rsidP="00182C5B">
      <w:pPr>
        <w:spacing w:after="0" w:line="240" w:lineRule="auto"/>
        <w:jc w:val="center"/>
        <w:rPr>
          <w:rFonts w:ascii="Times New Roman" w:hAnsi="Times New Roman" w:cs="Times New Roman"/>
          <w:b/>
          <w:color w:val="FF0000"/>
          <w:sz w:val="20"/>
        </w:rPr>
      </w:pPr>
    </w:p>
    <w:p w:rsidR="00182C5B" w:rsidRPr="0074022A" w:rsidRDefault="00182C5B" w:rsidP="00182C5B">
      <w:pPr>
        <w:spacing w:after="0" w:line="240" w:lineRule="auto"/>
        <w:jc w:val="center"/>
        <w:rPr>
          <w:rFonts w:ascii="Times New Roman" w:hAnsi="Times New Roman" w:cs="Times New Roman"/>
          <w:b/>
          <w:sz w:val="20"/>
        </w:rPr>
      </w:pPr>
      <w:r w:rsidRPr="0074022A">
        <w:rPr>
          <w:rFonts w:ascii="Times New Roman" w:hAnsi="Times New Roman" w:cs="Times New Roman"/>
          <w:b/>
          <w:sz w:val="20"/>
        </w:rPr>
        <w:t>Ejecución por entidad</w:t>
      </w:r>
    </w:p>
    <w:p w:rsidR="00182C5B" w:rsidRPr="0074022A" w:rsidRDefault="00182C5B" w:rsidP="00182C5B">
      <w:pPr>
        <w:spacing w:after="0" w:line="240" w:lineRule="auto"/>
        <w:jc w:val="center"/>
        <w:rPr>
          <w:rFonts w:ascii="Times New Roman" w:hAnsi="Times New Roman" w:cs="Times New Roman"/>
          <w:sz w:val="18"/>
        </w:rPr>
      </w:pPr>
      <w:r w:rsidRPr="0074022A">
        <w:rPr>
          <w:rFonts w:ascii="Times New Roman" w:hAnsi="Times New Roman" w:cs="Times New Roman"/>
          <w:sz w:val="18"/>
        </w:rPr>
        <w:t>A septiembre 2020</w:t>
      </w:r>
    </w:p>
    <w:p w:rsidR="00182C5B" w:rsidRPr="0074022A" w:rsidRDefault="00182C5B" w:rsidP="00182C5B">
      <w:pPr>
        <w:spacing w:after="0" w:line="240" w:lineRule="auto"/>
        <w:jc w:val="center"/>
        <w:rPr>
          <w:rFonts w:ascii="Times New Roman" w:hAnsi="Times New Roman" w:cs="Times New Roman"/>
          <w:sz w:val="18"/>
        </w:rPr>
      </w:pPr>
      <w:r w:rsidRPr="0074022A">
        <w:rPr>
          <w:rFonts w:ascii="Times New Roman" w:hAnsi="Times New Roman" w:cs="Times New Roman"/>
          <w:noProof/>
          <w:lang w:eastAsia="es-GT"/>
        </w:rPr>
        <w:drawing>
          <wp:anchor distT="0" distB="0" distL="114300" distR="114300" simplePos="0" relativeHeight="251841536" behindDoc="0" locked="0" layoutInCell="1" allowOverlap="1" wp14:anchorId="62E85448" wp14:editId="05F639AF">
            <wp:simplePos x="0" y="0"/>
            <wp:positionH relativeFrom="column">
              <wp:posOffset>-181610</wp:posOffset>
            </wp:positionH>
            <wp:positionV relativeFrom="paragraph">
              <wp:posOffset>163139</wp:posOffset>
            </wp:positionV>
            <wp:extent cx="2782570" cy="2321560"/>
            <wp:effectExtent l="0" t="0" r="0" b="2540"/>
            <wp:wrapSquare wrapText="bothSides"/>
            <wp:docPr id="250" name="Gráfico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Pr="0074022A">
        <w:rPr>
          <w:rFonts w:ascii="Times New Roman" w:hAnsi="Times New Roman" w:cs="Times New Roman"/>
          <w:sz w:val="18"/>
        </w:rPr>
        <w:t>Cifras en porcentajes</w:t>
      </w:r>
    </w:p>
    <w:p w:rsidR="0074022A" w:rsidRPr="0074022A" w:rsidRDefault="0074022A" w:rsidP="0074022A">
      <w:pPr>
        <w:pStyle w:val="Sinespaciado"/>
        <w:rPr>
          <w:rFonts w:ascii="Times New Roman" w:hAnsi="Times New Roman" w:cs="Times New Roman"/>
          <w:sz w:val="18"/>
          <w:szCs w:val="18"/>
          <w:lang w:val="es-MX"/>
        </w:rPr>
      </w:pPr>
      <w:r w:rsidRPr="0074022A">
        <w:rPr>
          <w:rFonts w:ascii="Times New Roman" w:hAnsi="Times New Roman" w:cs="Times New Roman"/>
          <w:sz w:val="16"/>
        </w:rPr>
        <w:lastRenderedPageBreak/>
        <w:t>Fuente: Dirección de Análisis y Política Fiscal</w:t>
      </w:r>
    </w:p>
    <w:p w:rsidR="00182C5B" w:rsidRPr="00582EE2" w:rsidRDefault="00182C5B" w:rsidP="00182C5B">
      <w:pPr>
        <w:spacing w:after="0" w:line="240" w:lineRule="auto"/>
        <w:jc w:val="both"/>
        <w:rPr>
          <w:rFonts w:ascii="Times New Roman" w:hAnsi="Times New Roman" w:cs="Times New Roman"/>
          <w:color w:val="FF0000"/>
        </w:rPr>
      </w:pPr>
      <w:r w:rsidRPr="006B1DE3">
        <w:rPr>
          <w:rFonts w:ascii="Times New Roman" w:hAnsi="Times New Roman" w:cs="Times New Roman"/>
        </w:rPr>
        <w:t>Al evaluar la ejecución por decretos y programas, resalta del Decreto 12-2020 “Ley de Emergencia COVID-19”, que únicamente el Fondo de Protección de Capitales ha sido ejecutado en su totalidad, le sigue el Programa de remodelación e infraestructura de hospitales y centros de salud a cargo del Ministerio de Salud Pública con una ejecución de 42.4% y el Programa de Adulto Mayor a cargo del Ministerio de Trabajo con una ejecución de 22.0%. El resto de los programas que conforman el decreto reportan un nivel muy bajo o nulo de ejecución, tal es el caso del Programa de Dotación Alimentaria, el Programa de Agricultura Campesina y el Fondo para las Micro, Pequeñas y Medianas empresas.</w:t>
      </w:r>
    </w:p>
    <w:p w:rsidR="00182C5B" w:rsidRPr="00582EE2" w:rsidRDefault="00182C5B" w:rsidP="00182C5B">
      <w:pPr>
        <w:spacing w:after="0" w:line="240" w:lineRule="auto"/>
        <w:jc w:val="both"/>
        <w:rPr>
          <w:rFonts w:ascii="Times New Roman" w:hAnsi="Times New Roman" w:cs="Times New Roman"/>
          <w:color w:val="FF0000"/>
        </w:rPr>
      </w:pPr>
    </w:p>
    <w:p w:rsidR="00182C5B" w:rsidRPr="006B1DE3" w:rsidRDefault="00182C5B" w:rsidP="00182C5B">
      <w:pPr>
        <w:spacing w:after="0" w:line="240" w:lineRule="auto"/>
        <w:jc w:val="both"/>
        <w:rPr>
          <w:rFonts w:ascii="Times New Roman" w:hAnsi="Times New Roman" w:cs="Times New Roman"/>
        </w:rPr>
      </w:pPr>
      <w:r w:rsidRPr="006B1DE3">
        <w:rPr>
          <w:rFonts w:ascii="Times New Roman" w:hAnsi="Times New Roman" w:cs="Times New Roman"/>
        </w:rPr>
        <w:t xml:space="preserve">Del Programa de Dotación Alimentaria que consiste en cupones canjeables y entregas en especie a cargo de Desarrollo Social para el área urbana y Agricultura para el área rural, totaliza entre ambas entidades un presupuesto de Q700 millones, de los cuales han sido entregados anticipos por Q650 millones. Este programa es ejecutado por medio del Programa Mundial de Alimentos (PMA) y los recursos trasladados en forma de anticipo están pendientes de ser regularizados, una vez concluida la ejecución y liquidación de los convenios, podrá observarse en los sistemas la ejecución. </w:t>
      </w:r>
    </w:p>
    <w:p w:rsidR="00182C5B" w:rsidRPr="006B1DE3" w:rsidRDefault="00182C5B" w:rsidP="00182C5B">
      <w:pPr>
        <w:spacing w:after="0" w:line="240" w:lineRule="auto"/>
        <w:jc w:val="both"/>
        <w:rPr>
          <w:rFonts w:ascii="Times New Roman" w:hAnsi="Times New Roman" w:cs="Times New Roman"/>
        </w:rPr>
      </w:pPr>
    </w:p>
    <w:p w:rsidR="00182C5B" w:rsidRPr="006B1DE3" w:rsidRDefault="00182C5B" w:rsidP="00182C5B">
      <w:pPr>
        <w:spacing w:after="0" w:line="240" w:lineRule="auto"/>
        <w:jc w:val="both"/>
        <w:rPr>
          <w:rFonts w:ascii="Times New Roman" w:hAnsi="Times New Roman" w:cs="Times New Roman"/>
        </w:rPr>
      </w:pPr>
      <w:r w:rsidRPr="006B1DE3">
        <w:rPr>
          <w:rFonts w:ascii="Times New Roman" w:hAnsi="Times New Roman" w:cs="Times New Roman"/>
        </w:rPr>
        <w:t xml:space="preserve">Respecto al Decreto 13-2020 “Ley de Rescate Económico para Familias” se han ejecutado Q8,967.1 millones, siendo el decreto que concentra los programas más importantes en cuanto a la atención del COVID-19. Únicamente el subsidio a la energía eléctrica por Q270 millones ha sido ejecutado en su totalidad. No obstante, el resto de los programas reportan un alto nivel de ejecución, </w:t>
      </w:r>
      <w:r w:rsidRPr="006B1DE3">
        <w:rPr>
          <w:rFonts w:ascii="Times New Roman" w:hAnsi="Times New Roman" w:cs="Times New Roman"/>
        </w:rPr>
        <w:lastRenderedPageBreak/>
        <w:t xml:space="preserve">tal es el caso del Bono Familia con un nivel de 82.9%, el Fondo de Protección de Empleo con 77.6%, del cual es importante resaltar que incluye una ejecución de Q150 millones correspondiente al bono de carácter único para los pensionados y jubilados del Estado, y el Fondo de Crédito Capital de Trabajo con una ejecución de 69.6%. </w:t>
      </w:r>
    </w:p>
    <w:p w:rsidR="00182C5B" w:rsidRPr="00D23010" w:rsidRDefault="00182C5B" w:rsidP="00182C5B">
      <w:pPr>
        <w:spacing w:after="0" w:line="240" w:lineRule="auto"/>
        <w:jc w:val="both"/>
        <w:rPr>
          <w:rFonts w:ascii="Times New Roman" w:hAnsi="Times New Roman" w:cs="Times New Roman"/>
        </w:rPr>
      </w:pPr>
    </w:p>
    <w:p w:rsidR="00182C5B" w:rsidRPr="00D23010" w:rsidRDefault="00182C5B" w:rsidP="00182C5B">
      <w:pPr>
        <w:spacing w:after="0" w:line="240" w:lineRule="auto"/>
        <w:jc w:val="both"/>
        <w:rPr>
          <w:rFonts w:ascii="Times New Roman" w:hAnsi="Times New Roman" w:cs="Times New Roman"/>
        </w:rPr>
      </w:pPr>
      <w:r w:rsidRPr="00D23010">
        <w:rPr>
          <w:rFonts w:ascii="Times New Roman" w:hAnsi="Times New Roman" w:cs="Times New Roman"/>
        </w:rPr>
        <w:t>Por último, del Decreto 20-2020 Ampliación Presupuestaria, es importante resaltar que durante el mes</w:t>
      </w:r>
      <w:r w:rsidR="000B33FB">
        <w:rPr>
          <w:rFonts w:ascii="Times New Roman" w:hAnsi="Times New Roman" w:cs="Times New Roman"/>
        </w:rPr>
        <w:t>,</w:t>
      </w:r>
      <w:r w:rsidRPr="00D23010">
        <w:rPr>
          <w:rFonts w:ascii="Times New Roman" w:hAnsi="Times New Roman" w:cs="Times New Roman"/>
        </w:rPr>
        <w:t xml:space="preserve"> se terminó de ejecutar el subsidio a la energía eléctric</w:t>
      </w:r>
      <w:r w:rsidR="000B33FB">
        <w:rPr>
          <w:rFonts w:ascii="Times New Roman" w:hAnsi="Times New Roman" w:cs="Times New Roman"/>
        </w:rPr>
        <w:t>a por un total de Q360 millones;</w:t>
      </w:r>
      <w:bookmarkStart w:id="0" w:name="_GoBack"/>
      <w:bookmarkEnd w:id="0"/>
      <w:r w:rsidRPr="00D23010">
        <w:rPr>
          <w:rFonts w:ascii="Times New Roman" w:hAnsi="Times New Roman" w:cs="Times New Roman"/>
        </w:rPr>
        <w:t xml:space="preserve"> por otra parte, la actividad de adquisición de ventiladores, pruebas COVID-19 y Equipo, Trajes y Materiales de Protección Personal (EPP) reporta una ejecución de 34.4%, mientras que el resto de actividades tiene una ejecución nula, siendo el caso de la infraestructura en salud y los proyectos de reactivación económica por parte de los Consejos Departamentales de Desarrollo (CODEDES). </w:t>
      </w:r>
    </w:p>
    <w:p w:rsidR="00FD3C18" w:rsidRDefault="00FD3C18" w:rsidP="00182C5B">
      <w:pPr>
        <w:spacing w:after="0" w:line="240" w:lineRule="auto"/>
        <w:jc w:val="both"/>
        <w:rPr>
          <w:rFonts w:ascii="Times New Roman" w:hAnsi="Times New Roman" w:cs="Times New Roman"/>
          <w:color w:val="FF0000"/>
          <w:sz w:val="16"/>
        </w:rPr>
      </w:pPr>
    </w:p>
    <w:p w:rsidR="00D23010" w:rsidRPr="00582EE2" w:rsidRDefault="00D23010" w:rsidP="00182C5B">
      <w:pPr>
        <w:spacing w:after="0" w:line="240" w:lineRule="auto"/>
        <w:jc w:val="both"/>
        <w:rPr>
          <w:rFonts w:ascii="Times New Roman" w:hAnsi="Times New Roman" w:cs="Times New Roman"/>
          <w:color w:val="FF0000"/>
          <w:sz w:val="16"/>
        </w:rPr>
      </w:pPr>
    </w:p>
    <w:p w:rsidR="00182C5B" w:rsidRPr="00D23010" w:rsidRDefault="00182C5B" w:rsidP="00182C5B">
      <w:pPr>
        <w:spacing w:after="0" w:line="240" w:lineRule="auto"/>
        <w:jc w:val="center"/>
        <w:rPr>
          <w:rFonts w:ascii="Times New Roman" w:hAnsi="Times New Roman" w:cs="Times New Roman"/>
          <w:b/>
        </w:rPr>
      </w:pPr>
      <w:r w:rsidRPr="00D23010">
        <w:rPr>
          <w:rFonts w:ascii="Times New Roman" w:hAnsi="Times New Roman" w:cs="Times New Roman"/>
          <w:b/>
        </w:rPr>
        <w:t>Ejecución por decreto de los programas sociales y económicos en atención al COVID-19</w:t>
      </w:r>
    </w:p>
    <w:p w:rsidR="00182C5B" w:rsidRPr="00D23010" w:rsidRDefault="00182C5B" w:rsidP="00182C5B">
      <w:pPr>
        <w:spacing w:after="0" w:line="240" w:lineRule="auto"/>
        <w:jc w:val="center"/>
        <w:rPr>
          <w:rFonts w:ascii="Times New Roman" w:hAnsi="Times New Roman" w:cs="Times New Roman"/>
          <w:sz w:val="20"/>
        </w:rPr>
      </w:pPr>
      <w:r w:rsidRPr="00D23010">
        <w:rPr>
          <w:rFonts w:ascii="Times New Roman" w:hAnsi="Times New Roman" w:cs="Times New Roman"/>
          <w:sz w:val="20"/>
        </w:rPr>
        <w:t>A septiembre 2020</w:t>
      </w:r>
    </w:p>
    <w:p w:rsidR="00182C5B" w:rsidRPr="00D23010" w:rsidRDefault="00182C5B" w:rsidP="00182C5B">
      <w:pPr>
        <w:spacing w:after="0" w:line="240" w:lineRule="auto"/>
        <w:jc w:val="center"/>
        <w:rPr>
          <w:rFonts w:ascii="Times New Roman" w:hAnsi="Times New Roman" w:cs="Times New Roman"/>
          <w:sz w:val="20"/>
        </w:rPr>
      </w:pPr>
      <w:r w:rsidRPr="00D23010">
        <w:rPr>
          <w:rFonts w:ascii="Times New Roman" w:hAnsi="Times New Roman" w:cs="Times New Roman"/>
          <w:sz w:val="20"/>
        </w:rPr>
        <w:t>Millones de quetzales y porcentajes</w:t>
      </w:r>
    </w:p>
    <w:p w:rsidR="00182C5B" w:rsidRPr="00582EE2" w:rsidRDefault="00D23010" w:rsidP="00182C5B">
      <w:pPr>
        <w:spacing w:after="0" w:line="240" w:lineRule="auto"/>
        <w:jc w:val="center"/>
        <w:rPr>
          <w:rFonts w:ascii="Times New Roman" w:hAnsi="Times New Roman" w:cs="Times New Roman"/>
          <w:color w:val="FF0000"/>
          <w:sz w:val="18"/>
        </w:rPr>
      </w:pPr>
      <w:r w:rsidRPr="008F7D23">
        <w:rPr>
          <w:rFonts w:ascii="Times New Roman" w:hAnsi="Times New Roman" w:cs="Times New Roman"/>
          <w:noProof/>
          <w:color w:val="FFFFFF" w:themeColor="background1"/>
          <w:sz w:val="18"/>
          <w:lang w:eastAsia="es-GT"/>
        </w:rPr>
        <w:drawing>
          <wp:inline distT="0" distB="0" distL="0" distR="0" wp14:anchorId="3176B5A0" wp14:editId="322297D0">
            <wp:extent cx="2581275" cy="2432524"/>
            <wp:effectExtent l="0" t="0" r="0" b="6350"/>
            <wp:docPr id="21"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F146B" w:rsidRPr="00D23010" w:rsidRDefault="00182C5B" w:rsidP="00FD3C18">
      <w:pPr>
        <w:spacing w:after="0" w:line="240" w:lineRule="auto"/>
        <w:rPr>
          <w:rFonts w:ascii="Times New Roman" w:hAnsi="Times New Roman" w:cs="Times New Roman"/>
          <w:noProof/>
          <w:sz w:val="16"/>
        </w:rPr>
      </w:pPr>
      <w:r w:rsidRPr="00D23010">
        <w:rPr>
          <w:rFonts w:ascii="Times New Roman" w:hAnsi="Times New Roman" w:cs="Times New Roman"/>
          <w:noProof/>
          <w:sz w:val="16"/>
        </w:rPr>
        <w:t xml:space="preserve">Fuente: SIGES y SICOIN </w:t>
      </w:r>
    </w:p>
    <w:p w:rsidR="009B76D6" w:rsidRPr="00582EE2" w:rsidRDefault="009B76D6" w:rsidP="00D4202F">
      <w:pPr>
        <w:spacing w:after="0"/>
        <w:rPr>
          <w:rFonts w:ascii="Times New Roman" w:hAnsi="Times New Roman" w:cs="Times New Roman"/>
          <w:color w:val="FF0000"/>
          <w:sz w:val="6"/>
          <w:lang w:val="es-MX"/>
        </w:rPr>
      </w:pPr>
    </w:p>
    <w:p w:rsidR="00F75F1E" w:rsidRDefault="00F75F1E" w:rsidP="00D4202F">
      <w:pPr>
        <w:spacing w:after="0"/>
        <w:rPr>
          <w:rFonts w:ascii="Times New Roman" w:hAnsi="Times New Roman" w:cs="Times New Roman"/>
          <w:color w:val="FF0000"/>
          <w:sz w:val="20"/>
          <w:lang w:val="es-MX"/>
        </w:rPr>
      </w:pPr>
    </w:p>
    <w:p w:rsidR="000B33FB" w:rsidRPr="00582EE2" w:rsidRDefault="000B33FB" w:rsidP="00D4202F">
      <w:pPr>
        <w:spacing w:after="0"/>
        <w:rPr>
          <w:rFonts w:ascii="Times New Roman" w:hAnsi="Times New Roman" w:cs="Times New Roman"/>
          <w:color w:val="FF0000"/>
          <w:sz w:val="20"/>
          <w:lang w:val="es-MX"/>
        </w:rPr>
        <w:sectPr w:rsidR="000B33FB" w:rsidRPr="00582EE2" w:rsidSect="004E358C">
          <w:type w:val="continuous"/>
          <w:pgSz w:w="12240" w:h="15840"/>
          <w:pgMar w:top="1417" w:right="1701" w:bottom="1417" w:left="1701" w:header="708" w:footer="708" w:gutter="0"/>
          <w:cols w:num="2" w:space="708"/>
          <w:docGrid w:linePitch="360"/>
        </w:sectPr>
      </w:pPr>
    </w:p>
    <w:p w:rsidR="00494D1D" w:rsidRPr="003C45EB" w:rsidRDefault="0042387A" w:rsidP="00BB4C28">
      <w:pPr>
        <w:pBdr>
          <w:top w:val="single" w:sz="4" w:space="0"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494D1D" w:rsidRPr="003C45EB" w:rsidSect="00FA3B81">
          <w:headerReference w:type="default" r:id="rId33"/>
          <w:footerReference w:type="default" r:id="rId34"/>
          <w:type w:val="continuous"/>
          <w:pgSz w:w="12240" w:h="15840" w:code="1"/>
          <w:pgMar w:top="1418" w:right="1418" w:bottom="1418" w:left="1418" w:header="709" w:footer="709" w:gutter="0"/>
          <w:cols w:space="708"/>
          <w:docGrid w:linePitch="360"/>
        </w:sectPr>
      </w:pPr>
      <w:r w:rsidRPr="003C45EB">
        <w:rPr>
          <w:rFonts w:ascii="Times New Roman" w:hAnsi="Times New Roman" w:cs="Times New Roman"/>
          <w:b/>
          <w:lang w:val="es-MX"/>
        </w:rPr>
        <w:lastRenderedPageBreak/>
        <w:t>Ambientes macroeconómicos (externo e interno)</w:t>
      </w:r>
    </w:p>
    <w:p w:rsidR="00494D1D" w:rsidRPr="003C45EB" w:rsidRDefault="00494D1D" w:rsidP="00494D1D">
      <w:pPr>
        <w:pStyle w:val="Sinespaciado"/>
        <w:rPr>
          <w:rFonts w:ascii="Times New Roman" w:hAnsi="Times New Roman" w:cs="Times New Roman"/>
          <w:b/>
          <w:sz w:val="18"/>
          <w:lang w:val="es-MX"/>
        </w:rPr>
      </w:pPr>
    </w:p>
    <w:p w:rsidR="00494D1D" w:rsidRPr="003C45EB" w:rsidRDefault="00494D1D" w:rsidP="00494D1D">
      <w:pPr>
        <w:pStyle w:val="Sinespaciado"/>
        <w:rPr>
          <w:rFonts w:ascii="Times New Roman" w:hAnsi="Times New Roman" w:cs="Times New Roman"/>
          <w:b/>
          <w:sz w:val="28"/>
          <w:lang w:val="es-MX"/>
        </w:rPr>
        <w:sectPr w:rsidR="00494D1D" w:rsidRPr="003C45EB" w:rsidSect="004E358C">
          <w:type w:val="continuous"/>
          <w:pgSz w:w="12240" w:h="15840"/>
          <w:pgMar w:top="1417" w:right="1701" w:bottom="1417" w:left="1701" w:header="708" w:footer="708" w:gutter="0"/>
          <w:cols w:space="708"/>
          <w:docGrid w:linePitch="360"/>
        </w:sectPr>
      </w:pPr>
    </w:p>
    <w:p w:rsidR="007F774D" w:rsidRPr="003C45EB" w:rsidRDefault="0022010B" w:rsidP="00501418">
      <w:pPr>
        <w:spacing w:after="0" w:line="240" w:lineRule="auto"/>
        <w:ind w:left="284" w:right="190"/>
        <w:jc w:val="both"/>
        <w:rPr>
          <w:rFonts w:ascii="Times New Roman" w:hAnsi="Times New Roman" w:cs="Times New Roman"/>
        </w:rPr>
      </w:pPr>
      <w:r w:rsidRPr="003C45EB">
        <w:rPr>
          <w:rFonts w:ascii="Times New Roman" w:hAnsi="Times New Roman" w:cs="Times New Roman"/>
        </w:rPr>
        <w:lastRenderedPageBreak/>
        <w:t>Entre lo más relevante ac</w:t>
      </w:r>
      <w:r w:rsidR="007F774D" w:rsidRPr="003C45EB">
        <w:rPr>
          <w:rFonts w:ascii="Times New Roman" w:hAnsi="Times New Roman" w:cs="Times New Roman"/>
        </w:rPr>
        <w:t xml:space="preserve">ontecido en </w:t>
      </w:r>
      <w:r w:rsidR="00EB2E9A" w:rsidRPr="003C45EB">
        <w:rPr>
          <w:rFonts w:ascii="Times New Roman" w:hAnsi="Times New Roman" w:cs="Times New Roman"/>
        </w:rPr>
        <w:t>septiembre</w:t>
      </w:r>
      <w:r w:rsidR="007F774D" w:rsidRPr="003C45EB">
        <w:rPr>
          <w:rFonts w:ascii="Times New Roman" w:hAnsi="Times New Roman" w:cs="Times New Roman"/>
        </w:rPr>
        <w:t xml:space="preserve"> se destaca </w:t>
      </w:r>
      <w:r w:rsidR="00B95BEF" w:rsidRPr="003C45EB">
        <w:rPr>
          <w:rFonts w:ascii="Times New Roman" w:hAnsi="Times New Roman" w:cs="Times New Roman"/>
        </w:rPr>
        <w:t xml:space="preserve">la contracción de 31.4% a tasa </w:t>
      </w:r>
      <w:r w:rsidR="006F0957" w:rsidRPr="003C45EB">
        <w:rPr>
          <w:rFonts w:ascii="Times New Roman" w:hAnsi="Times New Roman" w:cs="Times New Roman"/>
        </w:rPr>
        <w:t xml:space="preserve">real anual </w:t>
      </w:r>
      <w:r w:rsidR="00B95BEF" w:rsidRPr="003C45EB">
        <w:rPr>
          <w:rFonts w:ascii="Times New Roman" w:hAnsi="Times New Roman" w:cs="Times New Roman"/>
        </w:rPr>
        <w:t>del Producto Interno Bruto estadounidense</w:t>
      </w:r>
      <w:r w:rsidR="006F0957" w:rsidRPr="003C45EB">
        <w:rPr>
          <w:rFonts w:ascii="Times New Roman" w:hAnsi="Times New Roman" w:cs="Times New Roman"/>
        </w:rPr>
        <w:t xml:space="preserve"> en el segundo trimestre</w:t>
      </w:r>
      <w:r w:rsidR="00B95BEF" w:rsidRPr="003C45EB">
        <w:rPr>
          <w:rFonts w:ascii="Times New Roman" w:hAnsi="Times New Roman" w:cs="Times New Roman"/>
        </w:rPr>
        <w:t>, lo que confirma la contracción más profunda desde 1947, año en que iniciaron los registros oficiales.  Dicha caída fue algo menor a la estimación de agosto, gracias a un consumo mayor al inicialmente anunciado en ese mes, según la medición final del Departamento de Comercio de Estados Unidos.</w:t>
      </w:r>
    </w:p>
    <w:p w:rsidR="00847821" w:rsidRPr="003C45EB" w:rsidRDefault="00847821" w:rsidP="00501418">
      <w:pPr>
        <w:spacing w:after="0" w:line="240" w:lineRule="auto"/>
        <w:ind w:left="142" w:right="190"/>
        <w:jc w:val="both"/>
        <w:rPr>
          <w:rFonts w:ascii="Times New Roman" w:hAnsi="Times New Roman" w:cs="Times New Roman"/>
        </w:rPr>
      </w:pPr>
    </w:p>
    <w:p w:rsidR="00B95BEF" w:rsidRDefault="006F0957" w:rsidP="00D23010">
      <w:pPr>
        <w:spacing w:after="0" w:line="240" w:lineRule="auto"/>
        <w:ind w:left="284" w:right="190"/>
        <w:jc w:val="both"/>
        <w:rPr>
          <w:rFonts w:ascii="Times New Roman" w:hAnsi="Times New Roman" w:cs="Times New Roman"/>
        </w:rPr>
      </w:pPr>
      <w:r w:rsidRPr="003C45EB">
        <w:rPr>
          <w:rFonts w:ascii="Times New Roman" w:hAnsi="Times New Roman" w:cs="Times New Roman"/>
        </w:rPr>
        <w:t>L</w:t>
      </w:r>
      <w:r w:rsidR="00B95BEF" w:rsidRPr="003C45EB">
        <w:rPr>
          <w:rFonts w:ascii="Times New Roman" w:hAnsi="Times New Roman" w:cs="Times New Roman"/>
        </w:rPr>
        <w:t>a Reserva Fe</w:t>
      </w:r>
      <w:r w:rsidRPr="003C45EB">
        <w:rPr>
          <w:rFonts w:ascii="Times New Roman" w:hAnsi="Times New Roman" w:cs="Times New Roman"/>
        </w:rPr>
        <w:t>deral de Estados Unidos mantuvo</w:t>
      </w:r>
      <w:r w:rsidR="00B95BEF" w:rsidRPr="003C45EB">
        <w:rPr>
          <w:rFonts w:ascii="Times New Roman" w:hAnsi="Times New Roman" w:cs="Times New Roman"/>
        </w:rPr>
        <w:t xml:space="preserve"> el tipo oficial en valores casi nulos, confiando en conseguir en dos años su meta de inflación del 2% y augurando una rápida recuperación económica. En s</w:t>
      </w:r>
      <w:r w:rsidR="008F216C" w:rsidRPr="003C45EB">
        <w:rPr>
          <w:rFonts w:ascii="Times New Roman" w:hAnsi="Times New Roman" w:cs="Times New Roman"/>
        </w:rPr>
        <w:t xml:space="preserve">u informe, el FOMC subrayó que </w:t>
      </w:r>
      <w:r w:rsidR="00B95BEF" w:rsidRPr="003C45EB">
        <w:rPr>
          <w:rFonts w:ascii="Times New Roman" w:hAnsi="Times New Roman" w:cs="Times New Roman"/>
        </w:rPr>
        <w:t xml:space="preserve">la demanda más débil y los precios del petróleo significativamente </w:t>
      </w:r>
      <w:r w:rsidR="00B95BEF" w:rsidRPr="003C45EB">
        <w:rPr>
          <w:rFonts w:ascii="Times New Roman" w:hAnsi="Times New Roman" w:cs="Times New Roman"/>
        </w:rPr>
        <w:lastRenderedPageBreak/>
        <w:t xml:space="preserve">más bajos están frenando la inflación de los precios al consumidor. Así, el banco central estadounidense mantuvo su promesa de dejar las tasas de interés cerca de cero, en el rango de entre el 0% y el 0.25%, y se comprometió a mantener el precio del dinero en ese nivel hasta que la inflación aumente de manera constante. </w:t>
      </w:r>
    </w:p>
    <w:p w:rsidR="00501418" w:rsidRPr="003C45EB" w:rsidRDefault="00501418" w:rsidP="00501418">
      <w:pPr>
        <w:spacing w:after="0" w:line="240" w:lineRule="auto"/>
        <w:ind w:left="284" w:right="190"/>
        <w:jc w:val="both"/>
        <w:rPr>
          <w:rFonts w:ascii="Times New Roman" w:hAnsi="Times New Roman" w:cs="Times New Roman"/>
        </w:rPr>
      </w:pPr>
    </w:p>
    <w:p w:rsidR="00B95BEF" w:rsidRPr="003C45EB" w:rsidRDefault="00B95BEF" w:rsidP="00D23010">
      <w:pPr>
        <w:spacing w:after="0" w:line="240" w:lineRule="auto"/>
        <w:ind w:left="284" w:right="190"/>
        <w:jc w:val="both"/>
        <w:rPr>
          <w:rFonts w:ascii="Times New Roman" w:hAnsi="Times New Roman" w:cs="Times New Roman"/>
        </w:rPr>
      </w:pPr>
      <w:r w:rsidRPr="003C45EB">
        <w:rPr>
          <w:rFonts w:ascii="Times New Roman" w:hAnsi="Times New Roman" w:cs="Times New Roman"/>
        </w:rPr>
        <w:t xml:space="preserve">El Banco Central Europeo anunció este mes que seguirán comprando deuda hasta que pase la crisis del coronavirus y pronostica una caída del PIB del 8% en la zona euro para 2020, cuando en junio anunció un descalabro del 8.7%. </w:t>
      </w:r>
      <w:r w:rsidR="008F216C" w:rsidRPr="003C45EB">
        <w:rPr>
          <w:rFonts w:ascii="Times New Roman" w:hAnsi="Times New Roman" w:cs="Times New Roman"/>
        </w:rPr>
        <w:t>El programa</w:t>
      </w:r>
      <w:r w:rsidRPr="003C45EB">
        <w:rPr>
          <w:rFonts w:ascii="Times New Roman" w:hAnsi="Times New Roman" w:cs="Times New Roman"/>
        </w:rPr>
        <w:t xml:space="preserve"> de compra de deuda (APP)</w:t>
      </w:r>
      <w:r w:rsidR="008F216C" w:rsidRPr="003C45EB">
        <w:rPr>
          <w:rFonts w:ascii="Times New Roman" w:hAnsi="Times New Roman" w:cs="Times New Roman"/>
        </w:rPr>
        <w:t xml:space="preserve"> se mantiene a un ritmo mensual de 20,</w:t>
      </w:r>
      <w:r w:rsidRPr="003C45EB">
        <w:rPr>
          <w:rFonts w:ascii="Times New Roman" w:hAnsi="Times New Roman" w:cs="Times New Roman"/>
        </w:rPr>
        <w:t xml:space="preserve">000 millones de euros, conjuntamente con las </w:t>
      </w:r>
      <w:r w:rsidR="008F216C" w:rsidRPr="003C45EB">
        <w:rPr>
          <w:rFonts w:ascii="Times New Roman" w:hAnsi="Times New Roman" w:cs="Times New Roman"/>
        </w:rPr>
        <w:t>compras con una dotación de 120,</w:t>
      </w:r>
      <w:r w:rsidRPr="003C45EB">
        <w:rPr>
          <w:rFonts w:ascii="Times New Roman" w:hAnsi="Times New Roman" w:cs="Times New Roman"/>
        </w:rPr>
        <w:t>000 millones de euros adicionales que se realizan con carácter temporal hasta final de año.</w:t>
      </w:r>
      <w:r w:rsidR="008F216C" w:rsidRPr="003C45EB">
        <w:rPr>
          <w:rFonts w:ascii="Times New Roman" w:hAnsi="Times New Roman" w:cs="Times New Roman"/>
        </w:rPr>
        <w:t xml:space="preserve"> Así </w:t>
      </w:r>
      <w:r w:rsidR="008F216C" w:rsidRPr="003C45EB">
        <w:rPr>
          <w:rFonts w:ascii="Times New Roman" w:hAnsi="Times New Roman" w:cs="Times New Roman"/>
        </w:rPr>
        <w:lastRenderedPageBreak/>
        <w:t>mismo, pese a la mejora del PIB prevista para este año, el BCE ha decidido rebajar levemente el pronóstico para 2021, desde el 5.2% estimado en junio, hasta el 5% y para 2022, el dato se modificado en una décima a la baja, hasta el 3.2%.</w:t>
      </w:r>
    </w:p>
    <w:p w:rsidR="00847821" w:rsidRPr="003C45EB" w:rsidRDefault="00847821" w:rsidP="00501418">
      <w:pPr>
        <w:spacing w:after="0" w:line="240" w:lineRule="auto"/>
        <w:ind w:left="142" w:right="190"/>
        <w:jc w:val="both"/>
        <w:rPr>
          <w:rFonts w:ascii="Times New Roman" w:hAnsi="Times New Roman" w:cs="Times New Roman"/>
        </w:rPr>
      </w:pPr>
    </w:p>
    <w:p w:rsidR="008F216C" w:rsidRPr="003C45EB" w:rsidRDefault="00847821" w:rsidP="00D23010">
      <w:pPr>
        <w:spacing w:after="0" w:line="240" w:lineRule="auto"/>
        <w:ind w:left="284" w:right="190"/>
        <w:jc w:val="both"/>
        <w:rPr>
          <w:rFonts w:ascii="Times New Roman" w:hAnsi="Times New Roman" w:cs="Times New Roman"/>
        </w:rPr>
      </w:pPr>
      <w:r w:rsidRPr="003C45EB">
        <w:rPr>
          <w:rFonts w:ascii="Times New Roman" w:hAnsi="Times New Roman" w:cs="Times New Roman"/>
        </w:rPr>
        <w:t>L</w:t>
      </w:r>
      <w:r w:rsidR="008F216C" w:rsidRPr="003C45EB">
        <w:rPr>
          <w:rFonts w:ascii="Times New Roman" w:hAnsi="Times New Roman" w:cs="Times New Roman"/>
        </w:rPr>
        <w:t>a OCDE actualizó este mes sus perspectivas económicas indicando que la producción a nivel mundial ha iniciado una senda de recuperación apoyada en la progresiva reactivación de la actividad socioeconómica y los estímulos fiscales y monetarios adoptados por gobiernos y bancos centrales. Así, entre las proyecciones realizadas por la OCDE en 2020 destacan:</w:t>
      </w:r>
    </w:p>
    <w:p w:rsidR="003C45EB" w:rsidRPr="003C45EB" w:rsidRDefault="003C45EB" w:rsidP="00501418">
      <w:pPr>
        <w:spacing w:after="0" w:line="240" w:lineRule="auto"/>
        <w:ind w:left="142" w:right="190"/>
        <w:jc w:val="both"/>
        <w:rPr>
          <w:rFonts w:ascii="Times New Roman" w:hAnsi="Times New Roman" w:cs="Times New Roman"/>
        </w:rPr>
      </w:pPr>
    </w:p>
    <w:p w:rsidR="008F216C" w:rsidRPr="003C45EB" w:rsidRDefault="008F216C" w:rsidP="00D23010">
      <w:pPr>
        <w:pStyle w:val="Prrafodelista"/>
        <w:numPr>
          <w:ilvl w:val="0"/>
          <w:numId w:val="19"/>
        </w:numPr>
        <w:ind w:left="426" w:right="190" w:hanging="284"/>
        <w:jc w:val="both"/>
        <w:rPr>
          <w:rFonts w:ascii="Times New Roman" w:hAnsi="Times New Roman" w:cs="Times New Roman"/>
        </w:rPr>
      </w:pPr>
      <w:r w:rsidRPr="003C45EB">
        <w:rPr>
          <w:rFonts w:ascii="Times New Roman" w:hAnsi="Times New Roman" w:cs="Times New Roman"/>
        </w:rPr>
        <w:t>China será la única economía del G20 que registraría un avance de su PIB de un 1.8% anual, frente a la contracción prevista en junio de un 2.6% anual. En contraste, India sufriría un desplome de su prod</w:t>
      </w:r>
      <w:r w:rsidR="00875D2C" w:rsidRPr="003C45EB">
        <w:rPr>
          <w:rFonts w:ascii="Times New Roman" w:hAnsi="Times New Roman" w:cs="Times New Roman"/>
        </w:rPr>
        <w:t>ucción de un 10.</w:t>
      </w:r>
      <w:r w:rsidR="006F0957" w:rsidRPr="003C45EB">
        <w:rPr>
          <w:rFonts w:ascii="Times New Roman" w:hAnsi="Times New Roman" w:cs="Times New Roman"/>
        </w:rPr>
        <w:t>2% anual en 2020, 6.</w:t>
      </w:r>
      <w:r w:rsidRPr="003C45EB">
        <w:rPr>
          <w:rFonts w:ascii="Times New Roman" w:hAnsi="Times New Roman" w:cs="Times New Roman"/>
        </w:rPr>
        <w:t xml:space="preserve">5 </w:t>
      </w:r>
      <w:proofErr w:type="spellStart"/>
      <w:r w:rsidRPr="003C45EB">
        <w:rPr>
          <w:rFonts w:ascii="Times New Roman" w:hAnsi="Times New Roman" w:cs="Times New Roman"/>
        </w:rPr>
        <w:t>pp</w:t>
      </w:r>
      <w:proofErr w:type="spellEnd"/>
      <w:r w:rsidRPr="003C45EB">
        <w:rPr>
          <w:rFonts w:ascii="Times New Roman" w:hAnsi="Times New Roman" w:cs="Times New Roman"/>
        </w:rPr>
        <w:t xml:space="preserve"> superior a la prevista en junio.</w:t>
      </w:r>
    </w:p>
    <w:p w:rsidR="008F216C" w:rsidRPr="003C45EB" w:rsidRDefault="008F216C" w:rsidP="00D23010">
      <w:pPr>
        <w:pStyle w:val="Prrafodelista"/>
        <w:numPr>
          <w:ilvl w:val="0"/>
          <w:numId w:val="19"/>
        </w:numPr>
        <w:ind w:left="426" w:right="190" w:hanging="284"/>
        <w:jc w:val="both"/>
        <w:rPr>
          <w:rFonts w:ascii="Times New Roman" w:hAnsi="Times New Roman" w:cs="Times New Roman"/>
        </w:rPr>
      </w:pPr>
      <w:r w:rsidRPr="003C45EB">
        <w:rPr>
          <w:rFonts w:ascii="Times New Roman" w:hAnsi="Times New Roman" w:cs="Times New Roman"/>
        </w:rPr>
        <w:t>Entre las economías avanzadas, la mayor revisión a la baja de la caída de la producción se registraría en EEUU, don</w:t>
      </w:r>
      <w:r w:rsidR="00875D2C" w:rsidRPr="003C45EB">
        <w:rPr>
          <w:rFonts w:ascii="Times New Roman" w:hAnsi="Times New Roman" w:cs="Times New Roman"/>
        </w:rPr>
        <w:t>de se proyecta que alcance un 3.8% anual, 3.</w:t>
      </w:r>
      <w:r w:rsidRPr="003C45EB">
        <w:rPr>
          <w:rFonts w:ascii="Times New Roman" w:hAnsi="Times New Roman" w:cs="Times New Roman"/>
        </w:rPr>
        <w:t xml:space="preserve">5 </w:t>
      </w:r>
      <w:proofErr w:type="spellStart"/>
      <w:r w:rsidRPr="003C45EB">
        <w:rPr>
          <w:rFonts w:ascii="Times New Roman" w:hAnsi="Times New Roman" w:cs="Times New Roman"/>
        </w:rPr>
        <w:t>pp</w:t>
      </w:r>
      <w:proofErr w:type="spellEnd"/>
      <w:r w:rsidRPr="003C45EB">
        <w:rPr>
          <w:rFonts w:ascii="Times New Roman" w:hAnsi="Times New Roman" w:cs="Times New Roman"/>
        </w:rPr>
        <w:t xml:space="preserve"> inferior a su ante</w:t>
      </w:r>
      <w:r w:rsidR="00875D2C" w:rsidRPr="003C45EB">
        <w:rPr>
          <w:rFonts w:ascii="Times New Roman" w:hAnsi="Times New Roman" w:cs="Times New Roman"/>
        </w:rPr>
        <w:t>rior estimación (-7.</w:t>
      </w:r>
      <w:r w:rsidRPr="003C45EB">
        <w:rPr>
          <w:rFonts w:ascii="Times New Roman" w:hAnsi="Times New Roman" w:cs="Times New Roman"/>
        </w:rPr>
        <w:t xml:space="preserve">3% anual). Por su parte, en Japón la OCDE solamente reduce el </w:t>
      </w:r>
      <w:r w:rsidR="00875D2C" w:rsidRPr="003C45EB">
        <w:rPr>
          <w:rFonts w:ascii="Times New Roman" w:hAnsi="Times New Roman" w:cs="Times New Roman"/>
        </w:rPr>
        <w:t xml:space="preserve">retroceso de su PIB en 0.2 </w:t>
      </w:r>
      <w:proofErr w:type="spellStart"/>
      <w:r w:rsidR="00875D2C" w:rsidRPr="003C45EB">
        <w:rPr>
          <w:rFonts w:ascii="Times New Roman" w:hAnsi="Times New Roman" w:cs="Times New Roman"/>
        </w:rPr>
        <w:t>pp</w:t>
      </w:r>
      <w:proofErr w:type="spellEnd"/>
      <w:r w:rsidR="00875D2C" w:rsidRPr="003C45EB">
        <w:rPr>
          <w:rFonts w:ascii="Times New Roman" w:hAnsi="Times New Roman" w:cs="Times New Roman"/>
        </w:rPr>
        <w:t xml:space="preserve"> hasta un 5.</w:t>
      </w:r>
      <w:r w:rsidRPr="003C45EB">
        <w:rPr>
          <w:rFonts w:ascii="Times New Roman" w:hAnsi="Times New Roman" w:cs="Times New Roman"/>
        </w:rPr>
        <w:t>8% anual (vs. 6% anual en junio).</w:t>
      </w:r>
    </w:p>
    <w:p w:rsidR="008F216C" w:rsidRPr="003C45EB" w:rsidRDefault="008F216C" w:rsidP="00D23010">
      <w:pPr>
        <w:pStyle w:val="Prrafodelista"/>
        <w:numPr>
          <w:ilvl w:val="0"/>
          <w:numId w:val="19"/>
        </w:numPr>
        <w:ind w:left="426" w:right="190" w:hanging="284"/>
        <w:jc w:val="both"/>
        <w:rPr>
          <w:rFonts w:ascii="Times New Roman" w:hAnsi="Times New Roman" w:cs="Times New Roman"/>
        </w:rPr>
      </w:pPr>
      <w:r w:rsidRPr="003C45EB">
        <w:rPr>
          <w:rFonts w:ascii="Times New Roman" w:hAnsi="Times New Roman" w:cs="Times New Roman"/>
        </w:rPr>
        <w:t>En la Eurozona la contracc</w:t>
      </w:r>
      <w:r w:rsidR="006F0957" w:rsidRPr="003C45EB">
        <w:rPr>
          <w:rFonts w:ascii="Times New Roman" w:hAnsi="Times New Roman" w:cs="Times New Roman"/>
        </w:rPr>
        <w:t>ión del PIB se situaría en un 7.</w:t>
      </w:r>
      <w:r w:rsidRPr="003C45EB">
        <w:rPr>
          <w:rFonts w:ascii="Times New Roman" w:hAnsi="Times New Roman" w:cs="Times New Roman"/>
        </w:rPr>
        <w:t>9% anual, frente a la prevista en junio d</w:t>
      </w:r>
      <w:r w:rsidR="006F0957" w:rsidRPr="003C45EB">
        <w:rPr>
          <w:rFonts w:ascii="Times New Roman" w:hAnsi="Times New Roman" w:cs="Times New Roman"/>
        </w:rPr>
        <w:t>e un 9.</w:t>
      </w:r>
      <w:r w:rsidRPr="003C45EB">
        <w:rPr>
          <w:rFonts w:ascii="Times New Roman" w:hAnsi="Times New Roman" w:cs="Times New Roman"/>
        </w:rPr>
        <w:t>1% anual, al mismo tiempo que mejora sus proyecciones para Italia, Francia y Alemania, en su caso con una</w:t>
      </w:r>
      <w:r w:rsidR="006F0957" w:rsidRPr="003C45EB">
        <w:rPr>
          <w:rFonts w:ascii="Times New Roman" w:hAnsi="Times New Roman" w:cs="Times New Roman"/>
        </w:rPr>
        <w:t xml:space="preserve"> caída de la producción de un 5.4% anual (vs. -6.</w:t>
      </w:r>
      <w:r w:rsidRPr="003C45EB">
        <w:rPr>
          <w:rFonts w:ascii="Times New Roman" w:hAnsi="Times New Roman" w:cs="Times New Roman"/>
        </w:rPr>
        <w:t>6% anual anterior). Para España el organismo internacional no ha presentado la actualización de</w:t>
      </w:r>
      <w:r w:rsidR="006F0957" w:rsidRPr="003C45EB">
        <w:rPr>
          <w:rFonts w:ascii="Times New Roman" w:hAnsi="Times New Roman" w:cs="Times New Roman"/>
        </w:rPr>
        <w:t xml:space="preserve"> sus previsiones (-11.</w:t>
      </w:r>
      <w:r w:rsidRPr="003C45EB">
        <w:rPr>
          <w:rFonts w:ascii="Times New Roman" w:hAnsi="Times New Roman" w:cs="Times New Roman"/>
        </w:rPr>
        <w:t>1% anual en junio).</w:t>
      </w:r>
    </w:p>
    <w:p w:rsidR="008F216C" w:rsidRPr="003C45EB" w:rsidRDefault="008F216C" w:rsidP="00D23010">
      <w:pPr>
        <w:pStyle w:val="Prrafodelista"/>
        <w:numPr>
          <w:ilvl w:val="0"/>
          <w:numId w:val="19"/>
        </w:numPr>
        <w:ind w:left="426" w:right="190" w:hanging="284"/>
        <w:jc w:val="both"/>
        <w:rPr>
          <w:rFonts w:ascii="Times New Roman" w:hAnsi="Times New Roman" w:cs="Times New Roman"/>
        </w:rPr>
      </w:pPr>
      <w:r w:rsidRPr="003C45EB">
        <w:rPr>
          <w:rFonts w:ascii="Times New Roman" w:hAnsi="Times New Roman" w:cs="Times New Roman"/>
        </w:rPr>
        <w:t>La economía de Reino Unido registrar</w:t>
      </w:r>
      <w:r w:rsidR="006F0957" w:rsidRPr="003C45EB">
        <w:rPr>
          <w:rFonts w:ascii="Times New Roman" w:hAnsi="Times New Roman" w:cs="Times New Roman"/>
        </w:rPr>
        <w:t>ía una caída de su PIB de un 10.</w:t>
      </w:r>
      <w:r w:rsidRPr="003C45EB">
        <w:rPr>
          <w:rFonts w:ascii="Times New Roman" w:hAnsi="Times New Roman" w:cs="Times New Roman"/>
        </w:rPr>
        <w:t xml:space="preserve">1% anual, </w:t>
      </w:r>
      <w:r w:rsidRPr="003C45EB">
        <w:rPr>
          <w:rFonts w:ascii="Times New Roman" w:hAnsi="Times New Roman" w:cs="Times New Roman"/>
        </w:rPr>
        <w:lastRenderedPageBreak/>
        <w:t xml:space="preserve">inferior </w:t>
      </w:r>
      <w:r w:rsidR="006F0957" w:rsidRPr="003C45EB">
        <w:rPr>
          <w:rFonts w:ascii="Times New Roman" w:hAnsi="Times New Roman" w:cs="Times New Roman"/>
        </w:rPr>
        <w:t>a la prevista en junio de un 11.</w:t>
      </w:r>
      <w:r w:rsidRPr="003C45EB">
        <w:rPr>
          <w:rFonts w:ascii="Times New Roman" w:hAnsi="Times New Roman" w:cs="Times New Roman"/>
        </w:rPr>
        <w:t>5% anual, condicionada al escenario final de salida de la UE.</w:t>
      </w:r>
    </w:p>
    <w:p w:rsidR="00147E43" w:rsidRPr="003C45EB" w:rsidRDefault="008F216C" w:rsidP="00D23010">
      <w:pPr>
        <w:pStyle w:val="Prrafodelista"/>
        <w:numPr>
          <w:ilvl w:val="0"/>
          <w:numId w:val="19"/>
        </w:numPr>
        <w:ind w:left="426" w:right="190" w:hanging="284"/>
        <w:jc w:val="both"/>
        <w:rPr>
          <w:rFonts w:ascii="Times New Roman" w:hAnsi="Times New Roman" w:cs="Times New Roman"/>
        </w:rPr>
      </w:pPr>
      <w:r w:rsidRPr="003C45EB">
        <w:rPr>
          <w:rFonts w:ascii="Times New Roman" w:hAnsi="Times New Roman" w:cs="Times New Roman"/>
        </w:rPr>
        <w:t>Además de la India, el deterioro de las expectativas económicas se concentra en las economías emergentes, destacando la revisión al alza de la contracción d</w:t>
      </w:r>
      <w:r w:rsidR="006F0957" w:rsidRPr="003C45EB">
        <w:rPr>
          <w:rFonts w:ascii="Times New Roman" w:hAnsi="Times New Roman" w:cs="Times New Roman"/>
        </w:rPr>
        <w:t>el PIB de Sudáfrica hasta un 11.5% anual (vs. -7.</w:t>
      </w:r>
      <w:r w:rsidRPr="003C45EB">
        <w:rPr>
          <w:rFonts w:ascii="Times New Roman" w:hAnsi="Times New Roman" w:cs="Times New Roman"/>
        </w:rPr>
        <w:t>5% anual</w:t>
      </w:r>
      <w:r w:rsidR="006F0957" w:rsidRPr="003C45EB">
        <w:rPr>
          <w:rFonts w:ascii="Times New Roman" w:hAnsi="Times New Roman" w:cs="Times New Roman"/>
        </w:rPr>
        <w:t xml:space="preserve"> anterior) y de México hasta 10.2% anual (vs. -7.</w:t>
      </w:r>
      <w:r w:rsidRPr="003C45EB">
        <w:rPr>
          <w:rFonts w:ascii="Times New Roman" w:hAnsi="Times New Roman" w:cs="Times New Roman"/>
        </w:rPr>
        <w:t>5% anual en junio). Una coyuntura que diverge de la de Brasil con una caída de la producción</w:t>
      </w:r>
      <w:r w:rsidR="006F0957" w:rsidRPr="003C45EB">
        <w:rPr>
          <w:rFonts w:ascii="Times New Roman" w:hAnsi="Times New Roman" w:cs="Times New Roman"/>
        </w:rPr>
        <w:t xml:space="preserve"> que se reduce en 0.9 </w:t>
      </w:r>
      <w:proofErr w:type="spellStart"/>
      <w:r w:rsidR="006F0957" w:rsidRPr="003C45EB">
        <w:rPr>
          <w:rFonts w:ascii="Times New Roman" w:hAnsi="Times New Roman" w:cs="Times New Roman"/>
        </w:rPr>
        <w:t>pp</w:t>
      </w:r>
      <w:proofErr w:type="spellEnd"/>
      <w:r w:rsidR="006F0957" w:rsidRPr="003C45EB">
        <w:rPr>
          <w:rFonts w:ascii="Times New Roman" w:hAnsi="Times New Roman" w:cs="Times New Roman"/>
        </w:rPr>
        <w:t xml:space="preserve"> a un 6.</w:t>
      </w:r>
      <w:r w:rsidRPr="003C45EB">
        <w:rPr>
          <w:rFonts w:ascii="Times New Roman" w:hAnsi="Times New Roman" w:cs="Times New Roman"/>
        </w:rPr>
        <w:t>5% anual.</w:t>
      </w:r>
    </w:p>
    <w:p w:rsidR="000C73C8" w:rsidRPr="003C45EB" w:rsidRDefault="000C73C8" w:rsidP="00501418">
      <w:pPr>
        <w:spacing w:after="0" w:line="240" w:lineRule="auto"/>
        <w:ind w:left="142" w:right="190"/>
        <w:jc w:val="both"/>
        <w:rPr>
          <w:rFonts w:ascii="Times New Roman" w:hAnsi="Times New Roman" w:cs="Times New Roman"/>
        </w:rPr>
      </w:pPr>
    </w:p>
    <w:p w:rsidR="00304547" w:rsidRPr="003C45EB" w:rsidRDefault="00304547" w:rsidP="00501418">
      <w:pPr>
        <w:spacing w:after="0" w:line="240" w:lineRule="auto"/>
        <w:ind w:left="142" w:right="190"/>
        <w:jc w:val="both"/>
        <w:rPr>
          <w:rFonts w:ascii="Times New Roman" w:hAnsi="Times New Roman" w:cs="Times New Roman"/>
        </w:rPr>
      </w:pPr>
      <w:r w:rsidRPr="003C45EB">
        <w:rPr>
          <w:rFonts w:ascii="Times New Roman" w:hAnsi="Times New Roman" w:cs="Times New Roman"/>
        </w:rPr>
        <w:t xml:space="preserve">En el ámbito interno, la percepción sobre la situación económica actual y el ambiente para los negocios aumentó, el nivel del Índice de Confianza de la Actividad Económica se situó en </w:t>
      </w:r>
      <w:r w:rsidR="00EB2E9A" w:rsidRPr="003C45EB">
        <w:rPr>
          <w:rFonts w:ascii="Times New Roman" w:hAnsi="Times New Roman" w:cs="Times New Roman"/>
        </w:rPr>
        <w:t>53.3</w:t>
      </w:r>
      <w:r w:rsidR="00E22259" w:rsidRPr="003C45EB">
        <w:rPr>
          <w:rFonts w:ascii="Times New Roman" w:hAnsi="Times New Roman" w:cs="Times New Roman"/>
        </w:rPr>
        <w:t>8 puntos,</w:t>
      </w:r>
      <w:r w:rsidR="00EB2E9A" w:rsidRPr="003C45EB">
        <w:rPr>
          <w:rFonts w:ascii="Times New Roman" w:hAnsi="Times New Roman" w:cs="Times New Roman"/>
        </w:rPr>
        <w:t xml:space="preserve"> superior en 11.49</w:t>
      </w:r>
      <w:r w:rsidRPr="003C45EB">
        <w:rPr>
          <w:rFonts w:ascii="Times New Roman" w:hAnsi="Times New Roman" w:cs="Times New Roman"/>
        </w:rPr>
        <w:t xml:space="preserve">% con respecto al registrado el mes anterior y </w:t>
      </w:r>
      <w:r w:rsidR="00EB2E9A" w:rsidRPr="003C45EB">
        <w:rPr>
          <w:rFonts w:ascii="Times New Roman" w:hAnsi="Times New Roman" w:cs="Times New Roman"/>
        </w:rPr>
        <w:t>aumentó en 13.</w:t>
      </w:r>
      <w:r w:rsidR="00E22259" w:rsidRPr="003C45EB">
        <w:rPr>
          <w:rFonts w:ascii="Times New Roman" w:hAnsi="Times New Roman" w:cs="Times New Roman"/>
        </w:rPr>
        <w:t>3</w:t>
      </w:r>
      <w:r w:rsidR="00EB2E9A" w:rsidRPr="003C45EB">
        <w:rPr>
          <w:rFonts w:ascii="Times New Roman" w:hAnsi="Times New Roman" w:cs="Times New Roman"/>
        </w:rPr>
        <w:t>8</w:t>
      </w:r>
      <w:r w:rsidRPr="003C45EB">
        <w:rPr>
          <w:rFonts w:ascii="Times New Roman" w:hAnsi="Times New Roman" w:cs="Times New Roman"/>
        </w:rPr>
        <w:t xml:space="preserve">% respecto al registrado en </w:t>
      </w:r>
      <w:r w:rsidR="00EB2E9A" w:rsidRPr="003C45EB">
        <w:rPr>
          <w:rFonts w:ascii="Times New Roman" w:hAnsi="Times New Roman" w:cs="Times New Roman"/>
        </w:rPr>
        <w:t>septiembre</w:t>
      </w:r>
      <w:r w:rsidRPr="003C45EB">
        <w:rPr>
          <w:rFonts w:ascii="Times New Roman" w:hAnsi="Times New Roman" w:cs="Times New Roman"/>
        </w:rPr>
        <w:t xml:space="preserve"> 2019.   Así mismo, se espera un ritmo inflacionario de </w:t>
      </w:r>
      <w:r w:rsidR="00EB2E9A" w:rsidRPr="003C45EB">
        <w:rPr>
          <w:rFonts w:ascii="Times New Roman" w:hAnsi="Times New Roman" w:cs="Times New Roman"/>
        </w:rPr>
        <w:t>3.64</w:t>
      </w:r>
      <w:r w:rsidRPr="003C45EB">
        <w:rPr>
          <w:rFonts w:ascii="Times New Roman" w:hAnsi="Times New Roman" w:cs="Times New Roman"/>
        </w:rPr>
        <w:t xml:space="preserve">% para </w:t>
      </w:r>
      <w:r w:rsidR="00EB2E9A" w:rsidRPr="003C45EB">
        <w:rPr>
          <w:rFonts w:ascii="Times New Roman" w:hAnsi="Times New Roman" w:cs="Times New Roman"/>
        </w:rPr>
        <w:t>septiembre, 3.69</w:t>
      </w:r>
      <w:r w:rsidRPr="003C45EB">
        <w:rPr>
          <w:rFonts w:ascii="Times New Roman" w:hAnsi="Times New Roman" w:cs="Times New Roman"/>
        </w:rPr>
        <w:t xml:space="preserve">% para </w:t>
      </w:r>
      <w:r w:rsidR="00EB2E9A" w:rsidRPr="003C45EB">
        <w:rPr>
          <w:rFonts w:ascii="Times New Roman" w:hAnsi="Times New Roman" w:cs="Times New Roman"/>
        </w:rPr>
        <w:t>octu</w:t>
      </w:r>
      <w:r w:rsidR="00E22259" w:rsidRPr="003C45EB">
        <w:rPr>
          <w:rFonts w:ascii="Times New Roman" w:hAnsi="Times New Roman" w:cs="Times New Roman"/>
        </w:rPr>
        <w:t>bre y 3</w:t>
      </w:r>
      <w:r w:rsidRPr="003C45EB">
        <w:rPr>
          <w:rFonts w:ascii="Times New Roman" w:hAnsi="Times New Roman" w:cs="Times New Roman"/>
        </w:rPr>
        <w:t>.</w:t>
      </w:r>
      <w:r w:rsidR="00E22259" w:rsidRPr="003C45EB">
        <w:rPr>
          <w:rFonts w:ascii="Times New Roman" w:hAnsi="Times New Roman" w:cs="Times New Roman"/>
        </w:rPr>
        <w:t>7</w:t>
      </w:r>
      <w:r w:rsidR="00EB2E9A" w:rsidRPr="003C45EB">
        <w:rPr>
          <w:rFonts w:ascii="Times New Roman" w:hAnsi="Times New Roman" w:cs="Times New Roman"/>
        </w:rPr>
        <w:t>2</w:t>
      </w:r>
      <w:r w:rsidRPr="003C45EB">
        <w:rPr>
          <w:rFonts w:ascii="Times New Roman" w:hAnsi="Times New Roman" w:cs="Times New Roman"/>
        </w:rPr>
        <w:t xml:space="preserve">% para </w:t>
      </w:r>
      <w:r w:rsidR="00EB2E9A" w:rsidRPr="003C45EB">
        <w:rPr>
          <w:rFonts w:ascii="Times New Roman" w:hAnsi="Times New Roman" w:cs="Times New Roman"/>
        </w:rPr>
        <w:t>noviem</w:t>
      </w:r>
      <w:r w:rsidRPr="003C45EB">
        <w:rPr>
          <w:rFonts w:ascii="Times New Roman" w:hAnsi="Times New Roman" w:cs="Times New Roman"/>
        </w:rPr>
        <w:t>bre 2020; en un horizonte de 12 y 24 mes</w:t>
      </w:r>
      <w:r w:rsidR="00EB2E9A" w:rsidRPr="003C45EB">
        <w:rPr>
          <w:rFonts w:ascii="Times New Roman" w:hAnsi="Times New Roman" w:cs="Times New Roman"/>
        </w:rPr>
        <w:t>es se esperaría un ritmo de 3.81% y 3.99</w:t>
      </w:r>
      <w:r w:rsidRPr="003C45EB">
        <w:rPr>
          <w:rFonts w:ascii="Times New Roman" w:hAnsi="Times New Roman" w:cs="Times New Roman"/>
        </w:rPr>
        <w:t xml:space="preserve">% respectivamente. </w:t>
      </w:r>
    </w:p>
    <w:p w:rsidR="00304547" w:rsidRPr="003C45EB" w:rsidRDefault="00304547" w:rsidP="00501418">
      <w:pPr>
        <w:spacing w:after="0" w:line="240" w:lineRule="auto"/>
        <w:ind w:left="142" w:right="190"/>
        <w:jc w:val="both"/>
        <w:rPr>
          <w:rFonts w:ascii="Times New Roman" w:hAnsi="Times New Roman" w:cs="Times New Roman"/>
        </w:rPr>
      </w:pPr>
    </w:p>
    <w:p w:rsidR="00B06BC2" w:rsidRPr="003C45EB" w:rsidRDefault="0061307D" w:rsidP="00501418">
      <w:pPr>
        <w:spacing w:after="0" w:line="240" w:lineRule="auto"/>
        <w:ind w:left="142" w:right="190"/>
        <w:jc w:val="both"/>
        <w:rPr>
          <w:rFonts w:ascii="Times New Roman" w:hAnsi="Times New Roman" w:cs="Times New Roman"/>
        </w:rPr>
      </w:pPr>
      <w:r w:rsidRPr="003C45EB">
        <w:rPr>
          <w:rFonts w:ascii="Times New Roman" w:hAnsi="Times New Roman" w:cs="Times New Roman"/>
        </w:rPr>
        <w:t xml:space="preserve">La Junta Monetaria decidió por unanimidad mantener en 1.75% la tasa de interés líder de política monetaria, en base al análisis integral de la coyuntura económica externa e interna; la junta destacó que </w:t>
      </w:r>
      <w:r w:rsidR="00EB2E9A" w:rsidRPr="003C45EB">
        <w:rPr>
          <w:rFonts w:ascii="Times New Roman" w:hAnsi="Times New Roman" w:cs="Times New Roman"/>
        </w:rPr>
        <w:t xml:space="preserve">continúan observándose mejoras en las perspectivas de crecimiento económico a nivel mundial. </w:t>
      </w:r>
      <w:r w:rsidRPr="003C45EB">
        <w:rPr>
          <w:rFonts w:ascii="Times New Roman" w:hAnsi="Times New Roman" w:cs="Times New Roman"/>
        </w:rPr>
        <w:t xml:space="preserve">También enfatizó que los indicadores de corto plazo, como el IMAE, las remesas familiares, las exportaciones y el Índice de Confianza de la Actividad Económica (ICAE), </w:t>
      </w:r>
      <w:r w:rsidR="00EB2E9A" w:rsidRPr="003C45EB">
        <w:rPr>
          <w:rFonts w:ascii="Times New Roman" w:hAnsi="Times New Roman" w:cs="Times New Roman"/>
        </w:rPr>
        <w:t>continúan reflejando comportamientos superiores a los esperados, por lo que la recuperación económica, al igual que en otros países, está ocurriendo antes de lo esperado durante el presente año y se estaría consolidando en 2021.</w:t>
      </w:r>
    </w:p>
    <w:p w:rsidR="003C45EB" w:rsidRDefault="003C45EB" w:rsidP="00D61F8E">
      <w:pPr>
        <w:pStyle w:val="Sinespaciado"/>
        <w:jc w:val="both"/>
        <w:rPr>
          <w:rFonts w:ascii="Times New Roman" w:hAnsi="Times New Roman" w:cs="Times New Roman"/>
          <w:color w:val="FF0000"/>
          <w:sz w:val="14"/>
          <w:lang w:val="es-MX"/>
        </w:rPr>
        <w:sectPr w:rsidR="003C45EB" w:rsidSect="003C45EB">
          <w:headerReference w:type="default" r:id="rId35"/>
          <w:footerReference w:type="default" r:id="rId36"/>
          <w:type w:val="continuous"/>
          <w:pgSz w:w="12240" w:h="15840" w:code="1"/>
          <w:pgMar w:top="1418" w:right="1418" w:bottom="1418" w:left="1418" w:header="709" w:footer="709" w:gutter="0"/>
          <w:cols w:num="2" w:space="518"/>
          <w:docGrid w:linePitch="360"/>
        </w:sectPr>
      </w:pPr>
    </w:p>
    <w:p w:rsidR="0061307D" w:rsidRPr="00582EE2" w:rsidRDefault="0061307D" w:rsidP="00D61F8E">
      <w:pPr>
        <w:pStyle w:val="Sinespaciado"/>
        <w:jc w:val="both"/>
        <w:rPr>
          <w:rFonts w:ascii="Times New Roman" w:hAnsi="Times New Roman" w:cs="Times New Roman"/>
          <w:color w:val="FF0000"/>
          <w:sz w:val="14"/>
          <w:lang w:val="es-MX"/>
        </w:rPr>
      </w:pPr>
    </w:p>
    <w:p w:rsidR="000E0E1E" w:rsidRPr="00582EE2" w:rsidRDefault="000E0E1E" w:rsidP="00AD5816">
      <w:pPr>
        <w:spacing w:after="0" w:line="240" w:lineRule="auto"/>
        <w:rPr>
          <w:rFonts w:ascii="Times New Roman" w:hAnsi="Times New Roman" w:cs="Times New Roman"/>
          <w:noProof/>
          <w:color w:val="FF0000"/>
          <w:sz w:val="16"/>
          <w:lang w:eastAsia="es-GT"/>
        </w:rPr>
      </w:pPr>
    </w:p>
    <w:p w:rsidR="000E0E1E" w:rsidRPr="00582EE2" w:rsidRDefault="000E0E1E" w:rsidP="00AD5816">
      <w:pPr>
        <w:spacing w:after="0" w:line="240" w:lineRule="auto"/>
        <w:rPr>
          <w:rFonts w:ascii="Times New Roman" w:hAnsi="Times New Roman" w:cs="Times New Roman"/>
          <w:noProof/>
          <w:color w:val="FF0000"/>
          <w:sz w:val="16"/>
          <w:lang w:eastAsia="es-GT"/>
        </w:rPr>
      </w:pPr>
    </w:p>
    <w:p w:rsidR="000E0E1E" w:rsidRPr="00582EE2" w:rsidRDefault="000E0E1E" w:rsidP="00AD5816">
      <w:pPr>
        <w:spacing w:after="0" w:line="240" w:lineRule="auto"/>
        <w:rPr>
          <w:rFonts w:ascii="Times New Roman" w:hAnsi="Times New Roman" w:cs="Times New Roman"/>
          <w:noProof/>
          <w:color w:val="FF0000"/>
          <w:sz w:val="16"/>
          <w:lang w:eastAsia="es-GT"/>
        </w:rPr>
      </w:pPr>
    </w:p>
    <w:p w:rsidR="001F5581" w:rsidRPr="00D23010" w:rsidRDefault="001F5581" w:rsidP="001F5581">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1F5581" w:rsidRPr="00D23010" w:rsidSect="00FA3B81">
          <w:type w:val="continuous"/>
          <w:pgSz w:w="12240" w:h="15840" w:code="1"/>
          <w:pgMar w:top="1418" w:right="1418" w:bottom="1418" w:left="1418" w:header="709" w:footer="709" w:gutter="0"/>
          <w:cols w:space="708"/>
          <w:docGrid w:linePitch="360"/>
        </w:sectPr>
      </w:pPr>
      <w:r w:rsidRPr="00D23010">
        <w:rPr>
          <w:rFonts w:ascii="Times New Roman" w:hAnsi="Times New Roman" w:cs="Times New Roman"/>
          <w:b/>
          <w:lang w:val="es-MX"/>
        </w:rPr>
        <w:t>Anexo</w:t>
      </w:r>
    </w:p>
    <w:p w:rsidR="001F5581" w:rsidRPr="00582EE2" w:rsidRDefault="001F5581" w:rsidP="00AD5816">
      <w:pPr>
        <w:spacing w:after="0" w:line="240" w:lineRule="auto"/>
        <w:rPr>
          <w:noProof/>
          <w:color w:val="FF0000"/>
          <w:lang w:eastAsia="es-GT"/>
        </w:rPr>
      </w:pPr>
    </w:p>
    <w:p w:rsidR="00A5760D" w:rsidRPr="00582EE2" w:rsidRDefault="00A5760D" w:rsidP="00AD5816">
      <w:pPr>
        <w:spacing w:after="0" w:line="240" w:lineRule="auto"/>
        <w:rPr>
          <w:noProof/>
          <w:color w:val="FF0000"/>
          <w:lang w:eastAsia="es-GT"/>
        </w:rPr>
      </w:pPr>
    </w:p>
    <w:p w:rsidR="00A5760D" w:rsidRPr="00582EE2" w:rsidRDefault="00A5760D" w:rsidP="00AD5816">
      <w:pPr>
        <w:spacing w:after="0" w:line="240" w:lineRule="auto"/>
        <w:rPr>
          <w:rFonts w:ascii="Times New Roman" w:hAnsi="Times New Roman" w:cs="Times New Roman"/>
          <w:noProof/>
          <w:color w:val="FF0000"/>
          <w:sz w:val="16"/>
          <w:lang w:val="es-MX" w:eastAsia="es-GT"/>
        </w:rPr>
        <w:sectPr w:rsidR="00A5760D" w:rsidRPr="00582EE2" w:rsidSect="00986297">
          <w:headerReference w:type="default" r:id="rId37"/>
          <w:footerReference w:type="default" r:id="rId38"/>
          <w:type w:val="continuous"/>
          <w:pgSz w:w="12240" w:h="15840" w:code="1"/>
          <w:pgMar w:top="1418" w:right="1418" w:bottom="1418" w:left="1418" w:header="709" w:footer="709" w:gutter="0"/>
          <w:cols w:num="2" w:space="708"/>
          <w:docGrid w:linePitch="360"/>
        </w:sectPr>
      </w:pPr>
    </w:p>
    <w:p w:rsidR="005834A0" w:rsidRPr="00582EE2" w:rsidRDefault="00D23010" w:rsidP="007E6BCF">
      <w:pPr>
        <w:spacing w:after="0" w:line="240" w:lineRule="auto"/>
        <w:rPr>
          <w:noProof/>
          <w:color w:val="FF0000"/>
          <w:lang w:eastAsia="es-GT"/>
        </w:rPr>
      </w:pPr>
      <w:r w:rsidRPr="000B54A7">
        <w:rPr>
          <w:noProof/>
          <w:lang w:eastAsia="es-GT"/>
        </w:rPr>
        <w:lastRenderedPageBreak/>
        <w:drawing>
          <wp:anchor distT="0" distB="0" distL="114300" distR="114300" simplePos="0" relativeHeight="251855872" behindDoc="0" locked="0" layoutInCell="1" allowOverlap="1" wp14:anchorId="700AA9B9" wp14:editId="641E0335">
            <wp:simplePos x="0" y="0"/>
            <wp:positionH relativeFrom="column">
              <wp:posOffset>-28575</wp:posOffset>
            </wp:positionH>
            <wp:positionV relativeFrom="paragraph">
              <wp:posOffset>340360</wp:posOffset>
            </wp:positionV>
            <wp:extent cx="6123940" cy="4869180"/>
            <wp:effectExtent l="0" t="0" r="0" b="7620"/>
            <wp:wrapSquare wrapText="bothSides"/>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3940" cy="4869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34A0" w:rsidRPr="00582EE2" w:rsidRDefault="005834A0" w:rsidP="007E6BCF">
      <w:pPr>
        <w:spacing w:after="0" w:line="240" w:lineRule="auto"/>
        <w:rPr>
          <w:noProof/>
          <w:color w:val="FF0000"/>
          <w:lang w:eastAsia="es-GT"/>
        </w:rPr>
      </w:pPr>
    </w:p>
    <w:p w:rsidR="005834A0" w:rsidRPr="00582EE2" w:rsidRDefault="005834A0" w:rsidP="007E6BCF">
      <w:pPr>
        <w:spacing w:after="0" w:line="240" w:lineRule="auto"/>
        <w:rPr>
          <w:noProof/>
          <w:color w:val="FF0000"/>
          <w:lang w:eastAsia="es-GT"/>
        </w:rPr>
      </w:pPr>
    </w:p>
    <w:p w:rsidR="005834A0" w:rsidRPr="00582EE2" w:rsidRDefault="005834A0" w:rsidP="007E6BCF">
      <w:pPr>
        <w:spacing w:after="0" w:line="240" w:lineRule="auto"/>
        <w:rPr>
          <w:noProof/>
          <w:color w:val="FF0000"/>
          <w:lang w:eastAsia="es-GT"/>
        </w:rPr>
      </w:pPr>
    </w:p>
    <w:p w:rsidR="00F1031E" w:rsidRPr="00582EE2" w:rsidRDefault="00F1031E" w:rsidP="007E6BCF">
      <w:pPr>
        <w:spacing w:after="0" w:line="240" w:lineRule="auto"/>
        <w:rPr>
          <w:noProof/>
          <w:color w:val="FF0000"/>
          <w:lang w:eastAsia="es-GT"/>
        </w:rPr>
      </w:pPr>
    </w:p>
    <w:p w:rsidR="00F1031E" w:rsidRPr="00582EE2" w:rsidRDefault="00F1031E" w:rsidP="007E6BCF">
      <w:pPr>
        <w:spacing w:after="0" w:line="240" w:lineRule="auto"/>
        <w:rPr>
          <w:noProof/>
          <w:color w:val="FF0000"/>
          <w:lang w:eastAsia="es-GT"/>
        </w:rPr>
      </w:pPr>
    </w:p>
    <w:p w:rsidR="00F1031E" w:rsidRPr="00582EE2" w:rsidRDefault="00F1031E" w:rsidP="007E6BCF">
      <w:pPr>
        <w:spacing w:after="0" w:line="240" w:lineRule="auto"/>
        <w:rPr>
          <w:noProof/>
          <w:color w:val="FF0000"/>
          <w:lang w:eastAsia="es-GT"/>
        </w:rPr>
      </w:pPr>
    </w:p>
    <w:p w:rsidR="001F5581" w:rsidRPr="00582EE2" w:rsidRDefault="001F5581" w:rsidP="007E6BCF">
      <w:pPr>
        <w:spacing w:after="0" w:line="240" w:lineRule="auto"/>
        <w:rPr>
          <w:rFonts w:ascii="Times New Roman" w:hAnsi="Times New Roman" w:cs="Times New Roman"/>
          <w:noProof/>
          <w:color w:val="FF0000"/>
          <w:sz w:val="16"/>
          <w:lang w:val="es-MX" w:eastAsia="es-GT"/>
        </w:rPr>
        <w:sectPr w:rsidR="001F5581" w:rsidRPr="00582EE2" w:rsidSect="001F5581">
          <w:type w:val="continuous"/>
          <w:pgSz w:w="12240" w:h="15840" w:code="1"/>
          <w:pgMar w:top="1418" w:right="1418" w:bottom="1418" w:left="1418" w:header="709" w:footer="709" w:gutter="0"/>
          <w:cols w:space="708"/>
          <w:docGrid w:linePitch="360"/>
        </w:sectPr>
      </w:pPr>
    </w:p>
    <w:p w:rsidR="00AD5816" w:rsidRPr="00582EE2" w:rsidRDefault="00AD5816" w:rsidP="00AD5816">
      <w:pPr>
        <w:spacing w:after="0" w:line="240" w:lineRule="auto"/>
        <w:rPr>
          <w:rFonts w:ascii="Times New Roman" w:hAnsi="Times New Roman" w:cs="Times New Roman"/>
          <w:noProof/>
          <w:color w:val="FF0000"/>
          <w:sz w:val="16"/>
          <w:lang w:eastAsia="es-GT"/>
        </w:rPr>
      </w:pPr>
    </w:p>
    <w:p w:rsidR="00AD5816" w:rsidRPr="00582EE2" w:rsidRDefault="00AD5816" w:rsidP="00AD5816">
      <w:pPr>
        <w:spacing w:after="0" w:line="240" w:lineRule="auto"/>
        <w:rPr>
          <w:rFonts w:ascii="Times New Roman" w:hAnsi="Times New Roman" w:cs="Times New Roman"/>
          <w:noProof/>
          <w:color w:val="FF0000"/>
          <w:sz w:val="16"/>
          <w:lang w:eastAsia="es-GT"/>
        </w:rPr>
      </w:pPr>
    </w:p>
    <w:p w:rsidR="007703A2" w:rsidRPr="00582EE2" w:rsidRDefault="007703A2" w:rsidP="00940C2E">
      <w:pPr>
        <w:pStyle w:val="Sinespaciado"/>
        <w:jc w:val="center"/>
        <w:rPr>
          <w:rFonts w:ascii="Times New Roman" w:hAnsi="Times New Roman" w:cs="Times New Roman"/>
          <w:color w:val="FF0000"/>
        </w:rPr>
      </w:pPr>
    </w:p>
    <w:sectPr w:rsidR="007703A2" w:rsidRPr="00582EE2" w:rsidSect="00986297">
      <w:type w:val="continuous"/>
      <w:pgSz w:w="12240" w:h="15840" w:code="1"/>
      <w:pgMar w:top="1418" w:right="1418" w:bottom="1418" w:left="1418"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64C5" w:rsidRDefault="00D064C5" w:rsidP="007D4651">
      <w:pPr>
        <w:spacing w:after="0" w:line="240" w:lineRule="auto"/>
      </w:pPr>
      <w:r>
        <w:separator/>
      </w:r>
    </w:p>
  </w:endnote>
  <w:endnote w:type="continuationSeparator" w:id="0">
    <w:p w:rsidR="00D064C5" w:rsidRDefault="00D064C5" w:rsidP="007D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737366140"/>
      <w:docPartObj>
        <w:docPartGallery w:val="Page Numbers (Bottom of Page)"/>
        <w:docPartUnique/>
      </w:docPartObj>
    </w:sdtPr>
    <w:sdtEndPr/>
    <w:sdtContent>
      <w:p w:rsidR="00E90128" w:rsidRDefault="00E90128">
        <w:pPr>
          <w:pStyle w:val="Piedepgina"/>
          <w:jc w:val="right"/>
          <w:rPr>
            <w:lang w:val="es-ES"/>
          </w:rPr>
        </w:pPr>
      </w:p>
      <w:p w:rsidR="00E90128" w:rsidRDefault="00E90128"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63360" behindDoc="0" locked="0" layoutInCell="1" allowOverlap="1" wp14:anchorId="0625B6D3" wp14:editId="6FE37AC4">
                  <wp:simplePos x="0" y="0"/>
                  <wp:positionH relativeFrom="column">
                    <wp:posOffset>1755792</wp:posOffset>
                  </wp:positionH>
                  <wp:positionV relativeFrom="paragraph">
                    <wp:posOffset>70485</wp:posOffset>
                  </wp:positionV>
                  <wp:extent cx="5155565" cy="45719"/>
                  <wp:effectExtent l="38100" t="38100" r="64135" b="88265"/>
                  <wp:wrapNone/>
                  <wp:docPr id="3" name="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19BD47" id="3 Rectángulo" o:spid="_x0000_s1026" style="position:absolute;margin-left:138.25pt;margin-top:5.55pt;width:405.95pt;height:3.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rtYPAMAAKU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E90128" w:rsidRDefault="00E90128">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0B33FB" w:rsidRPr="000B33FB">
          <w:rPr>
            <w:rFonts w:ascii="Times New Roman" w:hAnsi="Times New Roman" w:cs="Times New Roman"/>
            <w:b/>
            <w:noProof/>
            <w:color w:val="1F497D" w:themeColor="text2"/>
            <w:lang w:val="es-ES"/>
          </w:rPr>
          <w:t>1</w:t>
        </w:r>
        <w:r w:rsidRPr="007D4651">
          <w:rPr>
            <w:rFonts w:ascii="Times New Roman" w:hAnsi="Times New Roman" w:cs="Times New Roman"/>
            <w:b/>
            <w:color w:val="1F497D" w:themeColor="text2"/>
          </w:rPr>
          <w:fldChar w:fldCharType="end"/>
        </w:r>
        <w:r>
          <w:rPr>
            <w:lang w:val="es-ES"/>
          </w:rPr>
          <w:t xml:space="preserve"> </w:t>
        </w:r>
      </w:p>
    </w:sdtContent>
  </w:sdt>
  <w:p w:rsidR="00E90128" w:rsidRDefault="00E90128" w:rsidP="007D4651">
    <w:pPr>
      <w:pStyle w:val="Piedepgina"/>
      <w:tabs>
        <w:tab w:val="clear" w:pos="4419"/>
        <w:tab w:val="clear" w:pos="8838"/>
        <w:tab w:val="left" w:pos="5777"/>
      </w:tabs>
    </w:pPr>
  </w:p>
  <w:p w:rsidR="00E90128" w:rsidRDefault="00E90128"/>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759977768"/>
      <w:docPartObj>
        <w:docPartGallery w:val="Page Numbers (Bottom of Page)"/>
        <w:docPartUnique/>
      </w:docPartObj>
    </w:sdtPr>
    <w:sdtEndPr/>
    <w:sdtContent>
      <w:p w:rsidR="00E90128" w:rsidRDefault="00E90128">
        <w:pPr>
          <w:pStyle w:val="Piedepgina"/>
          <w:jc w:val="right"/>
          <w:rPr>
            <w:lang w:val="es-ES"/>
          </w:rPr>
        </w:pPr>
      </w:p>
      <w:p w:rsidR="00E90128" w:rsidRDefault="00E90128"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67456" behindDoc="0" locked="0" layoutInCell="1" allowOverlap="1" wp14:anchorId="396A1C46" wp14:editId="36CB6CDE">
                  <wp:simplePos x="0" y="0"/>
                  <wp:positionH relativeFrom="column">
                    <wp:posOffset>1776669</wp:posOffset>
                  </wp:positionH>
                  <wp:positionV relativeFrom="paragraph">
                    <wp:posOffset>70516</wp:posOffset>
                  </wp:positionV>
                  <wp:extent cx="5155565" cy="45719"/>
                  <wp:effectExtent l="38100" t="38100" r="64135" b="88265"/>
                  <wp:wrapNone/>
                  <wp:docPr id="8" name="8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580437" id="8 Rectángulo" o:spid="_x0000_s1026" style="position:absolute;margin-left:139.9pt;margin-top:5.55pt;width:405.95pt;height:3.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E90128" w:rsidRDefault="00E90128">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0B33FB" w:rsidRPr="000B33FB">
          <w:rPr>
            <w:rFonts w:ascii="Times New Roman" w:hAnsi="Times New Roman" w:cs="Times New Roman"/>
            <w:b/>
            <w:noProof/>
            <w:color w:val="1F497D" w:themeColor="text2"/>
            <w:lang w:val="es-ES"/>
          </w:rPr>
          <w:t>3</w:t>
        </w:r>
        <w:r w:rsidRPr="007D4651">
          <w:rPr>
            <w:rFonts w:ascii="Times New Roman" w:hAnsi="Times New Roman" w:cs="Times New Roman"/>
            <w:b/>
            <w:color w:val="1F497D" w:themeColor="text2"/>
          </w:rPr>
          <w:fldChar w:fldCharType="end"/>
        </w:r>
        <w:r>
          <w:rPr>
            <w:lang w:val="es-ES"/>
          </w:rPr>
          <w:t xml:space="preserve"> </w:t>
        </w:r>
      </w:p>
    </w:sdtContent>
  </w:sdt>
  <w:p w:rsidR="00E90128" w:rsidRDefault="00E90128" w:rsidP="007D4651">
    <w:pPr>
      <w:pStyle w:val="Piedepgina"/>
      <w:tabs>
        <w:tab w:val="clear" w:pos="4419"/>
        <w:tab w:val="clear" w:pos="8838"/>
        <w:tab w:val="left" w:pos="5777"/>
      </w:tabs>
    </w:pPr>
  </w:p>
  <w:p w:rsidR="00E90128" w:rsidRDefault="00E90128"/>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358082904"/>
      <w:docPartObj>
        <w:docPartGallery w:val="Page Numbers (Bottom of Page)"/>
        <w:docPartUnique/>
      </w:docPartObj>
    </w:sdtPr>
    <w:sdtEndPr/>
    <w:sdtContent>
      <w:p w:rsidR="00E90128" w:rsidRDefault="00E90128">
        <w:pPr>
          <w:pStyle w:val="Piedepgina"/>
          <w:jc w:val="right"/>
          <w:rPr>
            <w:lang w:val="es-ES"/>
          </w:rPr>
        </w:pPr>
      </w:p>
      <w:p w:rsidR="00E90128" w:rsidRDefault="00E90128"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08416" behindDoc="0" locked="0" layoutInCell="1" allowOverlap="1" wp14:anchorId="3AA102DC" wp14:editId="4DF77BCD">
                  <wp:simplePos x="0" y="0"/>
                  <wp:positionH relativeFrom="column">
                    <wp:posOffset>1759602</wp:posOffset>
                  </wp:positionH>
                  <wp:positionV relativeFrom="paragraph">
                    <wp:posOffset>70485</wp:posOffset>
                  </wp:positionV>
                  <wp:extent cx="5155565" cy="45719"/>
                  <wp:effectExtent l="38100" t="38100" r="64135" b="88265"/>
                  <wp:wrapNone/>
                  <wp:docPr id="32" name="32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2E13D4" id="32 Rectángulo" o:spid="_x0000_s1026" style="position:absolute;margin-left:138.55pt;margin-top:5.55pt;width:405.95pt;height:3.6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tGPgMAAKc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A9YC0Y+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E90128" w:rsidRDefault="00E90128">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Pr="00725FE5">
          <w:rPr>
            <w:rFonts w:ascii="Times New Roman" w:hAnsi="Times New Roman" w:cs="Times New Roman"/>
            <w:b/>
            <w:noProof/>
            <w:color w:val="1F497D" w:themeColor="text2"/>
            <w:lang w:val="es-ES"/>
          </w:rPr>
          <w:t>4</w:t>
        </w:r>
        <w:r w:rsidRPr="007D4651">
          <w:rPr>
            <w:rFonts w:ascii="Times New Roman" w:hAnsi="Times New Roman" w:cs="Times New Roman"/>
            <w:b/>
            <w:color w:val="1F497D" w:themeColor="text2"/>
          </w:rPr>
          <w:fldChar w:fldCharType="end"/>
        </w:r>
        <w:r>
          <w:rPr>
            <w:lang w:val="es-ES"/>
          </w:rPr>
          <w:t xml:space="preserve"> </w:t>
        </w:r>
      </w:p>
    </w:sdtContent>
  </w:sdt>
  <w:p w:rsidR="00E90128" w:rsidRDefault="00E90128" w:rsidP="007D4651">
    <w:pPr>
      <w:pStyle w:val="Piedepgina"/>
      <w:tabs>
        <w:tab w:val="clear" w:pos="4419"/>
        <w:tab w:val="clear" w:pos="8838"/>
        <w:tab w:val="left" w:pos="5777"/>
      </w:tabs>
    </w:pPr>
  </w:p>
  <w:p w:rsidR="00E90128" w:rsidRDefault="00E90128"/>
  <w:p w:rsidR="00E90128" w:rsidRDefault="00E90128"/>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057080796"/>
      <w:docPartObj>
        <w:docPartGallery w:val="Page Numbers (Bottom of Page)"/>
        <w:docPartUnique/>
      </w:docPartObj>
    </w:sdtPr>
    <w:sdtEndPr/>
    <w:sdtContent>
      <w:p w:rsidR="00E90128" w:rsidRDefault="00E90128">
        <w:pPr>
          <w:pStyle w:val="Piedepgina"/>
          <w:jc w:val="right"/>
          <w:rPr>
            <w:lang w:val="es-ES"/>
          </w:rPr>
        </w:pPr>
      </w:p>
      <w:p w:rsidR="00E90128" w:rsidRDefault="00E90128"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1552" behindDoc="0" locked="0" layoutInCell="1" allowOverlap="1" wp14:anchorId="1A9FE176" wp14:editId="02993D78">
                  <wp:simplePos x="0" y="0"/>
                  <wp:positionH relativeFrom="column">
                    <wp:posOffset>1776669</wp:posOffset>
                  </wp:positionH>
                  <wp:positionV relativeFrom="paragraph">
                    <wp:posOffset>70516</wp:posOffset>
                  </wp:positionV>
                  <wp:extent cx="5155565" cy="45719"/>
                  <wp:effectExtent l="38100" t="38100" r="64135" b="88265"/>
                  <wp:wrapNone/>
                  <wp:docPr id="16" name="1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2D1E99" id="16 Rectángulo" o:spid="_x0000_s1026" style="position:absolute;margin-left:139.9pt;margin-top:5.55pt;width:405.95pt;height:3.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E90128" w:rsidRDefault="00E90128">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7B4BB9" w:rsidRPr="007B4BB9">
          <w:rPr>
            <w:rFonts w:ascii="Times New Roman" w:hAnsi="Times New Roman" w:cs="Times New Roman"/>
            <w:b/>
            <w:noProof/>
            <w:color w:val="1F497D" w:themeColor="text2"/>
            <w:lang w:val="es-ES"/>
          </w:rPr>
          <w:t>4</w:t>
        </w:r>
        <w:r w:rsidRPr="007D4651">
          <w:rPr>
            <w:rFonts w:ascii="Times New Roman" w:hAnsi="Times New Roman" w:cs="Times New Roman"/>
            <w:b/>
            <w:color w:val="1F497D" w:themeColor="text2"/>
          </w:rPr>
          <w:fldChar w:fldCharType="end"/>
        </w:r>
        <w:r>
          <w:rPr>
            <w:lang w:val="es-ES"/>
          </w:rPr>
          <w:t xml:space="preserve"> </w:t>
        </w:r>
      </w:p>
    </w:sdtContent>
  </w:sdt>
  <w:p w:rsidR="00E90128" w:rsidRDefault="00E90128" w:rsidP="007D4651">
    <w:pPr>
      <w:pStyle w:val="Piedepgina"/>
      <w:tabs>
        <w:tab w:val="clear" w:pos="4419"/>
        <w:tab w:val="clear" w:pos="8838"/>
        <w:tab w:val="left" w:pos="5777"/>
      </w:tabs>
    </w:pPr>
  </w:p>
  <w:p w:rsidR="00E90128" w:rsidRDefault="00E90128"/>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2100707382"/>
      <w:docPartObj>
        <w:docPartGallery w:val="Page Numbers (Bottom of Page)"/>
        <w:docPartUnique/>
      </w:docPartObj>
    </w:sdtPr>
    <w:sdtEndPr/>
    <w:sdtContent>
      <w:p w:rsidR="00E90128" w:rsidRDefault="00E90128">
        <w:pPr>
          <w:pStyle w:val="Piedepgina"/>
          <w:jc w:val="right"/>
          <w:rPr>
            <w:lang w:val="es-ES"/>
          </w:rPr>
        </w:pPr>
      </w:p>
      <w:p w:rsidR="00E90128" w:rsidRDefault="00E90128"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28896" behindDoc="0" locked="0" layoutInCell="1" allowOverlap="1" wp14:anchorId="4CF8A64C" wp14:editId="7A10842D">
                  <wp:simplePos x="0" y="0"/>
                  <wp:positionH relativeFrom="column">
                    <wp:posOffset>1751347</wp:posOffset>
                  </wp:positionH>
                  <wp:positionV relativeFrom="paragraph">
                    <wp:posOffset>72390</wp:posOffset>
                  </wp:positionV>
                  <wp:extent cx="5155565" cy="45719"/>
                  <wp:effectExtent l="38100" t="38100" r="64135" b="88265"/>
                  <wp:wrapNone/>
                  <wp:docPr id="55" name="2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BC3373" id="23 Rectángulo" o:spid="_x0000_s1026" style="position:absolute;margin-left:137.9pt;margin-top:5.7pt;width:405.95pt;height:3.6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E90128" w:rsidRDefault="00E90128">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0B33FB" w:rsidRPr="000B33FB">
          <w:rPr>
            <w:rFonts w:ascii="Times New Roman" w:hAnsi="Times New Roman" w:cs="Times New Roman"/>
            <w:b/>
            <w:noProof/>
            <w:color w:val="1F497D" w:themeColor="text2"/>
            <w:lang w:val="es-ES"/>
          </w:rPr>
          <w:t>7</w:t>
        </w:r>
        <w:r w:rsidRPr="007D4651">
          <w:rPr>
            <w:rFonts w:ascii="Times New Roman" w:hAnsi="Times New Roman" w:cs="Times New Roman"/>
            <w:b/>
            <w:color w:val="1F497D" w:themeColor="text2"/>
          </w:rPr>
          <w:fldChar w:fldCharType="end"/>
        </w:r>
        <w:r>
          <w:rPr>
            <w:lang w:val="es-ES"/>
          </w:rPr>
          <w:t xml:space="preserve"> </w:t>
        </w:r>
      </w:p>
    </w:sdtContent>
  </w:sdt>
  <w:p w:rsidR="00E90128" w:rsidRDefault="00E90128" w:rsidP="007D4651">
    <w:pPr>
      <w:pStyle w:val="Piedepgina"/>
      <w:tabs>
        <w:tab w:val="clear" w:pos="4419"/>
        <w:tab w:val="clear" w:pos="8838"/>
        <w:tab w:val="left" w:pos="5777"/>
      </w:tabs>
    </w:pPr>
  </w:p>
  <w:p w:rsidR="00E90128" w:rsidRDefault="00E90128"/>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49076401"/>
      <w:docPartObj>
        <w:docPartGallery w:val="Page Numbers (Bottom of Page)"/>
        <w:docPartUnique/>
      </w:docPartObj>
    </w:sdtPr>
    <w:sdtEndPr/>
    <w:sdtContent>
      <w:p w:rsidR="00E90128" w:rsidRDefault="00E90128">
        <w:pPr>
          <w:pStyle w:val="Piedepgina"/>
          <w:jc w:val="right"/>
          <w:rPr>
            <w:lang w:val="es-ES"/>
          </w:rPr>
        </w:pPr>
      </w:p>
      <w:p w:rsidR="00E90128" w:rsidRDefault="00E90128"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5648" behindDoc="0" locked="0" layoutInCell="1" allowOverlap="1" wp14:anchorId="14CC78C0" wp14:editId="03411EDE">
                  <wp:simplePos x="0" y="0"/>
                  <wp:positionH relativeFrom="column">
                    <wp:posOffset>1751347</wp:posOffset>
                  </wp:positionH>
                  <wp:positionV relativeFrom="paragraph">
                    <wp:posOffset>72390</wp:posOffset>
                  </wp:positionV>
                  <wp:extent cx="5155565" cy="45719"/>
                  <wp:effectExtent l="38100" t="38100" r="64135" b="88265"/>
                  <wp:wrapNone/>
                  <wp:docPr id="23" name="2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CE973B" id="23 Rectángulo" o:spid="_x0000_s1026" style="position:absolute;margin-left:137.9pt;margin-top:5.7pt;width:405.95pt;height:3.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0KePgMAAKc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E90128" w:rsidRDefault="00E90128">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0B33FB" w:rsidRPr="000B33FB">
          <w:rPr>
            <w:rFonts w:ascii="Times New Roman" w:hAnsi="Times New Roman" w:cs="Times New Roman"/>
            <w:b/>
            <w:noProof/>
            <w:color w:val="1F497D" w:themeColor="text2"/>
            <w:lang w:val="es-ES"/>
          </w:rPr>
          <w:t>9</w:t>
        </w:r>
        <w:r w:rsidRPr="007D4651">
          <w:rPr>
            <w:rFonts w:ascii="Times New Roman" w:hAnsi="Times New Roman" w:cs="Times New Roman"/>
            <w:b/>
            <w:color w:val="1F497D" w:themeColor="text2"/>
          </w:rPr>
          <w:fldChar w:fldCharType="end"/>
        </w:r>
        <w:r>
          <w:rPr>
            <w:lang w:val="es-ES"/>
          </w:rPr>
          <w:t xml:space="preserve"> </w:t>
        </w:r>
      </w:p>
    </w:sdtContent>
  </w:sdt>
  <w:p w:rsidR="00E90128" w:rsidRDefault="00E90128" w:rsidP="007D4651">
    <w:pPr>
      <w:pStyle w:val="Piedepgina"/>
      <w:tabs>
        <w:tab w:val="clear" w:pos="4419"/>
        <w:tab w:val="clear" w:pos="8838"/>
        <w:tab w:val="left" w:pos="5777"/>
      </w:tabs>
    </w:pPr>
  </w:p>
  <w:p w:rsidR="00E90128" w:rsidRDefault="00E90128"/>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567338240"/>
      <w:docPartObj>
        <w:docPartGallery w:val="Page Numbers (Bottom of Page)"/>
        <w:docPartUnique/>
      </w:docPartObj>
    </w:sdtPr>
    <w:sdtEndPr/>
    <w:sdtContent>
      <w:p w:rsidR="00E90128" w:rsidRDefault="00E90128">
        <w:pPr>
          <w:pStyle w:val="Piedepgina"/>
          <w:jc w:val="right"/>
          <w:rPr>
            <w:lang w:val="es-ES"/>
          </w:rPr>
        </w:pPr>
      </w:p>
      <w:p w:rsidR="00E90128" w:rsidRDefault="00E90128"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9744" behindDoc="0" locked="0" layoutInCell="1" allowOverlap="1" wp14:anchorId="4FD00D1B" wp14:editId="7B93A144">
                  <wp:simplePos x="0" y="0"/>
                  <wp:positionH relativeFrom="column">
                    <wp:posOffset>1759602</wp:posOffset>
                  </wp:positionH>
                  <wp:positionV relativeFrom="paragraph">
                    <wp:posOffset>70485</wp:posOffset>
                  </wp:positionV>
                  <wp:extent cx="5155565" cy="45719"/>
                  <wp:effectExtent l="38100" t="38100" r="64135" b="88265"/>
                  <wp:wrapNone/>
                  <wp:docPr id="26" name="2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723F3E" id="26 Rectángulo" o:spid="_x0000_s1026" style="position:absolute;margin-left:138.55pt;margin-top:5.55pt;width:405.95pt;height:3.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C4DNAA+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E90128" w:rsidRDefault="00E90128">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74022A" w:rsidRPr="0074022A">
          <w:rPr>
            <w:rFonts w:ascii="Times New Roman" w:hAnsi="Times New Roman" w:cs="Times New Roman"/>
            <w:b/>
            <w:noProof/>
            <w:color w:val="1F497D" w:themeColor="text2"/>
            <w:lang w:val="es-ES"/>
          </w:rPr>
          <w:t>10</w:t>
        </w:r>
        <w:r w:rsidRPr="007D4651">
          <w:rPr>
            <w:rFonts w:ascii="Times New Roman" w:hAnsi="Times New Roman" w:cs="Times New Roman"/>
            <w:b/>
            <w:color w:val="1F497D" w:themeColor="text2"/>
          </w:rPr>
          <w:fldChar w:fldCharType="end"/>
        </w:r>
        <w:r>
          <w:rPr>
            <w:lang w:val="es-ES"/>
          </w:rPr>
          <w:t xml:space="preserve"> </w:t>
        </w:r>
      </w:p>
    </w:sdtContent>
  </w:sdt>
  <w:p w:rsidR="00E90128" w:rsidRDefault="00E90128" w:rsidP="007D4651">
    <w:pPr>
      <w:pStyle w:val="Piedepgina"/>
      <w:tabs>
        <w:tab w:val="clear" w:pos="4419"/>
        <w:tab w:val="clear" w:pos="8838"/>
        <w:tab w:val="left" w:pos="5777"/>
      </w:tabs>
    </w:pPr>
  </w:p>
  <w:p w:rsidR="00E90128" w:rsidRDefault="00E90128"/>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2071101522"/>
      <w:docPartObj>
        <w:docPartGallery w:val="Page Numbers (Bottom of Page)"/>
        <w:docPartUnique/>
      </w:docPartObj>
    </w:sdtPr>
    <w:sdtEndPr/>
    <w:sdtContent>
      <w:p w:rsidR="00E90128" w:rsidRDefault="00E90128">
        <w:pPr>
          <w:pStyle w:val="Piedepgina"/>
          <w:jc w:val="right"/>
          <w:rPr>
            <w:lang w:val="es-ES"/>
          </w:rPr>
        </w:pPr>
      </w:p>
      <w:p w:rsidR="00E90128" w:rsidRDefault="00E90128"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30944" behindDoc="0" locked="0" layoutInCell="1" allowOverlap="1" wp14:anchorId="6AB241C2" wp14:editId="5391A663">
                  <wp:simplePos x="0" y="0"/>
                  <wp:positionH relativeFrom="column">
                    <wp:posOffset>1759602</wp:posOffset>
                  </wp:positionH>
                  <wp:positionV relativeFrom="paragraph">
                    <wp:posOffset>70485</wp:posOffset>
                  </wp:positionV>
                  <wp:extent cx="5155565" cy="45719"/>
                  <wp:effectExtent l="38100" t="38100" r="64135" b="88265"/>
                  <wp:wrapNone/>
                  <wp:docPr id="48" name="2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9BF271" id="26 Rectángulo" o:spid="_x0000_s1026" style="position:absolute;margin-left:138.55pt;margin-top:5.55pt;width:405.95pt;height:3.6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HYBxbo+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E90128" w:rsidRDefault="00E90128">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0B33FB" w:rsidRPr="000B33FB">
          <w:rPr>
            <w:rFonts w:ascii="Times New Roman" w:hAnsi="Times New Roman" w:cs="Times New Roman"/>
            <w:b/>
            <w:noProof/>
            <w:color w:val="1F497D" w:themeColor="text2"/>
            <w:lang w:val="es-ES"/>
          </w:rPr>
          <w:t>11</w:t>
        </w:r>
        <w:r w:rsidRPr="007D4651">
          <w:rPr>
            <w:rFonts w:ascii="Times New Roman" w:hAnsi="Times New Roman" w:cs="Times New Roman"/>
            <w:b/>
            <w:color w:val="1F497D" w:themeColor="text2"/>
          </w:rPr>
          <w:fldChar w:fldCharType="end"/>
        </w:r>
        <w:r>
          <w:rPr>
            <w:lang w:val="es-ES"/>
          </w:rPr>
          <w:t xml:space="preserve"> </w:t>
        </w:r>
      </w:p>
    </w:sdtContent>
  </w:sdt>
  <w:p w:rsidR="00E90128" w:rsidRDefault="00E90128" w:rsidP="007D4651">
    <w:pPr>
      <w:pStyle w:val="Piedepgina"/>
      <w:tabs>
        <w:tab w:val="clear" w:pos="4419"/>
        <w:tab w:val="clear" w:pos="8838"/>
        <w:tab w:val="left" w:pos="5777"/>
      </w:tabs>
    </w:pPr>
  </w:p>
  <w:p w:rsidR="00E90128" w:rsidRDefault="00E90128"/>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390385153"/>
      <w:docPartObj>
        <w:docPartGallery w:val="Page Numbers (Bottom of Page)"/>
        <w:docPartUnique/>
      </w:docPartObj>
    </w:sdtPr>
    <w:sdtEndPr/>
    <w:sdtContent>
      <w:p w:rsidR="00E90128" w:rsidRDefault="00E90128">
        <w:pPr>
          <w:pStyle w:val="Piedepgina"/>
          <w:jc w:val="right"/>
          <w:rPr>
            <w:lang w:val="es-ES"/>
          </w:rPr>
        </w:pPr>
      </w:p>
      <w:p w:rsidR="00E90128" w:rsidRDefault="00E90128"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83840" behindDoc="0" locked="0" layoutInCell="1" allowOverlap="1" wp14:anchorId="3CFAF8B1" wp14:editId="03237D17">
                  <wp:simplePos x="0" y="0"/>
                  <wp:positionH relativeFrom="column">
                    <wp:posOffset>1776669</wp:posOffset>
                  </wp:positionH>
                  <wp:positionV relativeFrom="paragraph">
                    <wp:posOffset>70516</wp:posOffset>
                  </wp:positionV>
                  <wp:extent cx="5155565" cy="45719"/>
                  <wp:effectExtent l="38100" t="38100" r="64135" b="88265"/>
                  <wp:wrapNone/>
                  <wp:docPr id="39" name="39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3C0B72" id="39 Rectángulo" o:spid="_x0000_s1026" style="position:absolute;margin-left:139.9pt;margin-top:5.55pt;width:405.95pt;height:3.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E90128" w:rsidRDefault="00E90128">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3B4C6F" w:rsidRPr="003B4C6F">
          <w:rPr>
            <w:rFonts w:ascii="Times New Roman" w:hAnsi="Times New Roman" w:cs="Times New Roman"/>
            <w:b/>
            <w:noProof/>
            <w:color w:val="1F497D" w:themeColor="text2"/>
            <w:lang w:val="es-ES"/>
          </w:rPr>
          <w:t>12</w:t>
        </w:r>
        <w:r w:rsidRPr="007D4651">
          <w:rPr>
            <w:rFonts w:ascii="Times New Roman" w:hAnsi="Times New Roman" w:cs="Times New Roman"/>
            <w:b/>
            <w:color w:val="1F497D" w:themeColor="text2"/>
          </w:rPr>
          <w:fldChar w:fldCharType="end"/>
        </w:r>
        <w:r>
          <w:rPr>
            <w:lang w:val="es-ES"/>
          </w:rPr>
          <w:t xml:space="preserve"> </w:t>
        </w:r>
      </w:p>
    </w:sdtContent>
  </w:sdt>
  <w:p w:rsidR="00E90128" w:rsidRDefault="00E90128" w:rsidP="007D4651">
    <w:pPr>
      <w:pStyle w:val="Piedepgina"/>
      <w:tabs>
        <w:tab w:val="clear" w:pos="4419"/>
        <w:tab w:val="clear" w:pos="8838"/>
        <w:tab w:val="left" w:pos="5777"/>
      </w:tabs>
    </w:pPr>
  </w:p>
  <w:p w:rsidR="00E90128" w:rsidRDefault="00E90128"/>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64C5" w:rsidRDefault="00D064C5" w:rsidP="007D4651">
      <w:pPr>
        <w:spacing w:after="0" w:line="240" w:lineRule="auto"/>
      </w:pPr>
      <w:r>
        <w:separator/>
      </w:r>
    </w:p>
  </w:footnote>
  <w:footnote w:type="continuationSeparator" w:id="0">
    <w:p w:rsidR="00D064C5" w:rsidRDefault="00D064C5" w:rsidP="007D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128" w:rsidRPr="007D4651" w:rsidRDefault="00E90128" w:rsidP="00BD3A7C">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39136" behindDoc="0" locked="0" layoutInCell="1" allowOverlap="1" wp14:anchorId="2E895B4A" wp14:editId="667FEFAF">
          <wp:simplePos x="0" y="0"/>
          <wp:positionH relativeFrom="column">
            <wp:posOffset>0</wp:posOffset>
          </wp:positionH>
          <wp:positionV relativeFrom="paragraph">
            <wp:posOffset>-635</wp:posOffset>
          </wp:positionV>
          <wp:extent cx="1598212" cy="723976"/>
          <wp:effectExtent l="0" t="0" r="2540" b="0"/>
          <wp:wrapNone/>
          <wp:docPr id="5" name="Imagen 5"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E90128" w:rsidRDefault="00424702" w:rsidP="00BD3A7C">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Septiembre</w:t>
    </w:r>
    <w:r w:rsidR="00E90128">
      <w:rPr>
        <w:rFonts w:ascii="Times New Roman" w:hAnsi="Times New Roman" w:cs="Times New Roman"/>
        <w:color w:val="1F497D" w:themeColor="text2"/>
        <w:lang w:val="es-MX"/>
      </w:rPr>
      <w:t xml:space="preserve"> 2020</w:t>
    </w:r>
  </w:p>
  <w:p w:rsidR="00E90128" w:rsidRDefault="00E90128"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14560" behindDoc="0" locked="0" layoutInCell="1" allowOverlap="1" wp14:anchorId="551B098E" wp14:editId="094A6588">
              <wp:simplePos x="0" y="0"/>
              <wp:positionH relativeFrom="column">
                <wp:posOffset>1720884</wp:posOffset>
              </wp:positionH>
              <wp:positionV relativeFrom="paragraph">
                <wp:posOffset>7980</wp:posOffset>
              </wp:positionV>
              <wp:extent cx="5155894" cy="45719"/>
              <wp:effectExtent l="38100" t="38100" r="64135" b="88265"/>
              <wp:wrapNone/>
              <wp:docPr id="11" name="1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115008" id="11 Rectángulo" o:spid="_x0000_s1026" style="position:absolute;margin-left:135.5pt;margin-top:.65pt;width:406pt;height:3.6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E90128" w:rsidRPr="0073581B" w:rsidRDefault="00E90128" w:rsidP="00E16925">
    <w:pPr>
      <w:pStyle w:val="Encabezado"/>
      <w:rPr>
        <w:rFonts w:ascii="Times New Roman" w:hAnsi="Times New Roman" w:cs="Times New Roman"/>
        <w:b/>
        <w:lang w:val="es-MX"/>
      </w:rPr>
    </w:pPr>
    <w:r>
      <w:rPr>
        <w:rFonts w:ascii="Times New Roman" w:hAnsi="Times New Roman" w:cs="Times New Roman"/>
        <w:lang w:val="es-MX"/>
      </w:rPr>
      <w:tab/>
    </w:r>
    <w:r w:rsidRPr="0073581B">
      <w:rPr>
        <w:rFonts w:ascii="Times New Roman" w:hAnsi="Times New Roman" w:cs="Times New Roman"/>
        <w:b/>
        <w:color w:val="4F81BD" w:themeColor="accent1"/>
        <w:lang w:val="es-MX"/>
      </w:rPr>
      <w:t>Dirección de Análisis y Política Fiscal</w:t>
    </w:r>
  </w:p>
  <w:p w:rsidR="00E90128" w:rsidRPr="00E16925" w:rsidRDefault="00E90128" w:rsidP="00E16925">
    <w:pPr>
      <w:pStyle w:val="Encabezado"/>
      <w:rPr>
        <w:rFonts w:ascii="Times New Roman" w:hAnsi="Times New Roman" w:cs="Times New Roman"/>
        <w:lang w:val="es-MX"/>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128" w:rsidRPr="007D4651" w:rsidRDefault="00E90128" w:rsidP="00BD3A7C">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51424" behindDoc="0" locked="0" layoutInCell="1" allowOverlap="1" wp14:anchorId="04E9A14D" wp14:editId="11DDB043">
          <wp:simplePos x="0" y="0"/>
          <wp:positionH relativeFrom="column">
            <wp:posOffset>-182829</wp:posOffset>
          </wp:positionH>
          <wp:positionV relativeFrom="paragraph">
            <wp:posOffset>0</wp:posOffset>
          </wp:positionV>
          <wp:extent cx="1598212" cy="723976"/>
          <wp:effectExtent l="0" t="0" r="2540" b="0"/>
          <wp:wrapNone/>
          <wp:docPr id="15" name="Imagen 15"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212" cy="7239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E90128" w:rsidRDefault="00424702" w:rsidP="00BD3A7C">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 xml:space="preserve">Septiembre </w:t>
    </w:r>
    <w:r w:rsidR="00E90128">
      <w:rPr>
        <w:rFonts w:ascii="Times New Roman" w:hAnsi="Times New Roman" w:cs="Times New Roman"/>
        <w:color w:val="1F497D" w:themeColor="text2"/>
        <w:lang w:val="es-MX"/>
      </w:rPr>
      <w:t>2020</w:t>
    </w:r>
  </w:p>
  <w:p w:rsidR="00E90128" w:rsidRDefault="00E90128"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53472" behindDoc="0" locked="0" layoutInCell="1" allowOverlap="1" wp14:anchorId="00BFB10B" wp14:editId="54F79709">
              <wp:simplePos x="0" y="0"/>
              <wp:positionH relativeFrom="column">
                <wp:posOffset>1506550</wp:posOffset>
              </wp:positionH>
              <wp:positionV relativeFrom="paragraph">
                <wp:posOffset>15240</wp:posOffset>
              </wp:positionV>
              <wp:extent cx="5155894" cy="45719"/>
              <wp:effectExtent l="38100" t="38100" r="64135" b="88265"/>
              <wp:wrapNone/>
              <wp:docPr id="17" name="1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FCB241" id="11 Rectángulo" o:spid="_x0000_s1026" style="position:absolute;margin-left:118.65pt;margin-top:1.2pt;width:406pt;height:3.6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E90128" w:rsidRDefault="00E90128" w:rsidP="00E16925">
    <w:pPr>
      <w:pStyle w:val="Encabezado"/>
      <w:rPr>
        <w:rFonts w:ascii="Times New Roman" w:hAnsi="Times New Roman" w:cs="Times New Roman"/>
        <w:lang w:val="es-MX"/>
      </w:rPr>
    </w:pPr>
    <w:r>
      <w:rPr>
        <w:rFonts w:ascii="Times New Roman" w:hAnsi="Times New Roman" w:cs="Times New Roman"/>
        <w:lang w:val="es-MX"/>
      </w:rPr>
      <w:t xml:space="preserve">                                            </w:t>
    </w:r>
    <w:r w:rsidRPr="009F164F">
      <w:rPr>
        <w:rFonts w:ascii="Times New Roman" w:hAnsi="Times New Roman" w:cs="Times New Roman"/>
        <w:b/>
        <w:color w:val="4F81BD" w:themeColor="accent1"/>
        <w:lang w:val="es-MX"/>
      </w:rPr>
      <w:t>Dirección de Análisis y Política Fiscal</w:t>
    </w:r>
  </w:p>
  <w:p w:rsidR="00E90128" w:rsidRPr="00E16925" w:rsidRDefault="00E90128" w:rsidP="00E16925">
    <w:pPr>
      <w:pStyle w:val="Encabezado"/>
      <w:rPr>
        <w:rFonts w:ascii="Times New Roman" w:hAnsi="Times New Roman" w:cs="Times New Roman"/>
        <w:lang w:val="es-MX"/>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128" w:rsidRPr="007D4651" w:rsidRDefault="00E90128" w:rsidP="007D4651">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41184" behindDoc="0" locked="0" layoutInCell="1" allowOverlap="1" wp14:anchorId="351C4668" wp14:editId="18C5E1BE">
          <wp:simplePos x="0" y="0"/>
          <wp:positionH relativeFrom="column">
            <wp:posOffset>0</wp:posOffset>
          </wp:positionH>
          <wp:positionV relativeFrom="paragraph">
            <wp:posOffset>-635</wp:posOffset>
          </wp:positionV>
          <wp:extent cx="1598212" cy="723976"/>
          <wp:effectExtent l="0" t="0" r="2540" b="0"/>
          <wp:wrapNone/>
          <wp:docPr id="10" name="Imagen 10"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E90128" w:rsidRDefault="00E90128"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Enero 2020</w:t>
    </w:r>
  </w:p>
  <w:p w:rsidR="00E90128" w:rsidRDefault="00E90128"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06368" behindDoc="0" locked="0" layoutInCell="1" allowOverlap="1" wp14:anchorId="7A720751" wp14:editId="038FB1B4">
              <wp:simplePos x="0" y="0"/>
              <wp:positionH relativeFrom="column">
                <wp:posOffset>1710568</wp:posOffset>
              </wp:positionH>
              <wp:positionV relativeFrom="paragraph">
                <wp:posOffset>29118</wp:posOffset>
              </wp:positionV>
              <wp:extent cx="5155894" cy="45719"/>
              <wp:effectExtent l="38100" t="38100" r="64135" b="88265"/>
              <wp:wrapNone/>
              <wp:docPr id="31" name="3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AC4FA2" id="31 Rectángulo" o:spid="_x0000_s1026" style="position:absolute;margin-left:134.7pt;margin-top:2.3pt;width:406pt;height:3.6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E90128" w:rsidRDefault="00E90128" w:rsidP="0001624A">
    <w:pPr>
      <w:pStyle w:val="Encabezado"/>
      <w:rPr>
        <w:rFonts w:ascii="Times New Roman" w:hAnsi="Times New Roman" w:cs="Times New Roman"/>
        <w:b/>
        <w:color w:val="4F81BD" w:themeColor="accent1"/>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E90128" w:rsidRPr="0001624A" w:rsidRDefault="00E90128" w:rsidP="0001624A">
    <w:pPr>
      <w:pStyle w:val="Encabezado"/>
      <w:rPr>
        <w:rFonts w:ascii="Times New Roman" w:hAnsi="Times New Roman" w:cs="Times New Roman"/>
        <w:lang w:val="es-MX"/>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128" w:rsidRPr="007D4651" w:rsidRDefault="00E90128" w:rsidP="00BD3A7C">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55520" behindDoc="0" locked="0" layoutInCell="1" allowOverlap="1" wp14:anchorId="2A55450F" wp14:editId="24472545">
          <wp:simplePos x="0" y="0"/>
          <wp:positionH relativeFrom="column">
            <wp:posOffset>36576</wp:posOffset>
          </wp:positionH>
          <wp:positionV relativeFrom="paragraph">
            <wp:posOffset>-635</wp:posOffset>
          </wp:positionV>
          <wp:extent cx="1598212" cy="723976"/>
          <wp:effectExtent l="0" t="0" r="2540" b="0"/>
          <wp:wrapNone/>
          <wp:docPr id="18" name="Imagen 18"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212" cy="7239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E90128" w:rsidRDefault="00424702" w:rsidP="005E4D76">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Septiembre</w:t>
    </w:r>
    <w:r w:rsidR="00E90128">
      <w:rPr>
        <w:rFonts w:ascii="Times New Roman" w:hAnsi="Times New Roman" w:cs="Times New Roman"/>
        <w:color w:val="1F497D" w:themeColor="text2"/>
        <w:lang w:val="es-MX"/>
      </w:rPr>
      <w:t xml:space="preserve"> 2020</w:t>
    </w:r>
  </w:p>
  <w:p w:rsidR="00E90128" w:rsidRDefault="00E90128"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12512" behindDoc="0" locked="0" layoutInCell="1" allowOverlap="1" wp14:anchorId="586D9338" wp14:editId="7EB5AC4C">
              <wp:simplePos x="0" y="0"/>
              <wp:positionH relativeFrom="column">
                <wp:posOffset>1736708</wp:posOffset>
              </wp:positionH>
              <wp:positionV relativeFrom="paragraph">
                <wp:posOffset>32385</wp:posOffset>
              </wp:positionV>
              <wp:extent cx="5155894" cy="45719"/>
              <wp:effectExtent l="38100" t="38100" r="64135" b="88265"/>
              <wp:wrapNone/>
              <wp:docPr id="6" name="6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5629DE" id="6 Rectángulo" o:spid="_x0000_s1026" style="position:absolute;margin-left:136.75pt;margin-top:2.55pt;width:406pt;height:3.6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E90128" w:rsidRDefault="00E90128" w:rsidP="00E16925">
    <w:pPr>
      <w:pStyle w:val="Encabezado"/>
      <w:rPr>
        <w:rFonts w:ascii="Times New Roman" w:hAnsi="Times New Roman" w:cs="Times New Roman"/>
        <w:lang w:val="es-MX"/>
      </w:rPr>
    </w:pPr>
    <w:r>
      <w:rPr>
        <w:rFonts w:ascii="Times New Roman" w:hAnsi="Times New Roman" w:cs="Times New Roman"/>
        <w:lang w:val="es-MX"/>
      </w:rPr>
      <w:t xml:space="preserve">                                                  </w:t>
    </w:r>
    <w:r w:rsidRPr="009F164F">
      <w:rPr>
        <w:rFonts w:ascii="Times New Roman" w:hAnsi="Times New Roman" w:cs="Times New Roman"/>
        <w:b/>
        <w:color w:val="4F81BD" w:themeColor="accent1"/>
        <w:lang w:val="es-MX"/>
      </w:rPr>
      <w:t>Dirección de Análisis y Política Fiscal</w:t>
    </w:r>
  </w:p>
  <w:p w:rsidR="00E90128" w:rsidRPr="00E16925" w:rsidRDefault="00E90128" w:rsidP="00E16925">
    <w:pPr>
      <w:pStyle w:val="Encabezado"/>
      <w:rPr>
        <w:rFonts w:ascii="Times New Roman" w:hAnsi="Times New Roman" w:cs="Times New Roman"/>
        <w:lang w:val="es-MX"/>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128" w:rsidRPr="007D4651" w:rsidRDefault="00E90128" w:rsidP="007D4651">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43232" behindDoc="0" locked="0" layoutInCell="1" allowOverlap="1" wp14:anchorId="4BD7D0A7" wp14:editId="316C6905">
          <wp:simplePos x="0" y="0"/>
          <wp:positionH relativeFrom="column">
            <wp:posOffset>0</wp:posOffset>
          </wp:positionH>
          <wp:positionV relativeFrom="paragraph">
            <wp:posOffset>-635</wp:posOffset>
          </wp:positionV>
          <wp:extent cx="1598212" cy="723976"/>
          <wp:effectExtent l="0" t="0" r="2540" b="0"/>
          <wp:wrapNone/>
          <wp:docPr id="12" name="Imagen 12"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E90128" w:rsidRDefault="00424702"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Septiembre</w:t>
    </w:r>
    <w:r w:rsidR="00E90128">
      <w:rPr>
        <w:rFonts w:ascii="Times New Roman" w:hAnsi="Times New Roman" w:cs="Times New Roman"/>
        <w:color w:val="1F497D" w:themeColor="text2"/>
        <w:lang w:val="es-MX"/>
      </w:rPr>
      <w:t xml:space="preserve"> 2020</w:t>
    </w:r>
  </w:p>
  <w:p w:rsidR="00E90128" w:rsidRDefault="00E90128"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26848" behindDoc="0" locked="0" layoutInCell="1" allowOverlap="1" wp14:anchorId="2705A0D6" wp14:editId="1DF7F82D">
              <wp:simplePos x="0" y="0"/>
              <wp:positionH relativeFrom="column">
                <wp:posOffset>1710568</wp:posOffset>
              </wp:positionH>
              <wp:positionV relativeFrom="paragraph">
                <wp:posOffset>29118</wp:posOffset>
              </wp:positionV>
              <wp:extent cx="5155894" cy="45719"/>
              <wp:effectExtent l="38100" t="38100" r="64135" b="88265"/>
              <wp:wrapNone/>
              <wp:docPr id="54" name="22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69F721" id="22 Rectángulo" o:spid="_x0000_s1026" style="position:absolute;margin-left:134.7pt;margin-top:2.3pt;width:406pt;height:3.6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E90128" w:rsidRDefault="00E90128"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E90128" w:rsidRPr="00E16925" w:rsidRDefault="00E90128" w:rsidP="00E16925">
    <w:pPr>
      <w:pStyle w:val="Encabezado"/>
      <w:rPr>
        <w:rFonts w:ascii="Times New Roman" w:hAnsi="Times New Roman" w:cs="Times New Roman"/>
        <w:lang w:val="es-MX"/>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128" w:rsidRPr="007D4651" w:rsidRDefault="00E90128" w:rsidP="007D4651">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45280" behindDoc="0" locked="0" layoutInCell="1" allowOverlap="1" wp14:anchorId="66ABB8FE" wp14:editId="64E4D1D8">
          <wp:simplePos x="0" y="0"/>
          <wp:positionH relativeFrom="column">
            <wp:posOffset>0</wp:posOffset>
          </wp:positionH>
          <wp:positionV relativeFrom="paragraph">
            <wp:posOffset>-635</wp:posOffset>
          </wp:positionV>
          <wp:extent cx="1598212" cy="723976"/>
          <wp:effectExtent l="0" t="0" r="2540" b="0"/>
          <wp:wrapNone/>
          <wp:docPr id="247" name="Imagen 247"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E90128" w:rsidRDefault="00424702"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Septiembre</w:t>
    </w:r>
    <w:r w:rsidR="00E90128">
      <w:rPr>
        <w:rFonts w:ascii="Times New Roman" w:hAnsi="Times New Roman" w:cs="Times New Roman"/>
        <w:color w:val="1F497D" w:themeColor="text2"/>
        <w:lang w:val="es-MX"/>
      </w:rPr>
      <w:t xml:space="preserve"> 2020</w:t>
    </w:r>
  </w:p>
  <w:p w:rsidR="00E90128" w:rsidRDefault="00E90128"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673600" behindDoc="0" locked="0" layoutInCell="1" allowOverlap="1" wp14:anchorId="3953490D" wp14:editId="4B263BAF">
              <wp:simplePos x="0" y="0"/>
              <wp:positionH relativeFrom="column">
                <wp:posOffset>1710568</wp:posOffset>
              </wp:positionH>
              <wp:positionV relativeFrom="paragraph">
                <wp:posOffset>29118</wp:posOffset>
              </wp:positionV>
              <wp:extent cx="5155894" cy="45719"/>
              <wp:effectExtent l="38100" t="38100" r="64135" b="88265"/>
              <wp:wrapNone/>
              <wp:docPr id="22" name="22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EB1408" id="22 Rectángulo" o:spid="_x0000_s1026" style="position:absolute;margin-left:134.7pt;margin-top:2.3pt;width:406pt;height:3.6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E90128" w:rsidRDefault="00E90128"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E90128" w:rsidRPr="00E16925" w:rsidRDefault="00E90128" w:rsidP="00E16925">
    <w:pPr>
      <w:pStyle w:val="Encabezado"/>
      <w:rPr>
        <w:rFonts w:ascii="Times New Roman" w:hAnsi="Times New Roman" w:cs="Times New Roman"/>
        <w:lang w:val="es-MX"/>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128" w:rsidRPr="007D4651" w:rsidRDefault="00E90128" w:rsidP="00BD3A7C">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720704" behindDoc="1" locked="0" layoutInCell="1" allowOverlap="1" wp14:anchorId="7449D834" wp14:editId="4FF82D84">
          <wp:simplePos x="0" y="0"/>
          <wp:positionH relativeFrom="column">
            <wp:posOffset>-93997</wp:posOffset>
          </wp:positionH>
          <wp:positionV relativeFrom="paragraph">
            <wp:posOffset>-177800</wp:posOffset>
          </wp:positionV>
          <wp:extent cx="1697990" cy="914400"/>
          <wp:effectExtent l="0" t="0" r="0" b="0"/>
          <wp:wrapNone/>
          <wp:docPr id="77" name="Imagen 77"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Pr="007D4651">
      <w:rPr>
        <w:rFonts w:ascii="Times New Roman" w:hAnsi="Times New Roman" w:cs="Times New Roman"/>
        <w:b/>
        <w:color w:val="1F497D" w:themeColor="text2"/>
        <w:sz w:val="24"/>
        <w:lang w:val="es-MX"/>
      </w:rPr>
      <w:t>Informe de las Finanzas Públicas</w:t>
    </w:r>
  </w:p>
  <w:p w:rsidR="00E90128" w:rsidRDefault="005F478F" w:rsidP="00775DE3">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Agosto 2020</w:t>
    </w:r>
  </w:p>
  <w:p w:rsidR="00E90128" w:rsidRPr="004A73AA" w:rsidRDefault="00E90128" w:rsidP="007D4651">
    <w:pPr>
      <w:pStyle w:val="Encabezado"/>
      <w:jc w:val="right"/>
      <w:rPr>
        <w:rFonts w:ascii="Times New Roman" w:hAnsi="Times New Roman" w:cs="Times New Roman"/>
        <w:color w:val="1F497D" w:themeColor="text2"/>
        <w:lang w:val="es-MX"/>
      </w:rPr>
    </w:pPr>
    <w:r>
      <w:rPr>
        <w:rFonts w:ascii="Times New Roman" w:hAnsi="Times New Roman" w:cs="Times New Roman"/>
        <w:noProof/>
        <w:lang w:eastAsia="es-GT"/>
      </w:rPr>
      <mc:AlternateContent>
        <mc:Choice Requires="wps">
          <w:drawing>
            <wp:anchor distT="0" distB="0" distL="114300" distR="114300" simplePos="0" relativeHeight="251710464" behindDoc="0" locked="0" layoutInCell="1" allowOverlap="1" wp14:anchorId="7EF6FDA3" wp14:editId="646D4A80">
              <wp:simplePos x="0" y="0"/>
              <wp:positionH relativeFrom="column">
                <wp:posOffset>1711308</wp:posOffset>
              </wp:positionH>
              <wp:positionV relativeFrom="paragraph">
                <wp:posOffset>12065</wp:posOffset>
              </wp:positionV>
              <wp:extent cx="5155894" cy="45719"/>
              <wp:effectExtent l="38100" t="38100" r="64135" b="88265"/>
              <wp:wrapNone/>
              <wp:docPr id="1" name="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68CE59" id="1 Rectángulo" o:spid="_x0000_s1026" style="position:absolute;margin-left:134.75pt;margin-top:.95pt;width:406pt;height:3.6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E90128" w:rsidRPr="004A73AA" w:rsidRDefault="00E90128" w:rsidP="00E16925">
    <w:pPr>
      <w:pStyle w:val="Encabezado"/>
      <w:rPr>
        <w:rFonts w:ascii="Times New Roman" w:hAnsi="Times New Roman" w:cs="Times New Roman"/>
        <w:color w:val="1F497D" w:themeColor="text2"/>
        <w:lang w:val="es-MX"/>
      </w:rPr>
    </w:pPr>
    <w:r>
      <w:rPr>
        <w:rFonts w:ascii="Times New Roman" w:hAnsi="Times New Roman" w:cs="Times New Roman"/>
        <w:color w:val="1F497D" w:themeColor="text2"/>
        <w:lang w:val="es-MX"/>
      </w:rPr>
      <w:t xml:space="preserve">                                                 </w:t>
    </w:r>
    <w:r w:rsidRPr="009F164F">
      <w:rPr>
        <w:rFonts w:ascii="Times New Roman" w:hAnsi="Times New Roman" w:cs="Times New Roman"/>
        <w:b/>
        <w:color w:val="4F81BD" w:themeColor="accent1"/>
        <w:lang w:val="es-MX"/>
      </w:rPr>
      <w:t>Dirección de Análisis y Política Fiscal</w:t>
    </w:r>
  </w:p>
  <w:p w:rsidR="00E90128" w:rsidRPr="007452E2" w:rsidRDefault="00E90128" w:rsidP="00E16925">
    <w:pPr>
      <w:pStyle w:val="Encabezado"/>
      <w:rPr>
        <w:rFonts w:ascii="Times New Roman" w:hAnsi="Times New Roman" w:cs="Times New Roman"/>
        <w:lang w:val="es-MX"/>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128" w:rsidRPr="007D4651" w:rsidRDefault="00E90128" w:rsidP="00BD3A7C">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57568" behindDoc="0" locked="0" layoutInCell="1" allowOverlap="1" wp14:anchorId="7E24FCD6" wp14:editId="6C049A7F">
          <wp:simplePos x="0" y="0"/>
          <wp:positionH relativeFrom="column">
            <wp:posOffset>0</wp:posOffset>
          </wp:positionH>
          <wp:positionV relativeFrom="paragraph">
            <wp:posOffset>-635</wp:posOffset>
          </wp:positionV>
          <wp:extent cx="1598212" cy="723976"/>
          <wp:effectExtent l="0" t="0" r="2540" b="0"/>
          <wp:wrapNone/>
          <wp:docPr id="232" name="Imagen 232"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212" cy="7239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E90128" w:rsidRDefault="00424702"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Septiembre</w:t>
    </w:r>
    <w:r w:rsidR="00E90128">
      <w:rPr>
        <w:rFonts w:ascii="Times New Roman" w:hAnsi="Times New Roman" w:cs="Times New Roman"/>
        <w:color w:val="1F497D" w:themeColor="text2"/>
        <w:lang w:val="es-MX"/>
      </w:rPr>
      <w:t xml:space="preserve"> 2020</w:t>
    </w:r>
  </w:p>
  <w:p w:rsidR="00E90128" w:rsidRPr="004A73AA" w:rsidRDefault="00E90128" w:rsidP="007D4651">
    <w:pPr>
      <w:pStyle w:val="Encabezado"/>
      <w:jc w:val="right"/>
      <w:rPr>
        <w:rFonts w:ascii="Times New Roman" w:hAnsi="Times New Roman" w:cs="Times New Roman"/>
        <w:color w:val="1F497D" w:themeColor="text2"/>
        <w:lang w:val="es-MX"/>
      </w:rPr>
    </w:pPr>
    <w:r>
      <w:rPr>
        <w:rFonts w:ascii="Times New Roman" w:hAnsi="Times New Roman" w:cs="Times New Roman"/>
        <w:noProof/>
        <w:lang w:eastAsia="es-GT"/>
      </w:rPr>
      <mc:AlternateContent>
        <mc:Choice Requires="wps">
          <w:drawing>
            <wp:anchor distT="0" distB="0" distL="114300" distR="114300" simplePos="0" relativeHeight="251731968" behindDoc="0" locked="0" layoutInCell="1" allowOverlap="1" wp14:anchorId="07A7E49D" wp14:editId="4EFA12DB">
              <wp:simplePos x="0" y="0"/>
              <wp:positionH relativeFrom="column">
                <wp:posOffset>1711308</wp:posOffset>
              </wp:positionH>
              <wp:positionV relativeFrom="paragraph">
                <wp:posOffset>12065</wp:posOffset>
              </wp:positionV>
              <wp:extent cx="5155894" cy="45719"/>
              <wp:effectExtent l="38100" t="38100" r="64135" b="88265"/>
              <wp:wrapNone/>
              <wp:docPr id="46" name="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CF887F" id="1 Rectángulo" o:spid="_x0000_s1026" style="position:absolute;margin-left:134.75pt;margin-top:.95pt;width:406pt;height:3.6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E90128" w:rsidRPr="004A73AA" w:rsidRDefault="00E90128" w:rsidP="00E16925">
    <w:pPr>
      <w:pStyle w:val="Encabezado"/>
      <w:rPr>
        <w:rFonts w:ascii="Times New Roman" w:hAnsi="Times New Roman" w:cs="Times New Roman"/>
        <w:color w:val="1F497D" w:themeColor="text2"/>
        <w:lang w:val="es-MX"/>
      </w:rPr>
    </w:pPr>
    <w:r>
      <w:rPr>
        <w:rFonts w:ascii="Times New Roman" w:hAnsi="Times New Roman" w:cs="Times New Roman"/>
        <w:color w:val="1F497D" w:themeColor="text2"/>
        <w:lang w:val="es-MX"/>
      </w:rPr>
      <w:t xml:space="preserve">                                                 </w:t>
    </w:r>
    <w:r w:rsidRPr="009F164F">
      <w:rPr>
        <w:rFonts w:ascii="Times New Roman" w:hAnsi="Times New Roman" w:cs="Times New Roman"/>
        <w:b/>
        <w:color w:val="4F81BD" w:themeColor="accent1"/>
        <w:lang w:val="es-MX"/>
      </w:rPr>
      <w:t>Dirección de Análisis y Política Fiscal</w:t>
    </w:r>
  </w:p>
  <w:p w:rsidR="00E90128" w:rsidRPr="007452E2" w:rsidRDefault="00E90128" w:rsidP="00E16925">
    <w:pPr>
      <w:pStyle w:val="Encabezado"/>
      <w:rPr>
        <w:rFonts w:ascii="Times New Roman" w:hAnsi="Times New Roman" w:cs="Times New Roman"/>
        <w:lang w:val="es-MX"/>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128" w:rsidRPr="007D4651" w:rsidRDefault="00E90128" w:rsidP="007D4651">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49376" behindDoc="0" locked="0" layoutInCell="1" allowOverlap="1" wp14:anchorId="15A907EC" wp14:editId="10A1A80D">
          <wp:simplePos x="0" y="0"/>
          <wp:positionH relativeFrom="column">
            <wp:posOffset>0</wp:posOffset>
          </wp:positionH>
          <wp:positionV relativeFrom="paragraph">
            <wp:posOffset>-635</wp:posOffset>
          </wp:positionV>
          <wp:extent cx="1598212" cy="723976"/>
          <wp:effectExtent l="0" t="0" r="2540" b="0"/>
          <wp:wrapNone/>
          <wp:docPr id="225" name="Imagen 225"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E90128" w:rsidRDefault="00424702" w:rsidP="00775DE3">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Septiembre</w:t>
    </w:r>
    <w:r w:rsidR="00E90128">
      <w:rPr>
        <w:rFonts w:ascii="Times New Roman" w:hAnsi="Times New Roman" w:cs="Times New Roman"/>
        <w:color w:val="1F497D" w:themeColor="text2"/>
        <w:lang w:val="es-MX"/>
      </w:rPr>
      <w:t xml:space="preserve"> 2020</w:t>
    </w:r>
  </w:p>
  <w:p w:rsidR="00E90128" w:rsidRDefault="00E90128"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681792" behindDoc="0" locked="0" layoutInCell="1" allowOverlap="1" wp14:anchorId="24B8C0DC" wp14:editId="5ECB6BFF">
              <wp:simplePos x="0" y="0"/>
              <wp:positionH relativeFrom="column">
                <wp:posOffset>1710568</wp:posOffset>
              </wp:positionH>
              <wp:positionV relativeFrom="paragraph">
                <wp:posOffset>29118</wp:posOffset>
              </wp:positionV>
              <wp:extent cx="5155894" cy="45719"/>
              <wp:effectExtent l="38100" t="38100" r="64135" b="88265"/>
              <wp:wrapNone/>
              <wp:docPr id="38" name="38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029AA7" id="38 Rectángulo" o:spid="_x0000_s1026" style="position:absolute;margin-left:134.7pt;margin-top:2.3pt;width:406pt;height:3.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E90128" w:rsidRDefault="00E90128"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E90128" w:rsidRPr="00E16925" w:rsidRDefault="00E90128" w:rsidP="00E16925">
    <w:pPr>
      <w:pStyle w:val="Encabezado"/>
      <w:rPr>
        <w:rFonts w:ascii="Times New Roman" w:hAnsi="Times New Roman" w:cs="Times New Roman"/>
        <w:lang w:val="es-MX"/>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2341B"/>
    <w:multiLevelType w:val="hybridMultilevel"/>
    <w:tmpl w:val="7614440A"/>
    <w:lvl w:ilvl="0" w:tplc="B25265AA">
      <w:start w:val="1"/>
      <w:numFmt w:val="decimal"/>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B8641F5"/>
    <w:multiLevelType w:val="hybridMultilevel"/>
    <w:tmpl w:val="6C9AD44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E370CD0"/>
    <w:multiLevelType w:val="hybridMultilevel"/>
    <w:tmpl w:val="6AFCB71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FD5081C"/>
    <w:multiLevelType w:val="hybridMultilevel"/>
    <w:tmpl w:val="7A082BE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172228C2"/>
    <w:multiLevelType w:val="hybridMultilevel"/>
    <w:tmpl w:val="8B2A419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5" w15:restartNumberingAfterBreak="0">
    <w:nsid w:val="284F18C2"/>
    <w:multiLevelType w:val="hybridMultilevel"/>
    <w:tmpl w:val="60180018"/>
    <w:lvl w:ilvl="0" w:tplc="8DF2F090">
      <w:start w:val="1"/>
      <w:numFmt w:val="decimal"/>
      <w:lvlText w:val="%1."/>
      <w:lvlJc w:val="left"/>
      <w:pPr>
        <w:ind w:left="1065" w:hanging="705"/>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2DA43097"/>
    <w:multiLevelType w:val="hybridMultilevel"/>
    <w:tmpl w:val="DFE611E6"/>
    <w:lvl w:ilvl="0" w:tplc="04441B1A">
      <w:start w:val="1"/>
      <w:numFmt w:val="decimal"/>
      <w:lvlText w:val="%1."/>
      <w:lvlJc w:val="left"/>
      <w:pPr>
        <w:ind w:left="360" w:hanging="360"/>
      </w:pPr>
      <w:rPr>
        <w:rFonts w:hint="default"/>
        <w:b w:val="0"/>
        <w:sz w:val="22"/>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 w15:restartNumberingAfterBreak="0">
    <w:nsid w:val="2E3D271E"/>
    <w:multiLevelType w:val="hybridMultilevel"/>
    <w:tmpl w:val="C66CBD6C"/>
    <w:lvl w:ilvl="0" w:tplc="7A684F14">
      <w:start w:val="1"/>
      <w:numFmt w:val="decimal"/>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2EAE7A71"/>
    <w:multiLevelType w:val="hybridMultilevel"/>
    <w:tmpl w:val="23968DA0"/>
    <w:lvl w:ilvl="0" w:tplc="100A0001">
      <w:start w:val="1"/>
      <w:numFmt w:val="bullet"/>
      <w:lvlText w:val=""/>
      <w:lvlJc w:val="left"/>
      <w:pPr>
        <w:ind w:left="1004" w:hanging="360"/>
      </w:pPr>
      <w:rPr>
        <w:rFonts w:ascii="Symbol" w:hAnsi="Symbol" w:hint="default"/>
      </w:rPr>
    </w:lvl>
    <w:lvl w:ilvl="1" w:tplc="100A0003" w:tentative="1">
      <w:start w:val="1"/>
      <w:numFmt w:val="bullet"/>
      <w:lvlText w:val="o"/>
      <w:lvlJc w:val="left"/>
      <w:pPr>
        <w:ind w:left="1724" w:hanging="360"/>
      </w:pPr>
      <w:rPr>
        <w:rFonts w:ascii="Courier New" w:hAnsi="Courier New" w:cs="Courier New" w:hint="default"/>
      </w:rPr>
    </w:lvl>
    <w:lvl w:ilvl="2" w:tplc="100A0005" w:tentative="1">
      <w:start w:val="1"/>
      <w:numFmt w:val="bullet"/>
      <w:lvlText w:val=""/>
      <w:lvlJc w:val="left"/>
      <w:pPr>
        <w:ind w:left="2444" w:hanging="360"/>
      </w:pPr>
      <w:rPr>
        <w:rFonts w:ascii="Wingdings" w:hAnsi="Wingdings" w:hint="default"/>
      </w:rPr>
    </w:lvl>
    <w:lvl w:ilvl="3" w:tplc="100A0001" w:tentative="1">
      <w:start w:val="1"/>
      <w:numFmt w:val="bullet"/>
      <w:lvlText w:val=""/>
      <w:lvlJc w:val="left"/>
      <w:pPr>
        <w:ind w:left="3164" w:hanging="360"/>
      </w:pPr>
      <w:rPr>
        <w:rFonts w:ascii="Symbol" w:hAnsi="Symbol" w:hint="default"/>
      </w:rPr>
    </w:lvl>
    <w:lvl w:ilvl="4" w:tplc="100A0003" w:tentative="1">
      <w:start w:val="1"/>
      <w:numFmt w:val="bullet"/>
      <w:lvlText w:val="o"/>
      <w:lvlJc w:val="left"/>
      <w:pPr>
        <w:ind w:left="3884" w:hanging="360"/>
      </w:pPr>
      <w:rPr>
        <w:rFonts w:ascii="Courier New" w:hAnsi="Courier New" w:cs="Courier New" w:hint="default"/>
      </w:rPr>
    </w:lvl>
    <w:lvl w:ilvl="5" w:tplc="100A0005" w:tentative="1">
      <w:start w:val="1"/>
      <w:numFmt w:val="bullet"/>
      <w:lvlText w:val=""/>
      <w:lvlJc w:val="left"/>
      <w:pPr>
        <w:ind w:left="4604" w:hanging="360"/>
      </w:pPr>
      <w:rPr>
        <w:rFonts w:ascii="Wingdings" w:hAnsi="Wingdings" w:hint="default"/>
      </w:rPr>
    </w:lvl>
    <w:lvl w:ilvl="6" w:tplc="100A0001" w:tentative="1">
      <w:start w:val="1"/>
      <w:numFmt w:val="bullet"/>
      <w:lvlText w:val=""/>
      <w:lvlJc w:val="left"/>
      <w:pPr>
        <w:ind w:left="5324" w:hanging="360"/>
      </w:pPr>
      <w:rPr>
        <w:rFonts w:ascii="Symbol" w:hAnsi="Symbol" w:hint="default"/>
      </w:rPr>
    </w:lvl>
    <w:lvl w:ilvl="7" w:tplc="100A0003" w:tentative="1">
      <w:start w:val="1"/>
      <w:numFmt w:val="bullet"/>
      <w:lvlText w:val="o"/>
      <w:lvlJc w:val="left"/>
      <w:pPr>
        <w:ind w:left="6044" w:hanging="360"/>
      </w:pPr>
      <w:rPr>
        <w:rFonts w:ascii="Courier New" w:hAnsi="Courier New" w:cs="Courier New" w:hint="default"/>
      </w:rPr>
    </w:lvl>
    <w:lvl w:ilvl="8" w:tplc="100A0005" w:tentative="1">
      <w:start w:val="1"/>
      <w:numFmt w:val="bullet"/>
      <w:lvlText w:val=""/>
      <w:lvlJc w:val="left"/>
      <w:pPr>
        <w:ind w:left="6764" w:hanging="360"/>
      </w:pPr>
      <w:rPr>
        <w:rFonts w:ascii="Wingdings" w:hAnsi="Wingdings" w:hint="default"/>
      </w:rPr>
    </w:lvl>
  </w:abstractNum>
  <w:abstractNum w:abstractNumId="9" w15:restartNumberingAfterBreak="0">
    <w:nsid w:val="318C7F52"/>
    <w:multiLevelType w:val="hybridMultilevel"/>
    <w:tmpl w:val="8BEAF84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319C75CD"/>
    <w:multiLevelType w:val="hybridMultilevel"/>
    <w:tmpl w:val="F10C031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32216C57"/>
    <w:multiLevelType w:val="hybridMultilevel"/>
    <w:tmpl w:val="4C90958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335D3E9F"/>
    <w:multiLevelType w:val="hybridMultilevel"/>
    <w:tmpl w:val="DFE611E6"/>
    <w:lvl w:ilvl="0" w:tplc="04441B1A">
      <w:start w:val="1"/>
      <w:numFmt w:val="decimal"/>
      <w:lvlText w:val="%1."/>
      <w:lvlJc w:val="left"/>
      <w:pPr>
        <w:ind w:left="360" w:hanging="360"/>
      </w:pPr>
      <w:rPr>
        <w:rFonts w:hint="default"/>
        <w:b w:val="0"/>
        <w:sz w:val="22"/>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 w15:restartNumberingAfterBreak="0">
    <w:nsid w:val="36F16C9F"/>
    <w:multiLevelType w:val="hybridMultilevel"/>
    <w:tmpl w:val="DCD2DE5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4F1F1422"/>
    <w:multiLevelType w:val="hybridMultilevel"/>
    <w:tmpl w:val="ECB205F6"/>
    <w:lvl w:ilvl="0" w:tplc="100A000F">
      <w:start w:val="1"/>
      <w:numFmt w:val="decimal"/>
      <w:lvlText w:val="%1."/>
      <w:lvlJc w:val="left"/>
      <w:pPr>
        <w:ind w:left="360" w:hanging="360"/>
      </w:pPr>
      <w:rPr>
        <w:rFonts w:hint="default"/>
      </w:rPr>
    </w:lvl>
    <w:lvl w:ilvl="1" w:tplc="15DACC7C">
      <w:start w:val="1"/>
      <w:numFmt w:val="bullet"/>
      <w:lvlText w:val="-"/>
      <w:lvlJc w:val="left"/>
      <w:pPr>
        <w:ind w:left="1080" w:hanging="360"/>
      </w:pPr>
      <w:rPr>
        <w:rFonts w:ascii="Courier New" w:hAnsi="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5" w15:restartNumberingAfterBreak="0">
    <w:nsid w:val="5EB178D6"/>
    <w:multiLevelType w:val="hybridMultilevel"/>
    <w:tmpl w:val="8794A3C4"/>
    <w:lvl w:ilvl="0" w:tplc="06C04D0C">
      <w:start w:val="1"/>
      <w:numFmt w:val="decimal"/>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6DAE7A0A"/>
    <w:multiLevelType w:val="hybridMultilevel"/>
    <w:tmpl w:val="F59ACDD0"/>
    <w:lvl w:ilvl="0" w:tplc="527E0502">
      <w:start w:val="1"/>
      <w:numFmt w:val="decimal"/>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7A3757A3"/>
    <w:multiLevelType w:val="hybridMultilevel"/>
    <w:tmpl w:val="C638E66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 w15:restartNumberingAfterBreak="0">
    <w:nsid w:val="7F885ABE"/>
    <w:multiLevelType w:val="hybridMultilevel"/>
    <w:tmpl w:val="F0FA2C9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9"/>
  </w:num>
  <w:num w:numId="4">
    <w:abstractNumId w:val="1"/>
  </w:num>
  <w:num w:numId="5">
    <w:abstractNumId w:val="15"/>
  </w:num>
  <w:num w:numId="6">
    <w:abstractNumId w:val="18"/>
  </w:num>
  <w:num w:numId="7">
    <w:abstractNumId w:val="17"/>
  </w:num>
  <w:num w:numId="8">
    <w:abstractNumId w:val="3"/>
  </w:num>
  <w:num w:numId="9">
    <w:abstractNumId w:val="12"/>
  </w:num>
  <w:num w:numId="10">
    <w:abstractNumId w:val="6"/>
  </w:num>
  <w:num w:numId="11">
    <w:abstractNumId w:val="11"/>
  </w:num>
  <w:num w:numId="12">
    <w:abstractNumId w:val="7"/>
  </w:num>
  <w:num w:numId="13">
    <w:abstractNumId w:val="0"/>
  </w:num>
  <w:num w:numId="14">
    <w:abstractNumId w:val="2"/>
  </w:num>
  <w:num w:numId="15">
    <w:abstractNumId w:val="5"/>
  </w:num>
  <w:num w:numId="16">
    <w:abstractNumId w:val="16"/>
  </w:num>
  <w:num w:numId="17">
    <w:abstractNumId w:val="13"/>
  </w:num>
  <w:num w:numId="18">
    <w:abstractNumId w:val="10"/>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651"/>
    <w:rsid w:val="0000354D"/>
    <w:rsid w:val="000053A7"/>
    <w:rsid w:val="00006489"/>
    <w:rsid w:val="000064C3"/>
    <w:rsid w:val="000067B1"/>
    <w:rsid w:val="00013A7F"/>
    <w:rsid w:val="00013C63"/>
    <w:rsid w:val="0001624A"/>
    <w:rsid w:val="00020E23"/>
    <w:rsid w:val="00022E98"/>
    <w:rsid w:val="00025121"/>
    <w:rsid w:val="00025788"/>
    <w:rsid w:val="00025D1E"/>
    <w:rsid w:val="00030F7D"/>
    <w:rsid w:val="00034144"/>
    <w:rsid w:val="00035835"/>
    <w:rsid w:val="000378CF"/>
    <w:rsid w:val="00040C99"/>
    <w:rsid w:val="00042B27"/>
    <w:rsid w:val="00045D14"/>
    <w:rsid w:val="00051776"/>
    <w:rsid w:val="00051A92"/>
    <w:rsid w:val="000530BD"/>
    <w:rsid w:val="00053517"/>
    <w:rsid w:val="0006261A"/>
    <w:rsid w:val="00063120"/>
    <w:rsid w:val="0006646A"/>
    <w:rsid w:val="000723B2"/>
    <w:rsid w:val="00072EEB"/>
    <w:rsid w:val="00074BC6"/>
    <w:rsid w:val="00076AB4"/>
    <w:rsid w:val="00076AD2"/>
    <w:rsid w:val="00076BF9"/>
    <w:rsid w:val="00080BD8"/>
    <w:rsid w:val="0008320B"/>
    <w:rsid w:val="0008348D"/>
    <w:rsid w:val="00087ADE"/>
    <w:rsid w:val="000A0A4F"/>
    <w:rsid w:val="000A6E8E"/>
    <w:rsid w:val="000B0279"/>
    <w:rsid w:val="000B33FB"/>
    <w:rsid w:val="000B56CE"/>
    <w:rsid w:val="000C1547"/>
    <w:rsid w:val="000C1FF2"/>
    <w:rsid w:val="000C21E1"/>
    <w:rsid w:val="000C2C25"/>
    <w:rsid w:val="000C4EC0"/>
    <w:rsid w:val="000C65AB"/>
    <w:rsid w:val="000C73C8"/>
    <w:rsid w:val="000D016D"/>
    <w:rsid w:val="000D129D"/>
    <w:rsid w:val="000D2FA4"/>
    <w:rsid w:val="000D489E"/>
    <w:rsid w:val="000E0463"/>
    <w:rsid w:val="000E0E1E"/>
    <w:rsid w:val="000E43A8"/>
    <w:rsid w:val="000E5E43"/>
    <w:rsid w:val="000F1314"/>
    <w:rsid w:val="000F3B7F"/>
    <w:rsid w:val="000F4520"/>
    <w:rsid w:val="000F509C"/>
    <w:rsid w:val="000F5F87"/>
    <w:rsid w:val="00102939"/>
    <w:rsid w:val="00103DA9"/>
    <w:rsid w:val="001045CE"/>
    <w:rsid w:val="00106793"/>
    <w:rsid w:val="00107309"/>
    <w:rsid w:val="00111B77"/>
    <w:rsid w:val="00112CA5"/>
    <w:rsid w:val="001178B6"/>
    <w:rsid w:val="00117CF1"/>
    <w:rsid w:val="00120C4D"/>
    <w:rsid w:val="001259BA"/>
    <w:rsid w:val="0013022C"/>
    <w:rsid w:val="001317F8"/>
    <w:rsid w:val="00132509"/>
    <w:rsid w:val="001339A4"/>
    <w:rsid w:val="00133DBA"/>
    <w:rsid w:val="0013436D"/>
    <w:rsid w:val="0013532B"/>
    <w:rsid w:val="00136D08"/>
    <w:rsid w:val="001375B9"/>
    <w:rsid w:val="0014167F"/>
    <w:rsid w:val="00142BF3"/>
    <w:rsid w:val="00142F1A"/>
    <w:rsid w:val="00143620"/>
    <w:rsid w:val="00145313"/>
    <w:rsid w:val="00147E43"/>
    <w:rsid w:val="00150585"/>
    <w:rsid w:val="00152798"/>
    <w:rsid w:val="001549AB"/>
    <w:rsid w:val="00155A02"/>
    <w:rsid w:val="00157402"/>
    <w:rsid w:val="00157C3A"/>
    <w:rsid w:val="00160EAC"/>
    <w:rsid w:val="00163944"/>
    <w:rsid w:val="00171909"/>
    <w:rsid w:val="001735EE"/>
    <w:rsid w:val="001741D8"/>
    <w:rsid w:val="0017454D"/>
    <w:rsid w:val="00182730"/>
    <w:rsid w:val="00182C5B"/>
    <w:rsid w:val="00185253"/>
    <w:rsid w:val="00186970"/>
    <w:rsid w:val="001913A4"/>
    <w:rsid w:val="00196A44"/>
    <w:rsid w:val="001A0C82"/>
    <w:rsid w:val="001A27B3"/>
    <w:rsid w:val="001A3185"/>
    <w:rsid w:val="001A6038"/>
    <w:rsid w:val="001A79F4"/>
    <w:rsid w:val="001B1DBB"/>
    <w:rsid w:val="001B3984"/>
    <w:rsid w:val="001B3EEE"/>
    <w:rsid w:val="001B5046"/>
    <w:rsid w:val="001C2FF5"/>
    <w:rsid w:val="001C3649"/>
    <w:rsid w:val="001C41BB"/>
    <w:rsid w:val="001D0065"/>
    <w:rsid w:val="001D3345"/>
    <w:rsid w:val="001D46C3"/>
    <w:rsid w:val="001D4C8E"/>
    <w:rsid w:val="001D5A5B"/>
    <w:rsid w:val="001E0E10"/>
    <w:rsid w:val="001E0F86"/>
    <w:rsid w:val="001E3B99"/>
    <w:rsid w:val="001E4CD2"/>
    <w:rsid w:val="001E61BB"/>
    <w:rsid w:val="001F2028"/>
    <w:rsid w:val="001F2EA3"/>
    <w:rsid w:val="001F34AD"/>
    <w:rsid w:val="001F4598"/>
    <w:rsid w:val="001F4EE1"/>
    <w:rsid w:val="001F4F78"/>
    <w:rsid w:val="001F5240"/>
    <w:rsid w:val="001F5581"/>
    <w:rsid w:val="001F7141"/>
    <w:rsid w:val="00200FB1"/>
    <w:rsid w:val="00202594"/>
    <w:rsid w:val="0020377F"/>
    <w:rsid w:val="00207693"/>
    <w:rsid w:val="002101C9"/>
    <w:rsid w:val="00212A2C"/>
    <w:rsid w:val="00213C92"/>
    <w:rsid w:val="00216605"/>
    <w:rsid w:val="002166C6"/>
    <w:rsid w:val="0021693D"/>
    <w:rsid w:val="00216B0E"/>
    <w:rsid w:val="00216DA8"/>
    <w:rsid w:val="0022010B"/>
    <w:rsid w:val="002215C9"/>
    <w:rsid w:val="00222598"/>
    <w:rsid w:val="002262EA"/>
    <w:rsid w:val="002302ED"/>
    <w:rsid w:val="002335EE"/>
    <w:rsid w:val="0023642A"/>
    <w:rsid w:val="00240D86"/>
    <w:rsid w:val="00242202"/>
    <w:rsid w:val="00244AAA"/>
    <w:rsid w:val="002512EC"/>
    <w:rsid w:val="00252B28"/>
    <w:rsid w:val="00255829"/>
    <w:rsid w:val="00256F02"/>
    <w:rsid w:val="002610FC"/>
    <w:rsid w:val="00261B7A"/>
    <w:rsid w:val="00262E76"/>
    <w:rsid w:val="00263007"/>
    <w:rsid w:val="00263CC4"/>
    <w:rsid w:val="00264C3A"/>
    <w:rsid w:val="00264FC5"/>
    <w:rsid w:val="002672D5"/>
    <w:rsid w:val="00270373"/>
    <w:rsid w:val="00270CAB"/>
    <w:rsid w:val="00271277"/>
    <w:rsid w:val="002719C8"/>
    <w:rsid w:val="00273E2C"/>
    <w:rsid w:val="002752BD"/>
    <w:rsid w:val="00276250"/>
    <w:rsid w:val="00276A28"/>
    <w:rsid w:val="00281439"/>
    <w:rsid w:val="00281FB7"/>
    <w:rsid w:val="0028212F"/>
    <w:rsid w:val="00292AD2"/>
    <w:rsid w:val="00292AD8"/>
    <w:rsid w:val="0029321A"/>
    <w:rsid w:val="00294561"/>
    <w:rsid w:val="00295365"/>
    <w:rsid w:val="00296D57"/>
    <w:rsid w:val="002977ED"/>
    <w:rsid w:val="002A076B"/>
    <w:rsid w:val="002A5B1B"/>
    <w:rsid w:val="002B5E9D"/>
    <w:rsid w:val="002B7644"/>
    <w:rsid w:val="002C0021"/>
    <w:rsid w:val="002C2547"/>
    <w:rsid w:val="002C482A"/>
    <w:rsid w:val="002C6478"/>
    <w:rsid w:val="002C68B8"/>
    <w:rsid w:val="002C7755"/>
    <w:rsid w:val="002C7F2B"/>
    <w:rsid w:val="002D11E8"/>
    <w:rsid w:val="002D1C01"/>
    <w:rsid w:val="002D3469"/>
    <w:rsid w:val="002D54E6"/>
    <w:rsid w:val="002D6D29"/>
    <w:rsid w:val="002E3F4C"/>
    <w:rsid w:val="002F14AA"/>
    <w:rsid w:val="002F29DE"/>
    <w:rsid w:val="002F2A42"/>
    <w:rsid w:val="002F5408"/>
    <w:rsid w:val="002F7E08"/>
    <w:rsid w:val="0030020D"/>
    <w:rsid w:val="00302D40"/>
    <w:rsid w:val="00304547"/>
    <w:rsid w:val="0030695C"/>
    <w:rsid w:val="00310AAF"/>
    <w:rsid w:val="00312262"/>
    <w:rsid w:val="003126DD"/>
    <w:rsid w:val="00312D85"/>
    <w:rsid w:val="0031651A"/>
    <w:rsid w:val="00317F54"/>
    <w:rsid w:val="00320C31"/>
    <w:rsid w:val="00321745"/>
    <w:rsid w:val="0032198D"/>
    <w:rsid w:val="00322ECC"/>
    <w:rsid w:val="00330A9D"/>
    <w:rsid w:val="00334324"/>
    <w:rsid w:val="003371DC"/>
    <w:rsid w:val="00343A5D"/>
    <w:rsid w:val="00345216"/>
    <w:rsid w:val="0034700C"/>
    <w:rsid w:val="003523F0"/>
    <w:rsid w:val="0035279B"/>
    <w:rsid w:val="003531E5"/>
    <w:rsid w:val="003551C3"/>
    <w:rsid w:val="003566E1"/>
    <w:rsid w:val="00363AC1"/>
    <w:rsid w:val="003649D9"/>
    <w:rsid w:val="00364DD6"/>
    <w:rsid w:val="00366770"/>
    <w:rsid w:val="00367E12"/>
    <w:rsid w:val="00374D44"/>
    <w:rsid w:val="00376802"/>
    <w:rsid w:val="00376FE9"/>
    <w:rsid w:val="0038008D"/>
    <w:rsid w:val="003804E5"/>
    <w:rsid w:val="003806D1"/>
    <w:rsid w:val="00381A4F"/>
    <w:rsid w:val="0038488D"/>
    <w:rsid w:val="00385BA8"/>
    <w:rsid w:val="00393E59"/>
    <w:rsid w:val="0039499F"/>
    <w:rsid w:val="003968DB"/>
    <w:rsid w:val="003A1300"/>
    <w:rsid w:val="003A3726"/>
    <w:rsid w:val="003A72C9"/>
    <w:rsid w:val="003B00D2"/>
    <w:rsid w:val="003B13B4"/>
    <w:rsid w:val="003B1A93"/>
    <w:rsid w:val="003B24E3"/>
    <w:rsid w:val="003B4C6F"/>
    <w:rsid w:val="003C3922"/>
    <w:rsid w:val="003C45EB"/>
    <w:rsid w:val="003C7085"/>
    <w:rsid w:val="003D05CE"/>
    <w:rsid w:val="003D15F7"/>
    <w:rsid w:val="003D2C99"/>
    <w:rsid w:val="003D38A7"/>
    <w:rsid w:val="003D557F"/>
    <w:rsid w:val="003D60E4"/>
    <w:rsid w:val="003D72D3"/>
    <w:rsid w:val="003D7EBA"/>
    <w:rsid w:val="003E1E6C"/>
    <w:rsid w:val="003E25F8"/>
    <w:rsid w:val="003E2823"/>
    <w:rsid w:val="003E28F4"/>
    <w:rsid w:val="003E591D"/>
    <w:rsid w:val="003F0660"/>
    <w:rsid w:val="003F15A3"/>
    <w:rsid w:val="003F1E83"/>
    <w:rsid w:val="003F4609"/>
    <w:rsid w:val="003F7076"/>
    <w:rsid w:val="0040361C"/>
    <w:rsid w:val="0040580B"/>
    <w:rsid w:val="00410690"/>
    <w:rsid w:val="00413FBE"/>
    <w:rsid w:val="00416D41"/>
    <w:rsid w:val="00417F51"/>
    <w:rsid w:val="00421BA0"/>
    <w:rsid w:val="0042387A"/>
    <w:rsid w:val="00424702"/>
    <w:rsid w:val="0042628E"/>
    <w:rsid w:val="00426F4F"/>
    <w:rsid w:val="00433246"/>
    <w:rsid w:val="00434FC6"/>
    <w:rsid w:val="00443336"/>
    <w:rsid w:val="00443385"/>
    <w:rsid w:val="00443621"/>
    <w:rsid w:val="00447F4F"/>
    <w:rsid w:val="00450531"/>
    <w:rsid w:val="00451504"/>
    <w:rsid w:val="00452A5A"/>
    <w:rsid w:val="004575BA"/>
    <w:rsid w:val="004606FD"/>
    <w:rsid w:val="00460DC5"/>
    <w:rsid w:val="00464DB9"/>
    <w:rsid w:val="004650C5"/>
    <w:rsid w:val="00465F37"/>
    <w:rsid w:val="00471B35"/>
    <w:rsid w:val="00474EC2"/>
    <w:rsid w:val="00480824"/>
    <w:rsid w:val="00481B8E"/>
    <w:rsid w:val="004830FD"/>
    <w:rsid w:val="004835C8"/>
    <w:rsid w:val="00483632"/>
    <w:rsid w:val="0048385B"/>
    <w:rsid w:val="00487136"/>
    <w:rsid w:val="00492967"/>
    <w:rsid w:val="00494116"/>
    <w:rsid w:val="00494BC6"/>
    <w:rsid w:val="00494D1D"/>
    <w:rsid w:val="00495C21"/>
    <w:rsid w:val="00495F43"/>
    <w:rsid w:val="00497DD6"/>
    <w:rsid w:val="004A28E4"/>
    <w:rsid w:val="004A3D32"/>
    <w:rsid w:val="004A3DB8"/>
    <w:rsid w:val="004A6705"/>
    <w:rsid w:val="004A73AA"/>
    <w:rsid w:val="004B1E1A"/>
    <w:rsid w:val="004B336D"/>
    <w:rsid w:val="004B4B9F"/>
    <w:rsid w:val="004B5B0F"/>
    <w:rsid w:val="004B799B"/>
    <w:rsid w:val="004C208F"/>
    <w:rsid w:val="004C3301"/>
    <w:rsid w:val="004C3B4E"/>
    <w:rsid w:val="004D0A0F"/>
    <w:rsid w:val="004D1F76"/>
    <w:rsid w:val="004D7482"/>
    <w:rsid w:val="004E0813"/>
    <w:rsid w:val="004E23E4"/>
    <w:rsid w:val="004E358C"/>
    <w:rsid w:val="004E4FDE"/>
    <w:rsid w:val="004E54B7"/>
    <w:rsid w:val="004E5D0E"/>
    <w:rsid w:val="004E61EC"/>
    <w:rsid w:val="004F02B2"/>
    <w:rsid w:val="004F0BCA"/>
    <w:rsid w:val="004F4F4D"/>
    <w:rsid w:val="004F7265"/>
    <w:rsid w:val="004F72F9"/>
    <w:rsid w:val="004F7988"/>
    <w:rsid w:val="005004C9"/>
    <w:rsid w:val="00501418"/>
    <w:rsid w:val="005016F6"/>
    <w:rsid w:val="005016F7"/>
    <w:rsid w:val="00502FD6"/>
    <w:rsid w:val="005077A5"/>
    <w:rsid w:val="00507E67"/>
    <w:rsid w:val="005104DC"/>
    <w:rsid w:val="00511C93"/>
    <w:rsid w:val="00512601"/>
    <w:rsid w:val="0051308A"/>
    <w:rsid w:val="005136F3"/>
    <w:rsid w:val="00514CFD"/>
    <w:rsid w:val="00515CE6"/>
    <w:rsid w:val="00517930"/>
    <w:rsid w:val="00520FB0"/>
    <w:rsid w:val="005226CD"/>
    <w:rsid w:val="00523738"/>
    <w:rsid w:val="00530EAC"/>
    <w:rsid w:val="00532025"/>
    <w:rsid w:val="0053566F"/>
    <w:rsid w:val="005364DE"/>
    <w:rsid w:val="005428C6"/>
    <w:rsid w:val="00544E9A"/>
    <w:rsid w:val="00546650"/>
    <w:rsid w:val="0055248B"/>
    <w:rsid w:val="005537D0"/>
    <w:rsid w:val="005550D8"/>
    <w:rsid w:val="00573AB0"/>
    <w:rsid w:val="005755E9"/>
    <w:rsid w:val="00575DFA"/>
    <w:rsid w:val="00580D47"/>
    <w:rsid w:val="00582EE2"/>
    <w:rsid w:val="00582F9F"/>
    <w:rsid w:val="005834A0"/>
    <w:rsid w:val="00586745"/>
    <w:rsid w:val="005879A5"/>
    <w:rsid w:val="00591D14"/>
    <w:rsid w:val="005925BD"/>
    <w:rsid w:val="00592D6E"/>
    <w:rsid w:val="0059421A"/>
    <w:rsid w:val="005948F0"/>
    <w:rsid w:val="005963A0"/>
    <w:rsid w:val="0059655C"/>
    <w:rsid w:val="00596662"/>
    <w:rsid w:val="0059700F"/>
    <w:rsid w:val="005979EB"/>
    <w:rsid w:val="005A03A9"/>
    <w:rsid w:val="005A1EFC"/>
    <w:rsid w:val="005A6ACE"/>
    <w:rsid w:val="005A6F91"/>
    <w:rsid w:val="005B0E84"/>
    <w:rsid w:val="005B1B53"/>
    <w:rsid w:val="005B44D1"/>
    <w:rsid w:val="005B4E4C"/>
    <w:rsid w:val="005B6D05"/>
    <w:rsid w:val="005C103A"/>
    <w:rsid w:val="005C275E"/>
    <w:rsid w:val="005C4C97"/>
    <w:rsid w:val="005D2336"/>
    <w:rsid w:val="005D5151"/>
    <w:rsid w:val="005D51CA"/>
    <w:rsid w:val="005D6423"/>
    <w:rsid w:val="005D7AC4"/>
    <w:rsid w:val="005E4D76"/>
    <w:rsid w:val="005E6BD0"/>
    <w:rsid w:val="005E7E89"/>
    <w:rsid w:val="005F04EC"/>
    <w:rsid w:val="005F146B"/>
    <w:rsid w:val="005F18DE"/>
    <w:rsid w:val="005F470C"/>
    <w:rsid w:val="005F478F"/>
    <w:rsid w:val="005F591A"/>
    <w:rsid w:val="0060094A"/>
    <w:rsid w:val="006014EC"/>
    <w:rsid w:val="00601C99"/>
    <w:rsid w:val="00603743"/>
    <w:rsid w:val="00604F51"/>
    <w:rsid w:val="006060AD"/>
    <w:rsid w:val="00606D70"/>
    <w:rsid w:val="00607D54"/>
    <w:rsid w:val="00610F84"/>
    <w:rsid w:val="00612573"/>
    <w:rsid w:val="0061307D"/>
    <w:rsid w:val="00616DB1"/>
    <w:rsid w:val="0062255C"/>
    <w:rsid w:val="00623D8C"/>
    <w:rsid w:val="00623DEA"/>
    <w:rsid w:val="00623EC9"/>
    <w:rsid w:val="00624417"/>
    <w:rsid w:val="00625AA5"/>
    <w:rsid w:val="006271E8"/>
    <w:rsid w:val="00632EE6"/>
    <w:rsid w:val="00633616"/>
    <w:rsid w:val="00634664"/>
    <w:rsid w:val="00637772"/>
    <w:rsid w:val="00637AC9"/>
    <w:rsid w:val="00640B12"/>
    <w:rsid w:val="0064258A"/>
    <w:rsid w:val="00643685"/>
    <w:rsid w:val="00643FB6"/>
    <w:rsid w:val="00651522"/>
    <w:rsid w:val="006525C5"/>
    <w:rsid w:val="006530FD"/>
    <w:rsid w:val="00654855"/>
    <w:rsid w:val="006553D6"/>
    <w:rsid w:val="00656178"/>
    <w:rsid w:val="00660888"/>
    <w:rsid w:val="00661E2A"/>
    <w:rsid w:val="006630B2"/>
    <w:rsid w:val="00663EB3"/>
    <w:rsid w:val="00665BB7"/>
    <w:rsid w:val="00666477"/>
    <w:rsid w:val="006668D4"/>
    <w:rsid w:val="0066791B"/>
    <w:rsid w:val="00670F33"/>
    <w:rsid w:val="0067132B"/>
    <w:rsid w:val="00674EAE"/>
    <w:rsid w:val="00676765"/>
    <w:rsid w:val="006820CE"/>
    <w:rsid w:val="006830CD"/>
    <w:rsid w:val="00685A33"/>
    <w:rsid w:val="00685C3A"/>
    <w:rsid w:val="00694C10"/>
    <w:rsid w:val="006968BB"/>
    <w:rsid w:val="006A1473"/>
    <w:rsid w:val="006A41F1"/>
    <w:rsid w:val="006A64D5"/>
    <w:rsid w:val="006B08F7"/>
    <w:rsid w:val="006B0D82"/>
    <w:rsid w:val="006B1DE3"/>
    <w:rsid w:val="006B40EC"/>
    <w:rsid w:val="006C0680"/>
    <w:rsid w:val="006C2F15"/>
    <w:rsid w:val="006C5639"/>
    <w:rsid w:val="006C7015"/>
    <w:rsid w:val="006D1857"/>
    <w:rsid w:val="006D7B6E"/>
    <w:rsid w:val="006D7BB6"/>
    <w:rsid w:val="006E082A"/>
    <w:rsid w:val="006E1C62"/>
    <w:rsid w:val="006E1D11"/>
    <w:rsid w:val="006E27A5"/>
    <w:rsid w:val="006E4937"/>
    <w:rsid w:val="006E63F3"/>
    <w:rsid w:val="006E6A13"/>
    <w:rsid w:val="006E737B"/>
    <w:rsid w:val="006F0957"/>
    <w:rsid w:val="006F157C"/>
    <w:rsid w:val="006F202E"/>
    <w:rsid w:val="006F20A4"/>
    <w:rsid w:val="006F30E4"/>
    <w:rsid w:val="006F3A60"/>
    <w:rsid w:val="006F3C0D"/>
    <w:rsid w:val="006F3FF3"/>
    <w:rsid w:val="006F410A"/>
    <w:rsid w:val="006F4891"/>
    <w:rsid w:val="006F59AD"/>
    <w:rsid w:val="006F5EA0"/>
    <w:rsid w:val="006F7575"/>
    <w:rsid w:val="00705C96"/>
    <w:rsid w:val="00706A33"/>
    <w:rsid w:val="00712339"/>
    <w:rsid w:val="00714BCC"/>
    <w:rsid w:val="00714E40"/>
    <w:rsid w:val="00715C88"/>
    <w:rsid w:val="00715D8F"/>
    <w:rsid w:val="0071791E"/>
    <w:rsid w:val="007206C9"/>
    <w:rsid w:val="00720E64"/>
    <w:rsid w:val="00723F6E"/>
    <w:rsid w:val="00725F93"/>
    <w:rsid w:val="00725FE5"/>
    <w:rsid w:val="007310AF"/>
    <w:rsid w:val="0073367E"/>
    <w:rsid w:val="0073437F"/>
    <w:rsid w:val="0073581B"/>
    <w:rsid w:val="007362C1"/>
    <w:rsid w:val="0074022A"/>
    <w:rsid w:val="0074137E"/>
    <w:rsid w:val="007413CE"/>
    <w:rsid w:val="00741591"/>
    <w:rsid w:val="00741F6B"/>
    <w:rsid w:val="0074369F"/>
    <w:rsid w:val="0074528B"/>
    <w:rsid w:val="007452E2"/>
    <w:rsid w:val="00747C79"/>
    <w:rsid w:val="00751CCA"/>
    <w:rsid w:val="00754057"/>
    <w:rsid w:val="007572E9"/>
    <w:rsid w:val="0075770C"/>
    <w:rsid w:val="0076028F"/>
    <w:rsid w:val="00761A05"/>
    <w:rsid w:val="00762722"/>
    <w:rsid w:val="00762FE3"/>
    <w:rsid w:val="00763693"/>
    <w:rsid w:val="0076667B"/>
    <w:rsid w:val="00767573"/>
    <w:rsid w:val="00767B56"/>
    <w:rsid w:val="007701C9"/>
    <w:rsid w:val="007703A2"/>
    <w:rsid w:val="007706F8"/>
    <w:rsid w:val="00771670"/>
    <w:rsid w:val="00773919"/>
    <w:rsid w:val="00775DE3"/>
    <w:rsid w:val="00776974"/>
    <w:rsid w:val="0078135B"/>
    <w:rsid w:val="007814D6"/>
    <w:rsid w:val="007846C7"/>
    <w:rsid w:val="00784AF8"/>
    <w:rsid w:val="00785996"/>
    <w:rsid w:val="007859CD"/>
    <w:rsid w:val="007A1B15"/>
    <w:rsid w:val="007A6523"/>
    <w:rsid w:val="007A7272"/>
    <w:rsid w:val="007A7814"/>
    <w:rsid w:val="007A7FB8"/>
    <w:rsid w:val="007B26CD"/>
    <w:rsid w:val="007B3D0C"/>
    <w:rsid w:val="007B4BB9"/>
    <w:rsid w:val="007B5BA5"/>
    <w:rsid w:val="007B720C"/>
    <w:rsid w:val="007C0C8C"/>
    <w:rsid w:val="007C4E46"/>
    <w:rsid w:val="007C66BE"/>
    <w:rsid w:val="007C6F35"/>
    <w:rsid w:val="007D00BE"/>
    <w:rsid w:val="007D0566"/>
    <w:rsid w:val="007D268B"/>
    <w:rsid w:val="007D38A9"/>
    <w:rsid w:val="007D38F3"/>
    <w:rsid w:val="007D4651"/>
    <w:rsid w:val="007D7CFE"/>
    <w:rsid w:val="007E314A"/>
    <w:rsid w:val="007E5841"/>
    <w:rsid w:val="007E6BCF"/>
    <w:rsid w:val="007E6F28"/>
    <w:rsid w:val="007F0C55"/>
    <w:rsid w:val="007F126E"/>
    <w:rsid w:val="007F443F"/>
    <w:rsid w:val="007F4528"/>
    <w:rsid w:val="007F6F57"/>
    <w:rsid w:val="007F774D"/>
    <w:rsid w:val="008010A6"/>
    <w:rsid w:val="00802218"/>
    <w:rsid w:val="00804E1C"/>
    <w:rsid w:val="00806D75"/>
    <w:rsid w:val="0081055D"/>
    <w:rsid w:val="0081058F"/>
    <w:rsid w:val="00810A4C"/>
    <w:rsid w:val="008112C9"/>
    <w:rsid w:val="00813E3C"/>
    <w:rsid w:val="0081609E"/>
    <w:rsid w:val="00822C6B"/>
    <w:rsid w:val="00823719"/>
    <w:rsid w:val="00825110"/>
    <w:rsid w:val="00826AEC"/>
    <w:rsid w:val="00826D9D"/>
    <w:rsid w:val="008274C1"/>
    <w:rsid w:val="008277A9"/>
    <w:rsid w:val="008316E1"/>
    <w:rsid w:val="00833E90"/>
    <w:rsid w:val="00835216"/>
    <w:rsid w:val="00835D5C"/>
    <w:rsid w:val="00835E20"/>
    <w:rsid w:val="00837381"/>
    <w:rsid w:val="00842D8F"/>
    <w:rsid w:val="00842FFE"/>
    <w:rsid w:val="00844425"/>
    <w:rsid w:val="008475D8"/>
    <w:rsid w:val="00847821"/>
    <w:rsid w:val="008501C7"/>
    <w:rsid w:val="00851B4B"/>
    <w:rsid w:val="00855D0B"/>
    <w:rsid w:val="00857302"/>
    <w:rsid w:val="0085741B"/>
    <w:rsid w:val="00861640"/>
    <w:rsid w:val="00866AFC"/>
    <w:rsid w:val="00870831"/>
    <w:rsid w:val="008718E5"/>
    <w:rsid w:val="00871B31"/>
    <w:rsid w:val="00873C20"/>
    <w:rsid w:val="00875D2C"/>
    <w:rsid w:val="008827D6"/>
    <w:rsid w:val="008844B1"/>
    <w:rsid w:val="00890878"/>
    <w:rsid w:val="00891B11"/>
    <w:rsid w:val="00891F2D"/>
    <w:rsid w:val="00892181"/>
    <w:rsid w:val="00892DE1"/>
    <w:rsid w:val="00895722"/>
    <w:rsid w:val="00897192"/>
    <w:rsid w:val="00897A38"/>
    <w:rsid w:val="008A1777"/>
    <w:rsid w:val="008A2281"/>
    <w:rsid w:val="008A2427"/>
    <w:rsid w:val="008A5760"/>
    <w:rsid w:val="008B110A"/>
    <w:rsid w:val="008B3C43"/>
    <w:rsid w:val="008B5573"/>
    <w:rsid w:val="008C079A"/>
    <w:rsid w:val="008C147E"/>
    <w:rsid w:val="008D5E9E"/>
    <w:rsid w:val="008D72B1"/>
    <w:rsid w:val="008E0F73"/>
    <w:rsid w:val="008E5C4F"/>
    <w:rsid w:val="008E6162"/>
    <w:rsid w:val="008E7869"/>
    <w:rsid w:val="008E7927"/>
    <w:rsid w:val="008F216C"/>
    <w:rsid w:val="008F312E"/>
    <w:rsid w:val="008F46B7"/>
    <w:rsid w:val="008F4BCE"/>
    <w:rsid w:val="008F5915"/>
    <w:rsid w:val="008F5DBB"/>
    <w:rsid w:val="0090034D"/>
    <w:rsid w:val="009062A4"/>
    <w:rsid w:val="00910163"/>
    <w:rsid w:val="00910B95"/>
    <w:rsid w:val="009121F7"/>
    <w:rsid w:val="00912A58"/>
    <w:rsid w:val="00916532"/>
    <w:rsid w:val="00917786"/>
    <w:rsid w:val="00920579"/>
    <w:rsid w:val="00924E88"/>
    <w:rsid w:val="00926505"/>
    <w:rsid w:val="00932C16"/>
    <w:rsid w:val="00934746"/>
    <w:rsid w:val="0093522C"/>
    <w:rsid w:val="00935D14"/>
    <w:rsid w:val="00936E17"/>
    <w:rsid w:val="00940C2E"/>
    <w:rsid w:val="00942163"/>
    <w:rsid w:val="0094219B"/>
    <w:rsid w:val="00946523"/>
    <w:rsid w:val="00950874"/>
    <w:rsid w:val="00951307"/>
    <w:rsid w:val="00951347"/>
    <w:rsid w:val="00954FB2"/>
    <w:rsid w:val="00956270"/>
    <w:rsid w:val="00963756"/>
    <w:rsid w:val="00964466"/>
    <w:rsid w:val="00964ECA"/>
    <w:rsid w:val="00965F44"/>
    <w:rsid w:val="00972FCF"/>
    <w:rsid w:val="00975E49"/>
    <w:rsid w:val="00981FB0"/>
    <w:rsid w:val="00982379"/>
    <w:rsid w:val="00986297"/>
    <w:rsid w:val="009907A9"/>
    <w:rsid w:val="0099341E"/>
    <w:rsid w:val="00993857"/>
    <w:rsid w:val="00995540"/>
    <w:rsid w:val="00997A06"/>
    <w:rsid w:val="009A12F9"/>
    <w:rsid w:val="009A1EA3"/>
    <w:rsid w:val="009A1FA7"/>
    <w:rsid w:val="009A3187"/>
    <w:rsid w:val="009A47FE"/>
    <w:rsid w:val="009A5380"/>
    <w:rsid w:val="009A7441"/>
    <w:rsid w:val="009B10B6"/>
    <w:rsid w:val="009B2AD3"/>
    <w:rsid w:val="009B3FF9"/>
    <w:rsid w:val="009B7148"/>
    <w:rsid w:val="009B7429"/>
    <w:rsid w:val="009B76D6"/>
    <w:rsid w:val="009C0583"/>
    <w:rsid w:val="009C0B93"/>
    <w:rsid w:val="009C2275"/>
    <w:rsid w:val="009C361A"/>
    <w:rsid w:val="009C3938"/>
    <w:rsid w:val="009C4027"/>
    <w:rsid w:val="009C5F4E"/>
    <w:rsid w:val="009D0D94"/>
    <w:rsid w:val="009D1232"/>
    <w:rsid w:val="009D20A6"/>
    <w:rsid w:val="009D2132"/>
    <w:rsid w:val="009D25F9"/>
    <w:rsid w:val="009D2C22"/>
    <w:rsid w:val="009D38BF"/>
    <w:rsid w:val="009D4E7A"/>
    <w:rsid w:val="009D72CF"/>
    <w:rsid w:val="009E61BB"/>
    <w:rsid w:val="009F15B9"/>
    <w:rsid w:val="009F164F"/>
    <w:rsid w:val="009F1C07"/>
    <w:rsid w:val="009F1C62"/>
    <w:rsid w:val="009F530C"/>
    <w:rsid w:val="009F628A"/>
    <w:rsid w:val="00A00D30"/>
    <w:rsid w:val="00A0113A"/>
    <w:rsid w:val="00A04D8E"/>
    <w:rsid w:val="00A07BE4"/>
    <w:rsid w:val="00A11B04"/>
    <w:rsid w:val="00A15244"/>
    <w:rsid w:val="00A152B8"/>
    <w:rsid w:val="00A159B6"/>
    <w:rsid w:val="00A1699C"/>
    <w:rsid w:val="00A2151F"/>
    <w:rsid w:val="00A21A6A"/>
    <w:rsid w:val="00A24C4D"/>
    <w:rsid w:val="00A25906"/>
    <w:rsid w:val="00A26C76"/>
    <w:rsid w:val="00A305E5"/>
    <w:rsid w:val="00A30F3C"/>
    <w:rsid w:val="00A32AA1"/>
    <w:rsid w:val="00A34EAE"/>
    <w:rsid w:val="00A40EAF"/>
    <w:rsid w:val="00A4399A"/>
    <w:rsid w:val="00A446DB"/>
    <w:rsid w:val="00A45BC8"/>
    <w:rsid w:val="00A46630"/>
    <w:rsid w:val="00A53877"/>
    <w:rsid w:val="00A54CC2"/>
    <w:rsid w:val="00A5760D"/>
    <w:rsid w:val="00A60591"/>
    <w:rsid w:val="00A639DA"/>
    <w:rsid w:val="00A64AE4"/>
    <w:rsid w:val="00A67992"/>
    <w:rsid w:val="00A706A2"/>
    <w:rsid w:val="00A7383F"/>
    <w:rsid w:val="00A74F16"/>
    <w:rsid w:val="00A75539"/>
    <w:rsid w:val="00A75E19"/>
    <w:rsid w:val="00A775C6"/>
    <w:rsid w:val="00A808B8"/>
    <w:rsid w:val="00A817F8"/>
    <w:rsid w:val="00A875EE"/>
    <w:rsid w:val="00A900E8"/>
    <w:rsid w:val="00A92B4B"/>
    <w:rsid w:val="00A92D6E"/>
    <w:rsid w:val="00A970F8"/>
    <w:rsid w:val="00AA11B9"/>
    <w:rsid w:val="00AA4872"/>
    <w:rsid w:val="00AA54A5"/>
    <w:rsid w:val="00AA6C6B"/>
    <w:rsid w:val="00AA7DB0"/>
    <w:rsid w:val="00AB1241"/>
    <w:rsid w:val="00AB20BD"/>
    <w:rsid w:val="00AB2522"/>
    <w:rsid w:val="00AB52BE"/>
    <w:rsid w:val="00AC5CAC"/>
    <w:rsid w:val="00AC7961"/>
    <w:rsid w:val="00AD3FF3"/>
    <w:rsid w:val="00AD4251"/>
    <w:rsid w:val="00AD4EF6"/>
    <w:rsid w:val="00AD55FD"/>
    <w:rsid w:val="00AD5816"/>
    <w:rsid w:val="00AE1096"/>
    <w:rsid w:val="00AE2039"/>
    <w:rsid w:val="00AE50A8"/>
    <w:rsid w:val="00AF067F"/>
    <w:rsid w:val="00AF073D"/>
    <w:rsid w:val="00AF4290"/>
    <w:rsid w:val="00AF644A"/>
    <w:rsid w:val="00AF68D3"/>
    <w:rsid w:val="00AF7ACE"/>
    <w:rsid w:val="00B00205"/>
    <w:rsid w:val="00B00A4F"/>
    <w:rsid w:val="00B00E20"/>
    <w:rsid w:val="00B0107A"/>
    <w:rsid w:val="00B02673"/>
    <w:rsid w:val="00B04D97"/>
    <w:rsid w:val="00B05AC1"/>
    <w:rsid w:val="00B06546"/>
    <w:rsid w:val="00B06BC2"/>
    <w:rsid w:val="00B11FD1"/>
    <w:rsid w:val="00B136D6"/>
    <w:rsid w:val="00B1448A"/>
    <w:rsid w:val="00B21010"/>
    <w:rsid w:val="00B26014"/>
    <w:rsid w:val="00B2709E"/>
    <w:rsid w:val="00B35FDC"/>
    <w:rsid w:val="00B368DA"/>
    <w:rsid w:val="00B43892"/>
    <w:rsid w:val="00B44B94"/>
    <w:rsid w:val="00B468EF"/>
    <w:rsid w:val="00B46CFD"/>
    <w:rsid w:val="00B5017E"/>
    <w:rsid w:val="00B5079C"/>
    <w:rsid w:val="00B508E2"/>
    <w:rsid w:val="00B5310F"/>
    <w:rsid w:val="00B579BB"/>
    <w:rsid w:val="00B57AAB"/>
    <w:rsid w:val="00B57CED"/>
    <w:rsid w:val="00B606D0"/>
    <w:rsid w:val="00B60A33"/>
    <w:rsid w:val="00B632B3"/>
    <w:rsid w:val="00B667BC"/>
    <w:rsid w:val="00B667E7"/>
    <w:rsid w:val="00B7015D"/>
    <w:rsid w:val="00B7136E"/>
    <w:rsid w:val="00B718AB"/>
    <w:rsid w:val="00B7616E"/>
    <w:rsid w:val="00B827E1"/>
    <w:rsid w:val="00B83CAC"/>
    <w:rsid w:val="00B84995"/>
    <w:rsid w:val="00B85950"/>
    <w:rsid w:val="00B86812"/>
    <w:rsid w:val="00B91010"/>
    <w:rsid w:val="00B917E5"/>
    <w:rsid w:val="00B9286A"/>
    <w:rsid w:val="00B93470"/>
    <w:rsid w:val="00B95BBF"/>
    <w:rsid w:val="00B95BEF"/>
    <w:rsid w:val="00B96036"/>
    <w:rsid w:val="00B96AC8"/>
    <w:rsid w:val="00BA12CD"/>
    <w:rsid w:val="00BA25B6"/>
    <w:rsid w:val="00BA3920"/>
    <w:rsid w:val="00BA6CC6"/>
    <w:rsid w:val="00BA782D"/>
    <w:rsid w:val="00BA7AF8"/>
    <w:rsid w:val="00BB1AAC"/>
    <w:rsid w:val="00BB3901"/>
    <w:rsid w:val="00BB4C28"/>
    <w:rsid w:val="00BB5426"/>
    <w:rsid w:val="00BC2768"/>
    <w:rsid w:val="00BC33C2"/>
    <w:rsid w:val="00BC4F9E"/>
    <w:rsid w:val="00BC647C"/>
    <w:rsid w:val="00BC7539"/>
    <w:rsid w:val="00BC79C1"/>
    <w:rsid w:val="00BD0FCC"/>
    <w:rsid w:val="00BD1088"/>
    <w:rsid w:val="00BD33FC"/>
    <w:rsid w:val="00BD3A7C"/>
    <w:rsid w:val="00BD4961"/>
    <w:rsid w:val="00BE0387"/>
    <w:rsid w:val="00BE2D99"/>
    <w:rsid w:val="00BE3A68"/>
    <w:rsid w:val="00BE54D6"/>
    <w:rsid w:val="00BF1481"/>
    <w:rsid w:val="00BF2610"/>
    <w:rsid w:val="00C001D0"/>
    <w:rsid w:val="00C02A39"/>
    <w:rsid w:val="00C02FE1"/>
    <w:rsid w:val="00C04E3C"/>
    <w:rsid w:val="00C05425"/>
    <w:rsid w:val="00C069B8"/>
    <w:rsid w:val="00C074EF"/>
    <w:rsid w:val="00C10B42"/>
    <w:rsid w:val="00C12720"/>
    <w:rsid w:val="00C15432"/>
    <w:rsid w:val="00C15AC4"/>
    <w:rsid w:val="00C21149"/>
    <w:rsid w:val="00C2773E"/>
    <w:rsid w:val="00C3128B"/>
    <w:rsid w:val="00C33674"/>
    <w:rsid w:val="00C3385B"/>
    <w:rsid w:val="00C41470"/>
    <w:rsid w:val="00C41FF2"/>
    <w:rsid w:val="00C43AE0"/>
    <w:rsid w:val="00C45EA9"/>
    <w:rsid w:val="00C464E6"/>
    <w:rsid w:val="00C54747"/>
    <w:rsid w:val="00C5514E"/>
    <w:rsid w:val="00C55D92"/>
    <w:rsid w:val="00C56C98"/>
    <w:rsid w:val="00C61690"/>
    <w:rsid w:val="00C6254D"/>
    <w:rsid w:val="00C629B9"/>
    <w:rsid w:val="00C645BC"/>
    <w:rsid w:val="00C646C4"/>
    <w:rsid w:val="00C739AF"/>
    <w:rsid w:val="00C75935"/>
    <w:rsid w:val="00C76463"/>
    <w:rsid w:val="00C85696"/>
    <w:rsid w:val="00C9002C"/>
    <w:rsid w:val="00C91204"/>
    <w:rsid w:val="00C922D7"/>
    <w:rsid w:val="00C935C2"/>
    <w:rsid w:val="00C93727"/>
    <w:rsid w:val="00C95BFB"/>
    <w:rsid w:val="00CA19F5"/>
    <w:rsid w:val="00CA57D4"/>
    <w:rsid w:val="00CA6173"/>
    <w:rsid w:val="00CA65FF"/>
    <w:rsid w:val="00CB0938"/>
    <w:rsid w:val="00CB220A"/>
    <w:rsid w:val="00CC2800"/>
    <w:rsid w:val="00CC3420"/>
    <w:rsid w:val="00CC3BC7"/>
    <w:rsid w:val="00CC547C"/>
    <w:rsid w:val="00CC60FF"/>
    <w:rsid w:val="00CD58C8"/>
    <w:rsid w:val="00CD7760"/>
    <w:rsid w:val="00CE0468"/>
    <w:rsid w:val="00CE123C"/>
    <w:rsid w:val="00CE13DA"/>
    <w:rsid w:val="00CE1CE6"/>
    <w:rsid w:val="00CE3C39"/>
    <w:rsid w:val="00CE75B5"/>
    <w:rsid w:val="00CF0F94"/>
    <w:rsid w:val="00CF2D98"/>
    <w:rsid w:val="00CF436B"/>
    <w:rsid w:val="00CF5AB1"/>
    <w:rsid w:val="00CF73B4"/>
    <w:rsid w:val="00CF7EE0"/>
    <w:rsid w:val="00D00E78"/>
    <w:rsid w:val="00D01738"/>
    <w:rsid w:val="00D04F96"/>
    <w:rsid w:val="00D064C5"/>
    <w:rsid w:val="00D126A4"/>
    <w:rsid w:val="00D1383A"/>
    <w:rsid w:val="00D13E32"/>
    <w:rsid w:val="00D22050"/>
    <w:rsid w:val="00D23010"/>
    <w:rsid w:val="00D23424"/>
    <w:rsid w:val="00D24DA4"/>
    <w:rsid w:val="00D26F28"/>
    <w:rsid w:val="00D30D15"/>
    <w:rsid w:val="00D32839"/>
    <w:rsid w:val="00D33EE3"/>
    <w:rsid w:val="00D343EC"/>
    <w:rsid w:val="00D3500F"/>
    <w:rsid w:val="00D36EA4"/>
    <w:rsid w:val="00D40769"/>
    <w:rsid w:val="00D4202F"/>
    <w:rsid w:val="00D43052"/>
    <w:rsid w:val="00D436D4"/>
    <w:rsid w:val="00D45810"/>
    <w:rsid w:val="00D466D2"/>
    <w:rsid w:val="00D50ABF"/>
    <w:rsid w:val="00D51EBD"/>
    <w:rsid w:val="00D532B4"/>
    <w:rsid w:val="00D55ACB"/>
    <w:rsid w:val="00D571E0"/>
    <w:rsid w:val="00D616E2"/>
    <w:rsid w:val="00D61F8E"/>
    <w:rsid w:val="00D63636"/>
    <w:rsid w:val="00D63CFC"/>
    <w:rsid w:val="00D66D34"/>
    <w:rsid w:val="00D66FE8"/>
    <w:rsid w:val="00D716E4"/>
    <w:rsid w:val="00D73D1A"/>
    <w:rsid w:val="00D7427C"/>
    <w:rsid w:val="00D75C74"/>
    <w:rsid w:val="00D75E95"/>
    <w:rsid w:val="00D858E5"/>
    <w:rsid w:val="00D92557"/>
    <w:rsid w:val="00DA13C8"/>
    <w:rsid w:val="00DA53C7"/>
    <w:rsid w:val="00DA5809"/>
    <w:rsid w:val="00DA58BF"/>
    <w:rsid w:val="00DA7B48"/>
    <w:rsid w:val="00DA7C18"/>
    <w:rsid w:val="00DB03B7"/>
    <w:rsid w:val="00DB0C01"/>
    <w:rsid w:val="00DB2350"/>
    <w:rsid w:val="00DB4551"/>
    <w:rsid w:val="00DC1048"/>
    <w:rsid w:val="00DC44CF"/>
    <w:rsid w:val="00DC6DE1"/>
    <w:rsid w:val="00DD01C5"/>
    <w:rsid w:val="00DD23C0"/>
    <w:rsid w:val="00DD4AB3"/>
    <w:rsid w:val="00DD4D5D"/>
    <w:rsid w:val="00DD517E"/>
    <w:rsid w:val="00DE0239"/>
    <w:rsid w:val="00DE17E2"/>
    <w:rsid w:val="00DE3020"/>
    <w:rsid w:val="00DE4D85"/>
    <w:rsid w:val="00DE6D9A"/>
    <w:rsid w:val="00DE6DD3"/>
    <w:rsid w:val="00DF18B6"/>
    <w:rsid w:val="00DF317F"/>
    <w:rsid w:val="00DF3C7A"/>
    <w:rsid w:val="00DF42DF"/>
    <w:rsid w:val="00DF70C1"/>
    <w:rsid w:val="00DF71A8"/>
    <w:rsid w:val="00E027B0"/>
    <w:rsid w:val="00E02A24"/>
    <w:rsid w:val="00E06484"/>
    <w:rsid w:val="00E11403"/>
    <w:rsid w:val="00E11DA9"/>
    <w:rsid w:val="00E16303"/>
    <w:rsid w:val="00E16925"/>
    <w:rsid w:val="00E22259"/>
    <w:rsid w:val="00E27247"/>
    <w:rsid w:val="00E31CA5"/>
    <w:rsid w:val="00E31D49"/>
    <w:rsid w:val="00E3382E"/>
    <w:rsid w:val="00E348DD"/>
    <w:rsid w:val="00E3492D"/>
    <w:rsid w:val="00E3753A"/>
    <w:rsid w:val="00E37543"/>
    <w:rsid w:val="00E412A7"/>
    <w:rsid w:val="00E42E28"/>
    <w:rsid w:val="00E43BF3"/>
    <w:rsid w:val="00E44DE5"/>
    <w:rsid w:val="00E45C4B"/>
    <w:rsid w:val="00E47525"/>
    <w:rsid w:val="00E47720"/>
    <w:rsid w:val="00E47F91"/>
    <w:rsid w:val="00E5126C"/>
    <w:rsid w:val="00E526A4"/>
    <w:rsid w:val="00E53B45"/>
    <w:rsid w:val="00E54483"/>
    <w:rsid w:val="00E545F1"/>
    <w:rsid w:val="00E54BAD"/>
    <w:rsid w:val="00E551C4"/>
    <w:rsid w:val="00E56B67"/>
    <w:rsid w:val="00E570ED"/>
    <w:rsid w:val="00E627ED"/>
    <w:rsid w:val="00E62867"/>
    <w:rsid w:val="00E63798"/>
    <w:rsid w:val="00E652D9"/>
    <w:rsid w:val="00E6619D"/>
    <w:rsid w:val="00E7442E"/>
    <w:rsid w:val="00E756CD"/>
    <w:rsid w:val="00E80E9E"/>
    <w:rsid w:val="00E82188"/>
    <w:rsid w:val="00E825A1"/>
    <w:rsid w:val="00E85293"/>
    <w:rsid w:val="00E871CE"/>
    <w:rsid w:val="00E87AC7"/>
    <w:rsid w:val="00E90128"/>
    <w:rsid w:val="00E9315E"/>
    <w:rsid w:val="00E9468D"/>
    <w:rsid w:val="00E94F03"/>
    <w:rsid w:val="00E97903"/>
    <w:rsid w:val="00EA37FC"/>
    <w:rsid w:val="00EA68DF"/>
    <w:rsid w:val="00EB0687"/>
    <w:rsid w:val="00EB0FC5"/>
    <w:rsid w:val="00EB1910"/>
    <w:rsid w:val="00EB2E9A"/>
    <w:rsid w:val="00EB317F"/>
    <w:rsid w:val="00EB335D"/>
    <w:rsid w:val="00EB4F49"/>
    <w:rsid w:val="00EB62F2"/>
    <w:rsid w:val="00EC17EF"/>
    <w:rsid w:val="00ED2C29"/>
    <w:rsid w:val="00ED3624"/>
    <w:rsid w:val="00ED7253"/>
    <w:rsid w:val="00EE02F0"/>
    <w:rsid w:val="00EE2F16"/>
    <w:rsid w:val="00EE68A4"/>
    <w:rsid w:val="00EE6FBD"/>
    <w:rsid w:val="00EE72DB"/>
    <w:rsid w:val="00EF1CB1"/>
    <w:rsid w:val="00EF56F9"/>
    <w:rsid w:val="00F00537"/>
    <w:rsid w:val="00F03418"/>
    <w:rsid w:val="00F04678"/>
    <w:rsid w:val="00F05CF7"/>
    <w:rsid w:val="00F062BF"/>
    <w:rsid w:val="00F06437"/>
    <w:rsid w:val="00F0775B"/>
    <w:rsid w:val="00F1031E"/>
    <w:rsid w:val="00F10A29"/>
    <w:rsid w:val="00F10ACE"/>
    <w:rsid w:val="00F16658"/>
    <w:rsid w:val="00F16692"/>
    <w:rsid w:val="00F20D0D"/>
    <w:rsid w:val="00F229CE"/>
    <w:rsid w:val="00F23065"/>
    <w:rsid w:val="00F25E21"/>
    <w:rsid w:val="00F26087"/>
    <w:rsid w:val="00F27024"/>
    <w:rsid w:val="00F27DDD"/>
    <w:rsid w:val="00F304F6"/>
    <w:rsid w:val="00F3088D"/>
    <w:rsid w:val="00F341FB"/>
    <w:rsid w:val="00F36FE5"/>
    <w:rsid w:val="00F37AD2"/>
    <w:rsid w:val="00F43CF0"/>
    <w:rsid w:val="00F4680E"/>
    <w:rsid w:val="00F46EBB"/>
    <w:rsid w:val="00F47088"/>
    <w:rsid w:val="00F51B37"/>
    <w:rsid w:val="00F541D1"/>
    <w:rsid w:val="00F54C17"/>
    <w:rsid w:val="00F641E1"/>
    <w:rsid w:val="00F644EA"/>
    <w:rsid w:val="00F6521F"/>
    <w:rsid w:val="00F652E7"/>
    <w:rsid w:val="00F654C6"/>
    <w:rsid w:val="00F674C8"/>
    <w:rsid w:val="00F70176"/>
    <w:rsid w:val="00F70871"/>
    <w:rsid w:val="00F7228C"/>
    <w:rsid w:val="00F73186"/>
    <w:rsid w:val="00F75C84"/>
    <w:rsid w:val="00F75EDB"/>
    <w:rsid w:val="00F75F1E"/>
    <w:rsid w:val="00F762E5"/>
    <w:rsid w:val="00F76491"/>
    <w:rsid w:val="00F81BD3"/>
    <w:rsid w:val="00F8230E"/>
    <w:rsid w:val="00F930A8"/>
    <w:rsid w:val="00F94C84"/>
    <w:rsid w:val="00FA3B81"/>
    <w:rsid w:val="00FA5DE4"/>
    <w:rsid w:val="00FA5E7B"/>
    <w:rsid w:val="00FA7384"/>
    <w:rsid w:val="00FB2C2F"/>
    <w:rsid w:val="00FB5F5C"/>
    <w:rsid w:val="00FB6AF8"/>
    <w:rsid w:val="00FB6E59"/>
    <w:rsid w:val="00FC0D3E"/>
    <w:rsid w:val="00FC319F"/>
    <w:rsid w:val="00FC3884"/>
    <w:rsid w:val="00FC4DC9"/>
    <w:rsid w:val="00FC4F6B"/>
    <w:rsid w:val="00FD36A3"/>
    <w:rsid w:val="00FD3C18"/>
    <w:rsid w:val="00FD4333"/>
    <w:rsid w:val="00FD46E0"/>
    <w:rsid w:val="00FD61B9"/>
    <w:rsid w:val="00FD7FF0"/>
    <w:rsid w:val="00FE0129"/>
    <w:rsid w:val="00FE1018"/>
    <w:rsid w:val="00FE16D2"/>
    <w:rsid w:val="00FE1950"/>
    <w:rsid w:val="00FE2ED3"/>
    <w:rsid w:val="00FE4F72"/>
    <w:rsid w:val="00FE500D"/>
    <w:rsid w:val="00FE56B8"/>
    <w:rsid w:val="00FE65DB"/>
    <w:rsid w:val="00FE6FD3"/>
    <w:rsid w:val="00FF0C96"/>
    <w:rsid w:val="00FF2904"/>
    <w:rsid w:val="00FF58D4"/>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48FA28"/>
  <w15:docId w15:val="{1AA4A7E8-964A-4F29-B8D4-C4D20DB8C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465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4651"/>
  </w:style>
  <w:style w:type="paragraph" w:styleId="Piedepgina">
    <w:name w:val="footer"/>
    <w:basedOn w:val="Normal"/>
    <w:link w:val="PiedepginaCar"/>
    <w:uiPriority w:val="99"/>
    <w:unhideWhenUsed/>
    <w:rsid w:val="007D46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4651"/>
  </w:style>
  <w:style w:type="paragraph" w:styleId="Sinespaciado">
    <w:name w:val="No Spacing"/>
    <w:link w:val="SinespaciadoCar"/>
    <w:uiPriority w:val="1"/>
    <w:qFormat/>
    <w:rsid w:val="007D4651"/>
    <w:pPr>
      <w:spacing w:after="0" w:line="240" w:lineRule="auto"/>
    </w:pPr>
  </w:style>
  <w:style w:type="character" w:customStyle="1" w:styleId="SinespaciadoCar">
    <w:name w:val="Sin espaciado Car"/>
    <w:basedOn w:val="Fuentedeprrafopredeter"/>
    <w:link w:val="Sinespaciado"/>
    <w:uiPriority w:val="1"/>
    <w:locked/>
    <w:rsid w:val="007D4651"/>
  </w:style>
  <w:style w:type="paragraph" w:styleId="Textonotapie">
    <w:name w:val="footnote text"/>
    <w:aliases w:val="Texto nota pie Car Car Car Car Car Car,Texto nota pie Car Car Car Car Car Car Car,Texto nota pie Car Car Car Car Car Car Ca"/>
    <w:basedOn w:val="Normal"/>
    <w:link w:val="TextonotapieCar"/>
    <w:uiPriority w:val="99"/>
    <w:unhideWhenUsed/>
    <w:rsid w:val="00FA3B81"/>
    <w:pPr>
      <w:spacing w:after="0" w:line="240" w:lineRule="auto"/>
    </w:pPr>
    <w:rPr>
      <w:sz w:val="20"/>
      <w:szCs w:val="20"/>
    </w:rPr>
  </w:style>
  <w:style w:type="character" w:customStyle="1" w:styleId="TextonotapieCar">
    <w:name w:val="Texto nota pie Car"/>
    <w:aliases w:val="Texto nota pie Car Car Car Car Car Car Car1,Texto nota pie Car Car Car Car Car Car Car Car,Texto nota pie Car Car Car Car Car Car Ca Car"/>
    <w:basedOn w:val="Fuentedeprrafopredeter"/>
    <w:link w:val="Textonotapie"/>
    <w:uiPriority w:val="99"/>
    <w:rsid w:val="00FA3B81"/>
    <w:rPr>
      <w:sz w:val="20"/>
      <w:szCs w:val="20"/>
    </w:rPr>
  </w:style>
  <w:style w:type="character" w:styleId="Refdenotaalpie">
    <w:name w:val="footnote reference"/>
    <w:basedOn w:val="Fuentedeprrafopredeter"/>
    <w:uiPriority w:val="99"/>
    <w:semiHidden/>
    <w:unhideWhenUsed/>
    <w:rsid w:val="00FA3B81"/>
    <w:rPr>
      <w:vertAlign w:val="superscript"/>
    </w:rPr>
  </w:style>
  <w:style w:type="table" w:styleId="Tablaconcuadrcula">
    <w:name w:val="Table Grid"/>
    <w:basedOn w:val="Tablanormal"/>
    <w:uiPriority w:val="59"/>
    <w:rsid w:val="00FA3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D01C5"/>
    <w:pPr>
      <w:spacing w:after="0" w:line="240" w:lineRule="auto"/>
      <w:ind w:left="720"/>
      <w:contextualSpacing/>
    </w:pPr>
  </w:style>
  <w:style w:type="paragraph" w:styleId="NormalWeb">
    <w:name w:val="Normal (Web)"/>
    <w:basedOn w:val="Normal"/>
    <w:uiPriority w:val="99"/>
    <w:semiHidden/>
    <w:unhideWhenUsed/>
    <w:rsid w:val="00213C92"/>
    <w:pPr>
      <w:spacing w:before="100" w:beforeAutospacing="1" w:after="100" w:afterAutospacing="1" w:line="240" w:lineRule="auto"/>
    </w:pPr>
    <w:rPr>
      <w:rFonts w:ascii="Times New Roman" w:eastAsiaTheme="minorEastAsia" w:hAnsi="Times New Roman" w:cs="Times New Roman"/>
      <w:sz w:val="24"/>
      <w:szCs w:val="24"/>
      <w:lang w:eastAsia="es-GT"/>
    </w:rPr>
  </w:style>
  <w:style w:type="paragraph" w:customStyle="1" w:styleId="Default">
    <w:name w:val="Default"/>
    <w:rsid w:val="00EB317F"/>
    <w:pPr>
      <w:autoSpaceDE w:val="0"/>
      <w:autoSpaceDN w:val="0"/>
      <w:adjustRightInd w:val="0"/>
      <w:spacing w:after="0" w:line="240" w:lineRule="auto"/>
    </w:pPr>
    <w:rPr>
      <w:rFonts w:ascii="Times New Roman" w:hAnsi="Times New Roman" w:cs="Times New Roman"/>
      <w:color w:val="000000"/>
      <w:sz w:val="24"/>
      <w:szCs w:val="24"/>
    </w:rPr>
  </w:style>
  <w:style w:type="paragraph" w:styleId="Textodeglobo">
    <w:name w:val="Balloon Text"/>
    <w:basedOn w:val="Normal"/>
    <w:link w:val="TextodegloboCar"/>
    <w:uiPriority w:val="99"/>
    <w:unhideWhenUsed/>
    <w:rsid w:val="00AF42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AF4290"/>
    <w:rPr>
      <w:rFonts w:ascii="Tahoma" w:hAnsi="Tahoma" w:cs="Tahoma"/>
      <w:sz w:val="16"/>
      <w:szCs w:val="16"/>
    </w:rPr>
  </w:style>
  <w:style w:type="paragraph" w:customStyle="1" w:styleId="Normal1">
    <w:name w:val="Normal1"/>
    <w:basedOn w:val="Normal"/>
    <w:rsid w:val="00F541D1"/>
    <w:pPr>
      <w:spacing w:after="0" w:line="240" w:lineRule="auto"/>
    </w:pPr>
    <w:rPr>
      <w:rFonts w:ascii="Times New Roman" w:eastAsia="Times New Roman" w:hAnsi="Times New Roman"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951055">
      <w:bodyDiv w:val="1"/>
      <w:marLeft w:val="0"/>
      <w:marRight w:val="0"/>
      <w:marTop w:val="0"/>
      <w:marBottom w:val="0"/>
      <w:divBdr>
        <w:top w:val="none" w:sz="0" w:space="0" w:color="auto"/>
        <w:left w:val="none" w:sz="0" w:space="0" w:color="auto"/>
        <w:bottom w:val="none" w:sz="0" w:space="0" w:color="auto"/>
        <w:right w:val="none" w:sz="0" w:space="0" w:color="auto"/>
      </w:divBdr>
    </w:div>
    <w:div w:id="517159523">
      <w:bodyDiv w:val="1"/>
      <w:marLeft w:val="0"/>
      <w:marRight w:val="0"/>
      <w:marTop w:val="0"/>
      <w:marBottom w:val="0"/>
      <w:divBdr>
        <w:top w:val="none" w:sz="0" w:space="0" w:color="auto"/>
        <w:left w:val="none" w:sz="0" w:space="0" w:color="auto"/>
        <w:bottom w:val="none" w:sz="0" w:space="0" w:color="auto"/>
        <w:right w:val="none" w:sz="0" w:space="0" w:color="auto"/>
      </w:divBdr>
    </w:div>
    <w:div w:id="528221259">
      <w:bodyDiv w:val="1"/>
      <w:marLeft w:val="0"/>
      <w:marRight w:val="0"/>
      <w:marTop w:val="0"/>
      <w:marBottom w:val="0"/>
      <w:divBdr>
        <w:top w:val="none" w:sz="0" w:space="0" w:color="auto"/>
        <w:left w:val="none" w:sz="0" w:space="0" w:color="auto"/>
        <w:bottom w:val="none" w:sz="0" w:space="0" w:color="auto"/>
        <w:right w:val="none" w:sz="0" w:space="0" w:color="auto"/>
      </w:divBdr>
    </w:div>
    <w:div w:id="536358022">
      <w:bodyDiv w:val="1"/>
      <w:marLeft w:val="0"/>
      <w:marRight w:val="0"/>
      <w:marTop w:val="0"/>
      <w:marBottom w:val="0"/>
      <w:divBdr>
        <w:top w:val="none" w:sz="0" w:space="0" w:color="auto"/>
        <w:left w:val="none" w:sz="0" w:space="0" w:color="auto"/>
        <w:bottom w:val="none" w:sz="0" w:space="0" w:color="auto"/>
        <w:right w:val="none" w:sz="0" w:space="0" w:color="auto"/>
      </w:divBdr>
    </w:div>
    <w:div w:id="537931086">
      <w:bodyDiv w:val="1"/>
      <w:marLeft w:val="0"/>
      <w:marRight w:val="0"/>
      <w:marTop w:val="0"/>
      <w:marBottom w:val="0"/>
      <w:divBdr>
        <w:top w:val="none" w:sz="0" w:space="0" w:color="auto"/>
        <w:left w:val="none" w:sz="0" w:space="0" w:color="auto"/>
        <w:bottom w:val="none" w:sz="0" w:space="0" w:color="auto"/>
        <w:right w:val="none" w:sz="0" w:space="0" w:color="auto"/>
      </w:divBdr>
    </w:div>
    <w:div w:id="1241788255">
      <w:bodyDiv w:val="1"/>
      <w:marLeft w:val="0"/>
      <w:marRight w:val="0"/>
      <w:marTop w:val="0"/>
      <w:marBottom w:val="0"/>
      <w:divBdr>
        <w:top w:val="none" w:sz="0" w:space="0" w:color="auto"/>
        <w:left w:val="none" w:sz="0" w:space="0" w:color="auto"/>
        <w:bottom w:val="none" w:sz="0" w:space="0" w:color="auto"/>
        <w:right w:val="none" w:sz="0" w:space="0" w:color="auto"/>
      </w:divBdr>
    </w:div>
    <w:div w:id="1562714576">
      <w:bodyDiv w:val="1"/>
      <w:marLeft w:val="0"/>
      <w:marRight w:val="0"/>
      <w:marTop w:val="0"/>
      <w:marBottom w:val="0"/>
      <w:divBdr>
        <w:top w:val="none" w:sz="0" w:space="0" w:color="auto"/>
        <w:left w:val="none" w:sz="0" w:space="0" w:color="auto"/>
        <w:bottom w:val="none" w:sz="0" w:space="0" w:color="auto"/>
        <w:right w:val="none" w:sz="0" w:space="0" w:color="auto"/>
      </w:divBdr>
      <w:divsChild>
        <w:div w:id="330841121">
          <w:marLeft w:val="150"/>
          <w:marRight w:val="0"/>
          <w:marTop w:val="90"/>
          <w:marBottom w:val="0"/>
          <w:divBdr>
            <w:top w:val="none" w:sz="0" w:space="0" w:color="auto"/>
            <w:left w:val="none" w:sz="0" w:space="0" w:color="auto"/>
            <w:bottom w:val="none" w:sz="0" w:space="0" w:color="auto"/>
            <w:right w:val="none" w:sz="0" w:space="0" w:color="auto"/>
          </w:divBdr>
        </w:div>
        <w:div w:id="1742369145">
          <w:marLeft w:val="0"/>
          <w:marRight w:val="0"/>
          <w:marTop w:val="0"/>
          <w:marBottom w:val="0"/>
          <w:divBdr>
            <w:top w:val="none" w:sz="0" w:space="0" w:color="auto"/>
            <w:left w:val="none" w:sz="0" w:space="0" w:color="auto"/>
            <w:bottom w:val="none" w:sz="0" w:space="0" w:color="auto"/>
            <w:right w:val="none" w:sz="0" w:space="0" w:color="auto"/>
          </w:divBdr>
        </w:div>
      </w:divsChild>
    </w:div>
    <w:div w:id="1989505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2.xml"/><Relationship Id="rId18" Type="http://schemas.openxmlformats.org/officeDocument/2006/relationships/footer" Target="footer3.xml"/><Relationship Id="rId26" Type="http://schemas.openxmlformats.org/officeDocument/2006/relationships/header" Target="header5.xml"/><Relationship Id="rId39" Type="http://schemas.openxmlformats.org/officeDocument/2006/relationships/image" Target="media/image4.emf"/><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2.emf"/><Relationship Id="rId33" Type="http://schemas.openxmlformats.org/officeDocument/2006/relationships/header" Target="header7.xml"/><Relationship Id="rId38"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footer" Target="footer4.xml"/><Relationship Id="rId29" Type="http://schemas.openxmlformats.org/officeDocument/2006/relationships/header" Target="header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9.xml"/><Relationship Id="rId32" Type="http://schemas.openxmlformats.org/officeDocument/2006/relationships/chart" Target="charts/chart12.xml"/><Relationship Id="rId37" Type="http://schemas.openxmlformats.org/officeDocument/2006/relationships/header" Target="header9.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8.xml"/><Relationship Id="rId28" Type="http://schemas.openxmlformats.org/officeDocument/2006/relationships/chart" Target="charts/chart10.xml"/><Relationship Id="rId36" Type="http://schemas.openxmlformats.org/officeDocument/2006/relationships/footer" Target="footer8.xml"/><Relationship Id="rId10" Type="http://schemas.openxmlformats.org/officeDocument/2006/relationships/chart" Target="charts/chart1.xml"/><Relationship Id="rId19" Type="http://schemas.openxmlformats.org/officeDocument/2006/relationships/header" Target="header4.xml"/><Relationship Id="rId31"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chart" Target="charts/chart7.xml"/><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header" Target="header8.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seargueta\Desktop\Informes%202020\Sitfin\Septiembre\Sitfin%20al%20300920%20(151020).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seargueta\Desktop\Informes%202020\Sitfin\Septiembre\Sitfin%20al%20300920%20(011020).xlsx" TargetMode="External"/><Relationship Id="rId1" Type="http://schemas.openxmlformats.org/officeDocument/2006/relationships/themeOverride" Target="../theme/themeOverride2.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74588080764791"/>
          <c:y val="5.0552103956334832E-2"/>
          <c:w val="0.8643048865739279"/>
          <c:h val="0.83258589195279087"/>
        </c:manualLayout>
      </c:layout>
      <c:barChart>
        <c:barDir val="col"/>
        <c:grouping val="clustered"/>
        <c:varyColors val="0"/>
        <c:ser>
          <c:idx val="1"/>
          <c:order val="0"/>
          <c:spPr>
            <a:scene3d>
              <a:camera prst="orthographicFront"/>
              <a:lightRig rig="threePt" dir="t"/>
            </a:scene3d>
            <a:sp3d>
              <a:bevelT prst="angle"/>
            </a:sp3d>
          </c:spPr>
          <c:invertIfNegative val="0"/>
          <c:dPt>
            <c:idx val="0"/>
            <c:invertIfNegative val="0"/>
            <c:bubble3D val="0"/>
            <c:spPr>
              <a:solidFill>
                <a:schemeClr val="accent1">
                  <a:lumMod val="50000"/>
                </a:schemeClr>
              </a:solidFill>
              <a:scene3d>
                <a:camera prst="orthographicFront"/>
                <a:lightRig rig="threePt" dir="t"/>
              </a:scene3d>
              <a:sp3d>
                <a:bevelT prst="angle"/>
              </a:sp3d>
            </c:spPr>
            <c:extLst>
              <c:ext xmlns:c16="http://schemas.microsoft.com/office/drawing/2014/chart" uri="{C3380CC4-5D6E-409C-BE32-E72D297353CC}">
                <c16:uniqueId val="{00000001-872A-4991-955B-CC60161685EE}"/>
              </c:ext>
            </c:extLst>
          </c:dPt>
          <c:dPt>
            <c:idx val="1"/>
            <c:invertIfNegative val="0"/>
            <c:bubble3D val="0"/>
            <c:spPr>
              <a:solidFill>
                <a:schemeClr val="accent1">
                  <a:lumMod val="50000"/>
                </a:schemeClr>
              </a:solidFill>
              <a:scene3d>
                <a:camera prst="orthographicFront"/>
                <a:lightRig rig="threePt" dir="t"/>
              </a:scene3d>
              <a:sp3d>
                <a:bevelT prst="angle"/>
              </a:sp3d>
            </c:spPr>
            <c:extLst>
              <c:ext xmlns:c16="http://schemas.microsoft.com/office/drawing/2014/chart" uri="{C3380CC4-5D6E-409C-BE32-E72D297353CC}">
                <c16:uniqueId val="{00000003-872A-4991-955B-CC60161685EE}"/>
              </c:ext>
            </c:extLst>
          </c:dPt>
          <c:dPt>
            <c:idx val="2"/>
            <c:invertIfNegative val="0"/>
            <c:bubble3D val="0"/>
            <c:spPr>
              <a:solidFill>
                <a:schemeClr val="accent1">
                  <a:lumMod val="50000"/>
                </a:schemeClr>
              </a:solidFill>
              <a:scene3d>
                <a:camera prst="orthographicFront"/>
                <a:lightRig rig="threePt" dir="t"/>
              </a:scene3d>
              <a:sp3d>
                <a:bevelT prst="angle"/>
              </a:sp3d>
            </c:spPr>
            <c:extLst>
              <c:ext xmlns:c16="http://schemas.microsoft.com/office/drawing/2014/chart" uri="{C3380CC4-5D6E-409C-BE32-E72D297353CC}">
                <c16:uniqueId val="{00000005-872A-4991-955B-CC60161685EE}"/>
              </c:ext>
            </c:extLst>
          </c:dPt>
          <c:dPt>
            <c:idx val="3"/>
            <c:invertIfNegative val="0"/>
            <c:bubble3D val="0"/>
            <c:spPr>
              <a:solidFill>
                <a:srgbClr val="C00000"/>
              </a:solidFill>
              <a:scene3d>
                <a:camera prst="orthographicFront"/>
                <a:lightRig rig="threePt" dir="t"/>
              </a:scene3d>
              <a:sp3d>
                <a:bevelT prst="angle"/>
              </a:sp3d>
            </c:spPr>
            <c:extLst>
              <c:ext xmlns:c16="http://schemas.microsoft.com/office/drawing/2014/chart" uri="{C3380CC4-5D6E-409C-BE32-E72D297353CC}">
                <c16:uniqueId val="{00000007-872A-4991-955B-CC60161685EE}"/>
              </c:ext>
            </c:extLst>
          </c:dPt>
          <c:dLbls>
            <c:dLbl>
              <c:idx val="3"/>
              <c:spPr>
                <a:noFill/>
                <a:ln>
                  <a:noFill/>
                </a:ln>
                <a:effectLst/>
              </c:spPr>
              <c:txPr>
                <a:bodyPr wrap="square" lIns="38100" tIns="19050" rIns="38100" bIns="19050" anchor="ctr">
                  <a:spAutoFit/>
                </a:bodyPr>
                <a:lstStyle/>
                <a:p>
                  <a:pPr>
                    <a:defRPr sz="1100" b="1"/>
                  </a:pPr>
                  <a:endParaRPr lang="es-GT"/>
                </a:p>
              </c:txPr>
              <c:showLegendKey val="0"/>
              <c:showVal val="1"/>
              <c:showCatName val="0"/>
              <c:showSerName val="0"/>
              <c:showPercent val="0"/>
              <c:showBubbleSize val="0"/>
              <c:extLst>
                <c:ext xmlns:c16="http://schemas.microsoft.com/office/drawing/2014/chart" uri="{C3380CC4-5D6E-409C-BE32-E72D297353CC}">
                  <c16:uniqueId val="{00000007-872A-4991-955B-CC60161685EE}"/>
                </c:ext>
              </c:extLst>
            </c:dLbl>
            <c:spPr>
              <a:noFill/>
              <a:ln>
                <a:noFill/>
              </a:ln>
              <a:effectLst/>
            </c:spPr>
            <c:txPr>
              <a:bodyPr wrap="square" lIns="38100" tIns="19050" rIns="38100" bIns="19050" anchor="ctr">
                <a:spAutoFit/>
              </a:bodyPr>
              <a:lstStyle/>
              <a:p>
                <a:pPr>
                  <a:defRPr sz="1100"/>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'Reporte Diario'!$M$61:$P$61</c:f>
              <c:numCache>
                <c:formatCode>General</c:formatCode>
                <c:ptCount val="4"/>
                <c:pt idx="0">
                  <c:v>2017</c:v>
                </c:pt>
                <c:pt idx="1">
                  <c:v>2018</c:v>
                </c:pt>
                <c:pt idx="2">
                  <c:v>2019</c:v>
                </c:pt>
                <c:pt idx="3">
                  <c:v>2020</c:v>
                </c:pt>
              </c:numCache>
            </c:numRef>
          </c:cat>
          <c:val>
            <c:numRef>
              <c:f>'Reporte Diario'!$M$62:$P$62</c:f>
              <c:numCache>
                <c:formatCode>_-* #,##0.0_-;\-* #,##0.0_-;_-* "-"??_-;_-@_-</c:formatCode>
                <c:ptCount val="4"/>
                <c:pt idx="0">
                  <c:v>-1552.9038605299988</c:v>
                </c:pt>
                <c:pt idx="1">
                  <c:v>-3730.3901698200007</c:v>
                </c:pt>
                <c:pt idx="2">
                  <c:v>-7887.1024730199988</c:v>
                </c:pt>
                <c:pt idx="3">
                  <c:v>-19471.299117970004</c:v>
                </c:pt>
              </c:numCache>
            </c:numRef>
          </c:val>
          <c:extLst>
            <c:ext xmlns:c16="http://schemas.microsoft.com/office/drawing/2014/chart" uri="{C3380CC4-5D6E-409C-BE32-E72D297353CC}">
              <c16:uniqueId val="{00000008-872A-4991-955B-CC60161685EE}"/>
            </c:ext>
          </c:extLst>
        </c:ser>
        <c:dLbls>
          <c:showLegendKey val="0"/>
          <c:showVal val="0"/>
          <c:showCatName val="0"/>
          <c:showSerName val="0"/>
          <c:showPercent val="0"/>
          <c:showBubbleSize val="0"/>
        </c:dLbls>
        <c:gapWidth val="71"/>
        <c:axId val="122387840"/>
        <c:axId val="122397824"/>
      </c:barChart>
      <c:catAx>
        <c:axId val="122387840"/>
        <c:scaling>
          <c:orientation val="minMax"/>
        </c:scaling>
        <c:delete val="0"/>
        <c:axPos val="b"/>
        <c:numFmt formatCode="General" sourceLinked="0"/>
        <c:majorTickMark val="out"/>
        <c:minorTickMark val="none"/>
        <c:tickLblPos val="low"/>
        <c:txPr>
          <a:bodyPr/>
          <a:lstStyle/>
          <a:p>
            <a:pPr>
              <a:defRPr lang="es-GT" sz="1200"/>
            </a:pPr>
            <a:endParaRPr lang="es-GT"/>
          </a:p>
        </c:txPr>
        <c:crossAx val="122397824"/>
        <c:crosses val="autoZero"/>
        <c:auto val="1"/>
        <c:lblAlgn val="ctr"/>
        <c:lblOffset val="100"/>
        <c:noMultiLvlLbl val="0"/>
      </c:catAx>
      <c:valAx>
        <c:axId val="122397824"/>
        <c:scaling>
          <c:orientation val="minMax"/>
        </c:scaling>
        <c:delete val="0"/>
        <c:axPos val="l"/>
        <c:numFmt formatCode="_-* #,##0.0_-;\-* #,##0.0_-;_-* &quot;-&quot;??_-;_-@_-" sourceLinked="1"/>
        <c:majorTickMark val="out"/>
        <c:minorTickMark val="none"/>
        <c:tickLblPos val="nextTo"/>
        <c:txPr>
          <a:bodyPr/>
          <a:lstStyle/>
          <a:p>
            <a:pPr>
              <a:defRPr lang="es-GT" sz="1050"/>
            </a:pPr>
            <a:endParaRPr lang="es-GT"/>
          </a:p>
        </c:txPr>
        <c:crossAx val="122387840"/>
        <c:crosses val="autoZero"/>
        <c:crossBetween val="between"/>
      </c:valAx>
    </c:plotArea>
    <c:plotVisOnly val="1"/>
    <c:dispBlanksAs val="gap"/>
    <c:showDLblsOverMax val="0"/>
  </c:chart>
  <c:spPr>
    <a:ln>
      <a:noFill/>
    </a:ln>
    <a:effectLst/>
  </c:spPr>
  <c:txPr>
    <a:bodyPr/>
    <a:lstStyle/>
    <a:p>
      <a:pPr>
        <a:defRPr sz="1400">
          <a:latin typeface="Times New Roman" pitchFamily="18" charset="0"/>
          <a:cs typeface="Times New Roman" pitchFamily="18" charset="0"/>
        </a:defRPr>
      </a:pPr>
      <a:endParaRPr lang="es-GT"/>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3611111111111117E-2"/>
          <c:y val="5.7870370370370371E-2"/>
          <c:w val="0.94166666666666654"/>
          <c:h val="0.8935185185185186"/>
        </c:manualLayout>
      </c:layout>
      <c:ofPieChart>
        <c:ofPieType val="bar"/>
        <c:varyColors val="1"/>
        <c:ser>
          <c:idx val="0"/>
          <c:order val="0"/>
          <c:dLbls>
            <c:dLbl>
              <c:idx val="0"/>
              <c:layout>
                <c:manualLayout>
                  <c:x val="5.3464440489699921E-2"/>
                  <c:y val="-0.11427347623213766"/>
                </c:manualLayout>
              </c:layout>
              <c:spPr/>
              <c:txPr>
                <a:bodyPr/>
                <a:lstStyle/>
                <a:p>
                  <a:pPr>
                    <a:defRPr lang="es-GT" sz="900" b="1">
                      <a:solidFill>
                        <a:sysClr val="windowText" lastClr="000000"/>
                      </a:solidFill>
                      <a:latin typeface="Times New Roman" pitchFamily="18" charset="0"/>
                      <a:cs typeface="Times New Roman" pitchFamily="18" charset="0"/>
                    </a:defRPr>
                  </a:pPr>
                  <a:endParaRPr lang="es-GT"/>
                </a:p>
              </c:txPr>
              <c:showLegendKey val="0"/>
              <c:showVal val="1"/>
              <c:showCatName val="1"/>
              <c:showSerName val="0"/>
              <c:showPercent val="1"/>
              <c:showBubbleSize val="0"/>
              <c:extLst>
                <c:ext xmlns:c15="http://schemas.microsoft.com/office/drawing/2012/chart" uri="{CE6537A1-D6FC-4f65-9D91-7224C49458BB}">
                  <c15:layout>
                    <c:manualLayout>
                      <c:w val="0.23677238057005215"/>
                      <c:h val="0.2568287037037037"/>
                    </c:manualLayout>
                  </c15:layout>
                </c:ext>
                <c:ext xmlns:c16="http://schemas.microsoft.com/office/drawing/2014/chart" uri="{C3380CC4-5D6E-409C-BE32-E72D297353CC}">
                  <c16:uniqueId val="{00000000-92E5-4669-83FE-80BF5B1C785B}"/>
                </c:ext>
              </c:extLst>
            </c:dLbl>
            <c:dLbl>
              <c:idx val="1"/>
              <c:layout>
                <c:manualLayout>
                  <c:x val="-1.9744149805441327E-2"/>
                  <c:y val="-5.4180792505103527E-2"/>
                </c:manualLayout>
              </c:layout>
              <c:spPr/>
              <c:txPr>
                <a:bodyPr/>
                <a:lstStyle/>
                <a:p>
                  <a:pPr>
                    <a:defRPr lang="es-GT" sz="900" b="1">
                      <a:solidFill>
                        <a:sysClr val="windowText" lastClr="000000"/>
                      </a:solidFill>
                      <a:latin typeface="Times New Roman" pitchFamily="18" charset="0"/>
                      <a:cs typeface="Times New Roman" pitchFamily="18" charset="0"/>
                    </a:defRPr>
                  </a:pPr>
                  <a:endParaRPr lang="es-GT"/>
                </a:p>
              </c:txPr>
              <c:showLegendKey val="0"/>
              <c:showVal val="1"/>
              <c:showCatName val="1"/>
              <c:showSerName val="0"/>
              <c:showPercent val="1"/>
              <c:showBubbleSize val="0"/>
              <c:extLst>
                <c:ext xmlns:c15="http://schemas.microsoft.com/office/drawing/2012/chart" uri="{CE6537A1-D6FC-4f65-9D91-7224C49458BB}">
                  <c15:layout>
                    <c:manualLayout>
                      <c:w val="0.30850905780494819"/>
                      <c:h val="0.28356481481481483"/>
                    </c:manualLayout>
                  </c15:layout>
                </c:ext>
                <c:ext xmlns:c16="http://schemas.microsoft.com/office/drawing/2014/chart" uri="{C3380CC4-5D6E-409C-BE32-E72D297353CC}">
                  <c16:uniqueId val="{00000001-92E5-4669-83FE-80BF5B1C785B}"/>
                </c:ext>
              </c:extLst>
            </c:dLbl>
            <c:dLbl>
              <c:idx val="2"/>
              <c:layout>
                <c:manualLayout>
                  <c:x val="-5.4973969281539511E-2"/>
                  <c:y val="-2.5390055409740451E-3"/>
                </c:manualLayout>
              </c:layout>
              <c:spPr>
                <a:noFill/>
                <a:ln>
                  <a:noFill/>
                </a:ln>
                <a:effectLst/>
              </c:spPr>
              <c:txPr>
                <a:bodyPr/>
                <a:lstStyle/>
                <a:p>
                  <a:pPr>
                    <a:defRPr lang="es-GT" sz="900" b="1">
                      <a:latin typeface="Times New Roman" pitchFamily="18" charset="0"/>
                      <a:cs typeface="Times New Roman" pitchFamily="18" charset="0"/>
                    </a:defRPr>
                  </a:pPr>
                  <a:endParaRPr lang="es-GT"/>
                </a:p>
              </c:txPr>
              <c:showLegendKey val="0"/>
              <c:showVal val="1"/>
              <c:showCatName val="1"/>
              <c:showSerName val="0"/>
              <c:showPercent val="1"/>
              <c:showBubbleSize val="0"/>
              <c:extLst>
                <c:ext xmlns:c15="http://schemas.microsoft.com/office/drawing/2012/chart" uri="{CE6537A1-D6FC-4f65-9D91-7224C49458BB}">
                  <c15:layout>
                    <c:manualLayout>
                      <c:w val="0.28965883479739662"/>
                      <c:h val="0.17708333333333334"/>
                    </c:manualLayout>
                  </c15:layout>
                </c:ext>
                <c:ext xmlns:c16="http://schemas.microsoft.com/office/drawing/2014/chart" uri="{C3380CC4-5D6E-409C-BE32-E72D297353CC}">
                  <c16:uniqueId val="{00000002-92E5-4669-83FE-80BF5B1C785B}"/>
                </c:ext>
              </c:extLst>
            </c:dLbl>
            <c:dLbl>
              <c:idx val="3"/>
              <c:layout>
                <c:manualLayout>
                  <c:x val="-0.29053506007453606"/>
                  <c:y val="-1.190398075240595E-2"/>
                </c:manualLayout>
              </c:layout>
              <c:tx>
                <c:rich>
                  <a:bodyPr/>
                  <a:lstStyle/>
                  <a:p>
                    <a:pPr>
                      <a:defRPr lang="es-GT" sz="900" b="1">
                        <a:latin typeface="Times New Roman" pitchFamily="18" charset="0"/>
                        <a:cs typeface="Times New Roman" pitchFamily="18" charset="0"/>
                      </a:defRPr>
                    </a:pPr>
                    <a:r>
                      <a:rPr lang="en-US" sz="900" b="1"/>
                      <a:t>Colocado;</a:t>
                    </a:r>
                    <a:r>
                      <a:rPr lang="en-US" sz="900" b="1" baseline="0"/>
                      <a:t> </a:t>
                    </a:r>
                    <a:fld id="{EA1B1F60-5B38-41DA-BE9A-C92DB5034322}" type="VALUE">
                      <a:rPr lang="en-US" sz="900" b="1" baseline="0"/>
                      <a:pPr>
                        <a:defRPr lang="es-GT" sz="900" b="1">
                          <a:latin typeface="Times New Roman" pitchFamily="18" charset="0"/>
                          <a:cs typeface="Times New Roman" pitchFamily="18" charset="0"/>
                        </a:defRPr>
                      </a:pPr>
                      <a:t>[VALOR]</a:t>
                    </a:fld>
                    <a:r>
                      <a:rPr lang="en-US" sz="900" b="1" baseline="0"/>
                      <a:t>; </a:t>
                    </a:r>
                    <a:fld id="{D54F9560-26B3-4101-8B3D-4FB4D0FB0F2A}" type="PERCENTAGE">
                      <a:rPr lang="en-US" sz="900" b="1" baseline="0"/>
                      <a:pPr>
                        <a:defRPr lang="es-GT" sz="900" b="1">
                          <a:latin typeface="Times New Roman" pitchFamily="18" charset="0"/>
                          <a:cs typeface="Times New Roman" pitchFamily="18" charset="0"/>
                        </a:defRPr>
                      </a:pPr>
                      <a:t>[PORCENTAJE]</a:t>
                    </a:fld>
                    <a:endParaRPr lang="en-US" sz="900" b="1" baseline="0"/>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6360883432324878"/>
                      <c:h val="0.17708333333333334"/>
                    </c:manualLayout>
                  </c15:layout>
                  <c15:dlblFieldTable/>
                  <c15:showDataLabelsRange val="0"/>
                </c:ext>
                <c:ext xmlns:c16="http://schemas.microsoft.com/office/drawing/2014/chart" uri="{C3380CC4-5D6E-409C-BE32-E72D297353CC}">
                  <c16:uniqueId val="{00000003-92E5-4669-83FE-80BF5B1C785B}"/>
                </c:ext>
              </c:extLst>
            </c:dLbl>
            <c:spPr>
              <a:noFill/>
              <a:ln>
                <a:noFill/>
              </a:ln>
              <a:effectLst/>
            </c:spPr>
            <c:txPr>
              <a:bodyPr/>
              <a:lstStyle/>
              <a:p>
                <a:pPr>
                  <a:defRPr lang="es-GT" sz="900">
                    <a:latin typeface="Times New Roman" pitchFamily="18" charset="0"/>
                    <a:cs typeface="Times New Roman" pitchFamily="18" charset="0"/>
                  </a:defRPr>
                </a:pPr>
                <a:endParaRPr lang="es-GT"/>
              </a:p>
            </c:txPr>
            <c:showLegendKey val="0"/>
            <c:showVal val="1"/>
            <c:showCatName val="1"/>
            <c:showSerName val="0"/>
            <c:showPercent val="1"/>
            <c:showBubbleSize val="0"/>
            <c:showLeaderLines val="1"/>
            <c:extLst>
              <c:ext xmlns:c15="http://schemas.microsoft.com/office/drawing/2012/chart" uri="{CE6537A1-D6FC-4f65-9D91-7224C49458BB}"/>
            </c:extLst>
          </c:dLbls>
          <c:cat>
            <c:strRef>
              <c:f>'Bonos dash'!$Q$79:$Q$81</c:f>
              <c:strCache>
                <c:ptCount val="3"/>
                <c:pt idx="0">
                  <c:v>Por colocar</c:v>
                </c:pt>
                <c:pt idx="1">
                  <c:v>Nuevo endeudamiento</c:v>
                </c:pt>
                <c:pt idx="2">
                  <c:v>Roll over</c:v>
                </c:pt>
              </c:strCache>
            </c:strRef>
          </c:cat>
          <c:val>
            <c:numRef>
              <c:f>'Bonos dash'!$R$79:$R$81</c:f>
              <c:numCache>
                <c:formatCode>#,##0.0</c:formatCode>
                <c:ptCount val="3"/>
                <c:pt idx="0">
                  <c:v>1568.4298444300002</c:v>
                </c:pt>
                <c:pt idx="1">
                  <c:v>28479.51815557</c:v>
                </c:pt>
                <c:pt idx="2">
                  <c:v>5657.0219999999999</c:v>
                </c:pt>
              </c:numCache>
            </c:numRef>
          </c:val>
          <c:extLst>
            <c:ext xmlns:c16="http://schemas.microsoft.com/office/drawing/2014/chart" uri="{C3380CC4-5D6E-409C-BE32-E72D297353CC}">
              <c16:uniqueId val="{00000004-92E5-4669-83FE-80BF5B1C785B}"/>
            </c:ext>
          </c:extLst>
        </c:ser>
        <c:dLbls>
          <c:showLegendKey val="0"/>
          <c:showVal val="0"/>
          <c:showCatName val="0"/>
          <c:showSerName val="0"/>
          <c:showPercent val="0"/>
          <c:showBubbleSize val="0"/>
          <c:showLeaderLines val="1"/>
        </c:dLbls>
        <c:gapWidth val="100"/>
        <c:splitType val="pos"/>
        <c:splitPos val="2"/>
        <c:secondPieSize val="75"/>
        <c:serLines/>
      </c:ofPieChart>
    </c:plotArea>
    <c:plotVisOnly val="1"/>
    <c:dispBlanksAs val="zero"/>
    <c:showDLblsOverMax val="0"/>
  </c:chart>
  <c:spPr>
    <a:solidFill>
      <a:schemeClr val="bg1"/>
    </a:solidFill>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312534814937267E-2"/>
          <c:y val="6.0175054704595186E-2"/>
          <c:w val="0.89448207951641823"/>
          <c:h val="0.59241286031806195"/>
        </c:manualLayout>
      </c:layout>
      <c:barChart>
        <c:barDir val="col"/>
        <c:grouping val="percentStacked"/>
        <c:varyColors val="0"/>
        <c:ser>
          <c:idx val="0"/>
          <c:order val="0"/>
          <c:tx>
            <c:strRef>
              <c:f>Hoja1!$B$1</c:f>
              <c:strCache>
                <c:ptCount val="1"/>
                <c:pt idx="0">
                  <c:v>Ejecución</c:v>
                </c:pt>
              </c:strCache>
            </c:strRef>
          </c:tx>
          <c:spPr>
            <a:solidFill>
              <a:schemeClr val="tx2">
                <a:lumMod val="75000"/>
              </a:schemeClr>
            </a:solidFill>
            <a:ln>
              <a:noFill/>
            </a:ln>
            <a:effectLst>
              <a:outerShdw blurRad="50800" dist="38100" algn="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MIDES</c:v>
                </c:pt>
                <c:pt idx="1">
                  <c:v>Obligaciones</c:v>
                </c:pt>
                <c:pt idx="2">
                  <c:v>MINECO</c:v>
                </c:pt>
                <c:pt idx="3">
                  <c:v>MSPAS</c:v>
                </c:pt>
                <c:pt idx="4">
                  <c:v>MINTRAB</c:v>
                </c:pt>
                <c:pt idx="5">
                  <c:v>MAGA</c:v>
                </c:pt>
              </c:strCache>
            </c:strRef>
          </c:cat>
          <c:val>
            <c:numRef>
              <c:f>Hoja1!$B$2:$B$7</c:f>
              <c:numCache>
                <c:formatCode>0%</c:formatCode>
                <c:ptCount val="6"/>
                <c:pt idx="0">
                  <c:v>0.78333661023622048</c:v>
                </c:pt>
                <c:pt idx="1">
                  <c:v>0.66033254156769594</c:v>
                </c:pt>
                <c:pt idx="2">
                  <c:v>0.64705416666666671</c:v>
                </c:pt>
                <c:pt idx="3">
                  <c:v>0.38853333333333334</c:v>
                </c:pt>
                <c:pt idx="4">
                  <c:v>0.22039999999999998</c:v>
                </c:pt>
                <c:pt idx="5">
                  <c:v>5.9753343249999993E-2</c:v>
                </c:pt>
              </c:numCache>
            </c:numRef>
          </c:val>
          <c:extLst>
            <c:ext xmlns:c16="http://schemas.microsoft.com/office/drawing/2014/chart" uri="{C3380CC4-5D6E-409C-BE32-E72D297353CC}">
              <c16:uniqueId val="{00000000-C133-4BD6-ACBE-2F9D56B64357}"/>
            </c:ext>
          </c:extLst>
        </c:ser>
        <c:ser>
          <c:idx val="1"/>
          <c:order val="1"/>
          <c:tx>
            <c:strRef>
              <c:f>Hoja1!$C$1</c:f>
              <c:strCache>
                <c:ptCount val="1"/>
                <c:pt idx="0">
                  <c:v>Pendiente de Ejecutar</c:v>
                </c:pt>
              </c:strCache>
            </c:strRef>
          </c:tx>
          <c:spPr>
            <a:solidFill>
              <a:schemeClr val="accent3">
                <a:lumMod val="75000"/>
              </a:schemeClr>
            </a:solidFill>
            <a:ln>
              <a:noFill/>
            </a:ln>
            <a:effectLst>
              <a:outerShdw blurRad="50800" dist="38100" algn="l" rotWithShape="0">
                <a:prstClr val="black">
                  <a:alpha val="40000"/>
                </a:prstClr>
              </a:outerShdw>
            </a:effectLst>
            <a:scene3d>
              <a:camera prst="orthographicFront"/>
              <a:lightRig rig="threePt" dir="t"/>
            </a:scene3d>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MIDES</c:v>
                </c:pt>
                <c:pt idx="1">
                  <c:v>Obligaciones</c:v>
                </c:pt>
                <c:pt idx="2">
                  <c:v>MINECO</c:v>
                </c:pt>
                <c:pt idx="3">
                  <c:v>MSPAS</c:v>
                </c:pt>
                <c:pt idx="4">
                  <c:v>MINTRAB</c:v>
                </c:pt>
                <c:pt idx="5">
                  <c:v>MAGA</c:v>
                </c:pt>
              </c:strCache>
            </c:strRef>
          </c:cat>
          <c:val>
            <c:numRef>
              <c:f>Hoja1!$C$2:$C$7</c:f>
              <c:numCache>
                <c:formatCode>0%</c:formatCode>
                <c:ptCount val="6"/>
                <c:pt idx="0">
                  <c:v>0.21666338976377952</c:v>
                </c:pt>
                <c:pt idx="1">
                  <c:v>0.33966745843230406</c:v>
                </c:pt>
                <c:pt idx="2">
                  <c:v>0.35294583333333329</c:v>
                </c:pt>
                <c:pt idx="3">
                  <c:v>0.6114666666666666</c:v>
                </c:pt>
                <c:pt idx="4">
                  <c:v>0.77960000000000007</c:v>
                </c:pt>
                <c:pt idx="5">
                  <c:v>0.94024665674999997</c:v>
                </c:pt>
              </c:numCache>
            </c:numRef>
          </c:val>
          <c:extLst>
            <c:ext xmlns:c16="http://schemas.microsoft.com/office/drawing/2014/chart" uri="{C3380CC4-5D6E-409C-BE32-E72D297353CC}">
              <c16:uniqueId val="{00000001-C133-4BD6-ACBE-2F9D56B64357}"/>
            </c:ext>
          </c:extLst>
        </c:ser>
        <c:dLbls>
          <c:showLegendKey val="0"/>
          <c:showVal val="0"/>
          <c:showCatName val="0"/>
          <c:showSerName val="0"/>
          <c:showPercent val="0"/>
          <c:showBubbleSize val="0"/>
        </c:dLbls>
        <c:gapWidth val="50"/>
        <c:overlap val="100"/>
        <c:axId val="333742856"/>
        <c:axId val="333743512"/>
      </c:barChart>
      <c:catAx>
        <c:axId val="333742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333743512"/>
        <c:crosses val="autoZero"/>
        <c:auto val="1"/>
        <c:lblAlgn val="ctr"/>
        <c:lblOffset val="100"/>
        <c:noMultiLvlLbl val="0"/>
      </c:catAx>
      <c:valAx>
        <c:axId val="33374351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33742856"/>
        <c:crosses val="autoZero"/>
        <c:crossBetween val="between"/>
      </c:valAx>
      <c:spPr>
        <a:noFill/>
        <a:ln>
          <a:noFill/>
        </a:ln>
        <a:effectLst/>
      </c:spPr>
    </c:plotArea>
    <c:legend>
      <c:legendPos val="b"/>
      <c:layout>
        <c:manualLayout>
          <c:xMode val="edge"/>
          <c:yMode val="edge"/>
          <c:x val="0.1328958480828874"/>
          <c:y val="0.89679784282982145"/>
          <c:w val="0.72507969251447402"/>
          <c:h val="8.67907786143799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65398882335279"/>
          <c:y val="5.5795079888409843E-2"/>
          <c:w val="0.71547978112905364"/>
          <c:h val="0.84663621967365665"/>
        </c:manualLayout>
      </c:layout>
      <c:barChart>
        <c:barDir val="col"/>
        <c:grouping val="clustered"/>
        <c:varyColors val="0"/>
        <c:ser>
          <c:idx val="0"/>
          <c:order val="0"/>
          <c:tx>
            <c:strRef>
              <c:f>Sheet1!$B$1</c:f>
              <c:strCache>
                <c:ptCount val="1"/>
                <c:pt idx="0">
                  <c:v>Presupuesto</c:v>
                </c:pt>
              </c:strCache>
            </c:strRef>
          </c:tx>
          <c:spPr>
            <a:solidFill>
              <a:schemeClr val="accent6"/>
            </a:solidFill>
            <a:ln>
              <a:noFill/>
            </a:ln>
            <a:effectLst>
              <a:outerShdw blurRad="50800" dist="38100" algn="l" rotWithShape="0">
                <a:prstClr val="black">
                  <a:alpha val="40000"/>
                </a:prst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Decreto 12-2020 Ley de Emergencia COVID-19</c:v>
                </c:pt>
                <c:pt idx="1">
                  <c:v>Decreto 13-2020 Ley de Rescate Económico para Familias</c:v>
                </c:pt>
                <c:pt idx="2">
                  <c:v>Decreto 20-2020 Ampliación Presupuestaria</c:v>
                </c:pt>
              </c:strCache>
            </c:strRef>
          </c:cat>
          <c:val>
            <c:numRef>
              <c:f>Sheet1!$B$2:$B$4</c:f>
              <c:numCache>
                <c:formatCode>#,##0.0</c:formatCode>
                <c:ptCount val="3"/>
                <c:pt idx="0">
                  <c:v>2250</c:v>
                </c:pt>
                <c:pt idx="1">
                  <c:v>11000</c:v>
                </c:pt>
                <c:pt idx="2">
                  <c:v>1360</c:v>
                </c:pt>
              </c:numCache>
            </c:numRef>
          </c:val>
          <c:extLst>
            <c:ext xmlns:c16="http://schemas.microsoft.com/office/drawing/2014/chart" uri="{C3380CC4-5D6E-409C-BE32-E72D297353CC}">
              <c16:uniqueId val="{00000000-FA2D-472C-801C-EEE822C9A3EA}"/>
            </c:ext>
          </c:extLst>
        </c:ser>
        <c:ser>
          <c:idx val="1"/>
          <c:order val="1"/>
          <c:tx>
            <c:strRef>
              <c:f>Sheet1!$C$1</c:f>
              <c:strCache>
                <c:ptCount val="1"/>
                <c:pt idx="0">
                  <c:v>Ejecución</c:v>
                </c:pt>
              </c:strCache>
            </c:strRef>
          </c:tx>
          <c:spPr>
            <a:solidFill>
              <a:schemeClr val="accent5"/>
            </a:solidFill>
            <a:ln>
              <a:noFill/>
            </a:ln>
            <a:effectLst>
              <a:outerShdw blurRad="50800" dist="38100" algn="l" rotWithShape="0">
                <a:prstClr val="black">
                  <a:alpha val="40000"/>
                </a:prst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Decreto 12-2020 Ley de Emergencia COVID-19</c:v>
                </c:pt>
                <c:pt idx="1">
                  <c:v>Decreto 13-2020 Ley de Rescate Económico para Familias</c:v>
                </c:pt>
                <c:pt idx="2">
                  <c:v>Decreto 20-2020 Ampliación Presupuestaria</c:v>
                </c:pt>
              </c:strCache>
            </c:strRef>
          </c:cat>
          <c:val>
            <c:numRef>
              <c:f>Sheet1!$C$2:$C$4</c:f>
              <c:numCache>
                <c:formatCode>#,##0.0</c:formatCode>
                <c:ptCount val="3"/>
                <c:pt idx="0">
                  <c:v>623.9213373</c:v>
                </c:pt>
                <c:pt idx="1">
                  <c:v>8697.1174749999991</c:v>
                </c:pt>
                <c:pt idx="2">
                  <c:v>487.24</c:v>
                </c:pt>
              </c:numCache>
            </c:numRef>
          </c:val>
          <c:extLst>
            <c:ext xmlns:c16="http://schemas.microsoft.com/office/drawing/2014/chart" uri="{C3380CC4-5D6E-409C-BE32-E72D297353CC}">
              <c16:uniqueId val="{00000001-FA2D-472C-801C-EEE822C9A3EA}"/>
            </c:ext>
          </c:extLst>
        </c:ser>
        <c:dLbls>
          <c:showLegendKey val="0"/>
          <c:showVal val="0"/>
          <c:showCatName val="0"/>
          <c:showSerName val="0"/>
          <c:showPercent val="0"/>
          <c:showBubbleSize val="0"/>
        </c:dLbls>
        <c:gapWidth val="150"/>
        <c:axId val="381367624"/>
        <c:axId val="381357456"/>
      </c:barChart>
      <c:lineChart>
        <c:grouping val="standard"/>
        <c:varyColors val="0"/>
        <c:ser>
          <c:idx val="2"/>
          <c:order val="2"/>
          <c:tx>
            <c:strRef>
              <c:f>Sheet1!$D$1</c:f>
              <c:strCache>
                <c:ptCount val="1"/>
                <c:pt idx="0">
                  <c:v>% de ejecución</c:v>
                </c:pt>
              </c:strCache>
            </c:strRef>
          </c:tx>
          <c:spPr>
            <a:ln w="28575" cap="rnd">
              <a:noFill/>
              <a:round/>
            </a:ln>
            <a:effectLst/>
          </c:spPr>
          <c:marker>
            <c:symbol val="diamond"/>
            <c:size val="11"/>
            <c:spPr>
              <a:solidFill>
                <a:schemeClr val="accent4"/>
              </a:solidFill>
              <a:ln w="9525">
                <a:solidFill>
                  <a:schemeClr val="tx1">
                    <a:lumMod val="95000"/>
                    <a:lumOff val="5000"/>
                  </a:schemeClr>
                </a:solidFill>
              </a:ln>
              <a:effectLst/>
            </c:spPr>
          </c:marker>
          <c:dLbls>
            <c:dLbl>
              <c:idx val="0"/>
              <c:layout>
                <c:manualLayout>
                  <c:x val="-0.10169491525423729"/>
                  <c:y val="-5.39568345323740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A2D-472C-801C-EEE822C9A3EA}"/>
                </c:ext>
              </c:extLst>
            </c:dLbl>
            <c:dLbl>
              <c:idx val="2"/>
              <c:layout>
                <c:manualLayout>
                  <c:x val="-0.11016949152542373"/>
                  <c:y val="-5.39568345323740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A2D-472C-801C-EEE822C9A3E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Decreto 12-2020 Ley de Emergencia COVID-19</c:v>
                </c:pt>
                <c:pt idx="1">
                  <c:v>Decreto 13-2020 Ley de Rescate Económico para Familias</c:v>
                </c:pt>
                <c:pt idx="2">
                  <c:v>Decreto 20-2020 Ampliación Presupuestaria</c:v>
                </c:pt>
              </c:strCache>
            </c:strRef>
          </c:cat>
          <c:val>
            <c:numRef>
              <c:f>Sheet1!$D$2:$D$4</c:f>
              <c:numCache>
                <c:formatCode>0.0%</c:formatCode>
                <c:ptCount val="3"/>
                <c:pt idx="0">
                  <c:v>0.27729837213333336</c:v>
                </c:pt>
                <c:pt idx="1">
                  <c:v>0.79064704318181811</c:v>
                </c:pt>
                <c:pt idx="2">
                  <c:v>0.35826470588235293</c:v>
                </c:pt>
              </c:numCache>
            </c:numRef>
          </c:val>
          <c:smooth val="0"/>
          <c:extLst>
            <c:ext xmlns:c16="http://schemas.microsoft.com/office/drawing/2014/chart" uri="{C3380CC4-5D6E-409C-BE32-E72D297353CC}">
              <c16:uniqueId val="{00000004-FA2D-472C-801C-EEE822C9A3EA}"/>
            </c:ext>
          </c:extLst>
        </c:ser>
        <c:dLbls>
          <c:showLegendKey val="0"/>
          <c:showVal val="0"/>
          <c:showCatName val="0"/>
          <c:showSerName val="0"/>
          <c:showPercent val="0"/>
          <c:showBubbleSize val="0"/>
        </c:dLbls>
        <c:marker val="1"/>
        <c:smooth val="0"/>
        <c:axId val="598164864"/>
        <c:axId val="598164536"/>
      </c:lineChart>
      <c:catAx>
        <c:axId val="381367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381357456"/>
        <c:crosses val="autoZero"/>
        <c:auto val="1"/>
        <c:lblAlgn val="ctr"/>
        <c:lblOffset val="100"/>
        <c:noMultiLvlLbl val="0"/>
      </c:catAx>
      <c:valAx>
        <c:axId val="381357456"/>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1367624"/>
        <c:crosses val="autoZero"/>
        <c:crossBetween val="between"/>
      </c:valAx>
      <c:valAx>
        <c:axId val="598164536"/>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98164864"/>
        <c:crosses val="max"/>
        <c:crossBetween val="between"/>
      </c:valAx>
      <c:catAx>
        <c:axId val="598164864"/>
        <c:scaling>
          <c:orientation val="minMax"/>
        </c:scaling>
        <c:delete val="1"/>
        <c:axPos val="b"/>
        <c:numFmt formatCode="General" sourceLinked="1"/>
        <c:majorTickMark val="out"/>
        <c:minorTickMark val="none"/>
        <c:tickLblPos val="nextTo"/>
        <c:crossAx val="598164536"/>
        <c:crosses val="autoZero"/>
        <c:auto val="1"/>
        <c:lblAlgn val="ctr"/>
        <c:lblOffset val="100"/>
        <c:noMultiLvlLbl val="0"/>
      </c:catAx>
      <c:spPr>
        <a:noFill/>
        <a:ln>
          <a:noFill/>
        </a:ln>
        <a:effectLst/>
      </c:spPr>
    </c:plotArea>
    <c:legend>
      <c:legendPos val="b"/>
      <c:layout>
        <c:manualLayout>
          <c:xMode val="edge"/>
          <c:yMode val="edge"/>
          <c:x val="0.12300914186574136"/>
          <c:y val="1.8814436639664648E-2"/>
          <c:w val="0.82042873348458556"/>
          <c:h val="7.133702486829433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487688620862198E-2"/>
          <c:y val="5.5928102315935015E-2"/>
          <c:w val="0.84040051013690165"/>
          <c:h val="0.83126366384789552"/>
        </c:manualLayout>
      </c:layout>
      <c:lineChart>
        <c:grouping val="standard"/>
        <c:varyColors val="0"/>
        <c:ser>
          <c:idx val="0"/>
          <c:order val="0"/>
          <c:tx>
            <c:strRef>
              <c:f>Hoja1!$C$1</c:f>
              <c:strCache>
                <c:ptCount val="1"/>
                <c:pt idx="0">
                  <c:v>2019</c:v>
                </c:pt>
              </c:strCache>
            </c:strRef>
          </c:tx>
          <c:spPr>
            <a:ln w="22225" cap="rnd">
              <a:solidFill>
                <a:schemeClr val="accent1"/>
              </a:solidFill>
              <a:round/>
            </a:ln>
            <a:effectLst/>
          </c:spPr>
          <c:marker>
            <c:symbol val="circle"/>
            <c:size val="6"/>
            <c:spPr>
              <a:solidFill>
                <a:schemeClr val="lt1"/>
              </a:solidFill>
              <a:ln w="15875">
                <a:solidFill>
                  <a:schemeClr val="accent1"/>
                </a:solidFill>
                <a:round/>
              </a:ln>
              <a:effectLst/>
            </c:spPr>
          </c:marker>
          <c:dLbls>
            <c:dLbl>
              <c:idx val="3"/>
              <c:layout>
                <c:manualLayout>
                  <c:x val="-7.7908006360148149E-2"/>
                  <c:y val="-0.1173490900299727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B49-4278-A968-0311318722E6}"/>
                </c:ext>
              </c:extLst>
            </c:dLbl>
            <c:dLbl>
              <c:idx val="4"/>
              <c:layout>
                <c:manualLayout>
                  <c:x val="-0.10536899332565292"/>
                  <c:y val="-0.123951929250837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B49-4278-A968-0311318722E6}"/>
                </c:ext>
              </c:extLst>
            </c:dLbl>
            <c:dLbl>
              <c:idx val="7"/>
              <c:layout>
                <c:manualLayout>
                  <c:x val="-0.12143884070113968"/>
                  <c:y val="-8.43348939256478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B49-4278-A968-0311318722E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70C0"/>
                    </a:solidFill>
                    <a:latin typeface="+mn-lt"/>
                    <a:ea typeface="+mn-ea"/>
                    <a:cs typeface="+mn-cs"/>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Hoja1!$A$2:$A$10</c:f>
              <c:strCache>
                <c:ptCount val="9"/>
                <c:pt idx="0">
                  <c:v>Ene</c:v>
                </c:pt>
                <c:pt idx="1">
                  <c:v>Feb</c:v>
                </c:pt>
                <c:pt idx="2">
                  <c:v>Mar</c:v>
                </c:pt>
                <c:pt idx="3">
                  <c:v>Abr</c:v>
                </c:pt>
                <c:pt idx="4">
                  <c:v>May</c:v>
                </c:pt>
                <c:pt idx="5">
                  <c:v>Jun</c:v>
                </c:pt>
                <c:pt idx="6">
                  <c:v>Jul</c:v>
                </c:pt>
                <c:pt idx="7">
                  <c:v>Ago</c:v>
                </c:pt>
                <c:pt idx="8">
                  <c:v>Sep</c:v>
                </c:pt>
              </c:strCache>
            </c:strRef>
          </c:cat>
          <c:val>
            <c:numRef>
              <c:f>Hoja1!$C$2:$C$10</c:f>
              <c:numCache>
                <c:formatCode>#,##0.0</c:formatCode>
                <c:ptCount val="9"/>
                <c:pt idx="0">
                  <c:v>598.47367855000266</c:v>
                </c:pt>
                <c:pt idx="1">
                  <c:v>342.31062865000104</c:v>
                </c:pt>
                <c:pt idx="2">
                  <c:v>-54.083338030000959</c:v>
                </c:pt>
                <c:pt idx="3">
                  <c:v>-660.0427979799988</c:v>
                </c:pt>
                <c:pt idx="4">
                  <c:v>-1119.1437366100004</c:v>
                </c:pt>
                <c:pt idx="5">
                  <c:v>-707.62002462000146</c:v>
                </c:pt>
                <c:pt idx="6">
                  <c:v>-880.04561306000141</c:v>
                </c:pt>
                <c:pt idx="7">
                  <c:v>-536.78617209000049</c:v>
                </c:pt>
                <c:pt idx="8">
                  <c:v>-9.4</c:v>
                </c:pt>
              </c:numCache>
            </c:numRef>
          </c:val>
          <c:smooth val="1"/>
          <c:extLst>
            <c:ext xmlns:c16="http://schemas.microsoft.com/office/drawing/2014/chart" uri="{C3380CC4-5D6E-409C-BE32-E72D297353CC}">
              <c16:uniqueId val="{00000003-DB49-4278-A968-0311318722E6}"/>
            </c:ext>
          </c:extLst>
        </c:ser>
        <c:dLbls>
          <c:showLegendKey val="0"/>
          <c:showVal val="0"/>
          <c:showCatName val="0"/>
          <c:showSerName val="0"/>
          <c:showPercent val="0"/>
          <c:showBubbleSize val="0"/>
        </c:dLbls>
        <c:marker val="1"/>
        <c:smooth val="0"/>
        <c:axId val="549794840"/>
        <c:axId val="549798448"/>
      </c:lineChart>
      <c:catAx>
        <c:axId val="549794840"/>
        <c:scaling>
          <c:orientation val="minMax"/>
        </c:scaling>
        <c:delete val="0"/>
        <c:axPos val="b"/>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chemeClr val="dk1">
                    <a:lumMod val="65000"/>
                    <a:lumOff val="35000"/>
                  </a:schemeClr>
                </a:solidFill>
                <a:latin typeface="+mn-lt"/>
                <a:ea typeface="+mn-ea"/>
                <a:cs typeface="+mn-cs"/>
              </a:defRPr>
            </a:pPr>
            <a:endParaRPr lang="es-GT"/>
          </a:p>
        </c:txPr>
        <c:crossAx val="549798448"/>
        <c:crosses val="autoZero"/>
        <c:auto val="0"/>
        <c:lblAlgn val="ctr"/>
        <c:lblOffset val="100"/>
        <c:noMultiLvlLbl val="1"/>
      </c:catAx>
      <c:valAx>
        <c:axId val="549798448"/>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4979484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679B-4282-B652-D2551D3537AD}"/>
              </c:ext>
            </c:extLst>
          </c:dPt>
          <c:dPt>
            <c:idx val="1"/>
            <c:invertIfNegative val="0"/>
            <c:bubble3D val="0"/>
            <c:spPr>
              <a:solidFill>
                <a:srgbClr val="00B050"/>
              </a:solidFill>
              <a:ln>
                <a:noFill/>
              </a:ln>
              <a:effectLst/>
            </c:spPr>
            <c:extLst>
              <c:ext xmlns:c16="http://schemas.microsoft.com/office/drawing/2014/chart" uri="{C3380CC4-5D6E-409C-BE32-E72D297353CC}">
                <c16:uniqueId val="{00000003-679B-4282-B652-D2551D3537AD}"/>
              </c:ext>
            </c:extLst>
          </c:dPt>
          <c:dPt>
            <c:idx val="2"/>
            <c:invertIfNegative val="0"/>
            <c:bubble3D val="0"/>
            <c:spPr>
              <a:solidFill>
                <a:srgbClr val="00B050"/>
              </a:solidFill>
              <a:ln>
                <a:noFill/>
              </a:ln>
              <a:effectLst/>
            </c:spPr>
            <c:extLst>
              <c:ext xmlns:c16="http://schemas.microsoft.com/office/drawing/2014/chart" uri="{C3380CC4-5D6E-409C-BE32-E72D297353CC}">
                <c16:uniqueId val="{00000005-679B-4282-B652-D2551D3537AD}"/>
              </c:ext>
            </c:extLst>
          </c:dPt>
          <c:dPt>
            <c:idx val="3"/>
            <c:invertIfNegative val="0"/>
            <c:bubble3D val="0"/>
            <c:spPr>
              <a:solidFill>
                <a:srgbClr val="FF0000"/>
              </a:solidFill>
              <a:ln>
                <a:noFill/>
              </a:ln>
              <a:effectLst/>
            </c:spPr>
            <c:extLst>
              <c:ext xmlns:c16="http://schemas.microsoft.com/office/drawing/2014/chart" uri="{C3380CC4-5D6E-409C-BE32-E72D297353CC}">
                <c16:uniqueId val="{00000007-679B-4282-B652-D2551D3537AD}"/>
              </c:ext>
            </c:extLst>
          </c:dPt>
          <c:dPt>
            <c:idx val="4"/>
            <c:invertIfNegative val="0"/>
            <c:bubble3D val="0"/>
            <c:spPr>
              <a:solidFill>
                <a:srgbClr val="FF0000"/>
              </a:solidFill>
              <a:ln>
                <a:noFill/>
              </a:ln>
              <a:effectLst/>
            </c:spPr>
            <c:extLst>
              <c:ext xmlns:c16="http://schemas.microsoft.com/office/drawing/2014/chart" uri="{C3380CC4-5D6E-409C-BE32-E72D297353CC}">
                <c16:uniqueId val="{00000009-679B-4282-B652-D2551D3537AD}"/>
              </c:ext>
            </c:extLst>
          </c:dPt>
          <c:dPt>
            <c:idx val="5"/>
            <c:invertIfNegative val="0"/>
            <c:bubble3D val="0"/>
            <c:spPr>
              <a:solidFill>
                <a:srgbClr val="FF0000"/>
              </a:solidFill>
              <a:ln>
                <a:noFill/>
              </a:ln>
              <a:effectLst/>
            </c:spPr>
            <c:extLst>
              <c:ext xmlns:c16="http://schemas.microsoft.com/office/drawing/2014/chart" uri="{C3380CC4-5D6E-409C-BE32-E72D297353CC}">
                <c16:uniqueId val="{0000000B-679B-4282-B652-D2551D3537AD}"/>
              </c:ext>
            </c:extLst>
          </c:dPt>
          <c:dPt>
            <c:idx val="6"/>
            <c:invertIfNegative val="0"/>
            <c:bubble3D val="0"/>
            <c:spPr>
              <a:solidFill>
                <a:srgbClr val="FF0000"/>
              </a:solidFill>
              <a:ln>
                <a:noFill/>
              </a:ln>
              <a:effectLst/>
            </c:spPr>
            <c:extLst>
              <c:ext xmlns:c16="http://schemas.microsoft.com/office/drawing/2014/chart" uri="{C3380CC4-5D6E-409C-BE32-E72D297353CC}">
                <c16:uniqueId val="{0000000D-679B-4282-B652-D2551D3537AD}"/>
              </c:ext>
            </c:extLst>
          </c:dPt>
          <c:dPt>
            <c:idx val="7"/>
            <c:invertIfNegative val="0"/>
            <c:bubble3D val="0"/>
            <c:spPr>
              <a:solidFill>
                <a:srgbClr val="FF0000"/>
              </a:solidFill>
              <a:ln>
                <a:noFill/>
              </a:ln>
              <a:effectLst/>
            </c:spPr>
            <c:extLst>
              <c:ext xmlns:c16="http://schemas.microsoft.com/office/drawing/2014/chart" uri="{C3380CC4-5D6E-409C-BE32-E72D297353CC}">
                <c16:uniqueId val="{0000000F-679B-4282-B652-D2551D3537AD}"/>
              </c:ext>
            </c:extLst>
          </c:dPt>
          <c:dPt>
            <c:idx val="8"/>
            <c:invertIfNegative val="0"/>
            <c:bubble3D val="0"/>
            <c:spPr>
              <a:solidFill>
                <a:srgbClr val="FF0000"/>
              </a:solidFill>
              <a:ln>
                <a:noFill/>
              </a:ln>
              <a:effectLst/>
            </c:spPr>
            <c:extLst>
              <c:ext xmlns:c16="http://schemas.microsoft.com/office/drawing/2014/chart" uri="{C3380CC4-5D6E-409C-BE32-E72D297353CC}">
                <c16:uniqueId val="{00000011-679B-4282-B652-D2551D3537AD}"/>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Hoja1!$A$2:$A$10</c:f>
              <c:strCache>
                <c:ptCount val="9"/>
                <c:pt idx="0">
                  <c:v>Ene</c:v>
                </c:pt>
                <c:pt idx="1">
                  <c:v>Feb</c:v>
                </c:pt>
                <c:pt idx="2">
                  <c:v>Mar</c:v>
                </c:pt>
                <c:pt idx="3">
                  <c:v>Abr</c:v>
                </c:pt>
                <c:pt idx="4">
                  <c:v>May</c:v>
                </c:pt>
                <c:pt idx="5">
                  <c:v>Jun</c:v>
                </c:pt>
                <c:pt idx="6">
                  <c:v>Jul</c:v>
                </c:pt>
                <c:pt idx="7">
                  <c:v>Ago</c:v>
                </c:pt>
                <c:pt idx="8">
                  <c:v>Sep</c:v>
                </c:pt>
              </c:strCache>
            </c:strRef>
          </c:cat>
          <c:val>
            <c:numRef>
              <c:f>Hoja1!$B$2:$B$10</c:f>
              <c:numCache>
                <c:formatCode>General</c:formatCode>
                <c:ptCount val="9"/>
                <c:pt idx="0">
                  <c:v>248.76509680999993</c:v>
                </c:pt>
                <c:pt idx="1">
                  <c:v>66.606673840000099</c:v>
                </c:pt>
                <c:pt idx="2">
                  <c:v>99.867439410000088</c:v>
                </c:pt>
                <c:pt idx="3">
                  <c:v>-131.53443593999987</c:v>
                </c:pt>
                <c:pt idx="4">
                  <c:v>-133.5576374000002</c:v>
                </c:pt>
                <c:pt idx="5">
                  <c:v>-162.93660380000006</c:v>
                </c:pt>
                <c:pt idx="6">
                  <c:v>-58.145478930000081</c:v>
                </c:pt>
                <c:pt idx="7">
                  <c:v>-155.75698651000005</c:v>
                </c:pt>
                <c:pt idx="8">
                  <c:v>-139.32699402999981</c:v>
                </c:pt>
              </c:numCache>
            </c:numRef>
          </c:val>
          <c:extLst>
            <c:ext xmlns:c16="http://schemas.microsoft.com/office/drawing/2014/chart" uri="{C3380CC4-5D6E-409C-BE32-E72D297353CC}">
              <c16:uniqueId val="{00000012-679B-4282-B652-D2551D3537AD}"/>
            </c:ext>
          </c:extLst>
        </c:ser>
        <c:dLbls>
          <c:showLegendKey val="0"/>
          <c:showVal val="0"/>
          <c:showCatName val="0"/>
          <c:showSerName val="0"/>
          <c:showPercent val="0"/>
          <c:showBubbleSize val="0"/>
        </c:dLbls>
        <c:gapWidth val="10"/>
        <c:overlap val="-43"/>
        <c:axId val="655683168"/>
        <c:axId val="655683496"/>
      </c:barChart>
      <c:catAx>
        <c:axId val="65568316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55683496"/>
        <c:crosses val="autoZero"/>
        <c:auto val="1"/>
        <c:lblAlgn val="ctr"/>
        <c:lblOffset val="100"/>
        <c:noMultiLvlLbl val="0"/>
      </c:catAx>
      <c:valAx>
        <c:axId val="65568349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5568316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sz="600"/>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27913531103816"/>
          <c:y val="6.738131699846861E-2"/>
          <c:w val="0.79200007748108969"/>
          <c:h val="0.68530453675659042"/>
        </c:manualLayout>
      </c:layout>
      <c:lineChart>
        <c:grouping val="standard"/>
        <c:varyColors val="0"/>
        <c:ser>
          <c:idx val="0"/>
          <c:order val="0"/>
          <c:tx>
            <c:strRef>
              <c:f>Hoja1!$B$1</c:f>
              <c:strCache>
                <c:ptCount val="1"/>
                <c:pt idx="0">
                  <c:v>Internos</c:v>
                </c:pt>
              </c:strCache>
            </c:strRef>
          </c:tx>
          <c:spPr>
            <a:ln w="22225" cap="rnd">
              <a:solidFill>
                <a:schemeClr val="accent1"/>
              </a:solidFill>
              <a:round/>
            </a:ln>
            <a:effectLst/>
          </c:spPr>
          <c:marker>
            <c:symbol val="none"/>
          </c:marker>
          <c:dLbls>
            <c:dLbl>
              <c:idx val="56"/>
              <c:layout>
                <c:manualLayout>
                  <c:x val="0"/>
                  <c:y val="-1.7631501616220981E-2"/>
                </c:manualLayout>
              </c:layout>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rgbClr val="0070C0"/>
                      </a:solidFill>
                      <a:latin typeface="+mn-lt"/>
                      <a:ea typeface="+mn-ea"/>
                      <a:cs typeface="+mn-cs"/>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C2-438C-AD8B-2485BD217953}"/>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dk1">
                        <a:lumMod val="75000"/>
                        <a:lumOff val="25000"/>
                      </a:schemeClr>
                    </a:solidFill>
                    <a:latin typeface="+mn-lt"/>
                    <a:ea typeface="+mn-ea"/>
                    <a:cs typeface="+mn-cs"/>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Hoja1!$A$2:$A$58</c:f>
              <c:numCache>
                <c:formatCode>mmm\-yy</c:formatCode>
                <c:ptCount val="57"/>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numCache>
            </c:numRef>
          </c:cat>
          <c:val>
            <c:numRef>
              <c:f>Hoja1!$B$2:$B$58</c:f>
              <c:numCache>
                <c:formatCode>0.0%</c:formatCode>
                <c:ptCount val="57"/>
                <c:pt idx="0">
                  <c:v>4.424943918444435E-2</c:v>
                </c:pt>
                <c:pt idx="1">
                  <c:v>2.643268365127982E-2</c:v>
                </c:pt>
                <c:pt idx="2">
                  <c:v>3.4638111190548049E-2</c:v>
                </c:pt>
                <c:pt idx="3">
                  <c:v>3.26622653918196E-2</c:v>
                </c:pt>
                <c:pt idx="4">
                  <c:v>9.0379431490401618E-2</c:v>
                </c:pt>
                <c:pt idx="5">
                  <c:v>9.2363743549651822E-2</c:v>
                </c:pt>
                <c:pt idx="6">
                  <c:v>0.10610924594334903</c:v>
                </c:pt>
                <c:pt idx="7">
                  <c:v>0.11655301784927863</c:v>
                </c:pt>
                <c:pt idx="8">
                  <c:v>0.11637814431515436</c:v>
                </c:pt>
                <c:pt idx="9">
                  <c:v>0.11486490493072066</c:v>
                </c:pt>
                <c:pt idx="10">
                  <c:v>0.11900714945640045</c:v>
                </c:pt>
                <c:pt idx="11">
                  <c:v>0.12819065443220334</c:v>
                </c:pt>
                <c:pt idx="12">
                  <c:v>5.9182082284754411E-2</c:v>
                </c:pt>
                <c:pt idx="13">
                  <c:v>7.4212646020694439E-2</c:v>
                </c:pt>
                <c:pt idx="14">
                  <c:v>0.10347575974463363</c:v>
                </c:pt>
                <c:pt idx="15">
                  <c:v>0.11723172144890004</c:v>
                </c:pt>
                <c:pt idx="16">
                  <c:v>5.9228800487155286E-2</c:v>
                </c:pt>
                <c:pt idx="17">
                  <c:v>8.9567767108291507E-2</c:v>
                </c:pt>
                <c:pt idx="18">
                  <c:v>6.5256294542686E-2</c:v>
                </c:pt>
                <c:pt idx="19">
                  <c:v>5.3387499574891306E-2</c:v>
                </c:pt>
                <c:pt idx="20">
                  <c:v>5.3652773553085176E-2</c:v>
                </c:pt>
                <c:pt idx="21">
                  <c:v>5.1085057617270557E-2</c:v>
                </c:pt>
                <c:pt idx="22">
                  <c:v>4.7429612878236771E-2</c:v>
                </c:pt>
                <c:pt idx="23">
                  <c:v>3.8832748141549356E-2</c:v>
                </c:pt>
                <c:pt idx="24">
                  <c:v>9.5029678328446332E-2</c:v>
                </c:pt>
                <c:pt idx="25">
                  <c:v>7.418438541927741E-2</c:v>
                </c:pt>
                <c:pt idx="26">
                  <c:v>4.4331472829025387E-2</c:v>
                </c:pt>
                <c:pt idx="27">
                  <c:v>3.061679143747309E-2</c:v>
                </c:pt>
                <c:pt idx="28">
                  <c:v>3.567349270858533E-2</c:v>
                </c:pt>
                <c:pt idx="29">
                  <c:v>6.9833455101353525E-3</c:v>
                </c:pt>
                <c:pt idx="30">
                  <c:v>1.3620570745746408E-2</c:v>
                </c:pt>
                <c:pt idx="31">
                  <c:v>1.3639138792564287E-2</c:v>
                </c:pt>
                <c:pt idx="32">
                  <c:v>1.1608366599742848E-2</c:v>
                </c:pt>
                <c:pt idx="33">
                  <c:v>1.520436753258525E-2</c:v>
                </c:pt>
                <c:pt idx="34">
                  <c:v>2.0182723094225086E-2</c:v>
                </c:pt>
                <c:pt idx="35">
                  <c:v>1.8941089642273923E-2</c:v>
                </c:pt>
                <c:pt idx="36">
                  <c:v>1.2133373398879099E-2</c:v>
                </c:pt>
                <c:pt idx="37">
                  <c:v>1.3171949561501473E-2</c:v>
                </c:pt>
                <c:pt idx="38">
                  <c:v>2.1515546627187465E-2</c:v>
                </c:pt>
                <c:pt idx="39">
                  <c:v>2.6500406128148413E-2</c:v>
                </c:pt>
                <c:pt idx="40">
                  <c:v>3.3774818086861336E-2</c:v>
                </c:pt>
                <c:pt idx="41">
                  <c:v>3.0658139325091094E-2</c:v>
                </c:pt>
                <c:pt idx="42">
                  <c:v>3.6913059989126973E-2</c:v>
                </c:pt>
                <c:pt idx="43">
                  <c:v>4.1640139238722451E-2</c:v>
                </c:pt>
                <c:pt idx="44">
                  <c:v>4.8135226542253884E-2</c:v>
                </c:pt>
                <c:pt idx="45">
                  <c:v>5.7783454456295402E-2</c:v>
                </c:pt>
                <c:pt idx="46">
                  <c:v>5.5422204220258564E-2</c:v>
                </c:pt>
                <c:pt idx="47">
                  <c:v>6.6597541083223355E-2</c:v>
                </c:pt>
                <c:pt idx="48">
                  <c:v>0.12355001333193627</c:v>
                </c:pt>
                <c:pt idx="49">
                  <c:v>0.11702529453413946</c:v>
                </c:pt>
                <c:pt idx="50">
                  <c:v>-4.1573962158442668E-2</c:v>
                </c:pt>
                <c:pt idx="51">
                  <c:v>3.5316051677768412E-2</c:v>
                </c:pt>
                <c:pt idx="52">
                  <c:v>-4.5611348244737338E-3</c:v>
                </c:pt>
                <c:pt idx="53">
                  <c:v>-2.7602865169750523E-2</c:v>
                </c:pt>
                <c:pt idx="54">
                  <c:v>-4.524085752069984E-2</c:v>
                </c:pt>
                <c:pt idx="55">
                  <c:v>-5.0796671322478781E-2</c:v>
                </c:pt>
                <c:pt idx="56">
                  <c:v>-4.5692955003856506E-2</c:v>
                </c:pt>
              </c:numCache>
            </c:numRef>
          </c:val>
          <c:smooth val="0"/>
          <c:extLst>
            <c:ext xmlns:c16="http://schemas.microsoft.com/office/drawing/2014/chart" uri="{C3380CC4-5D6E-409C-BE32-E72D297353CC}">
              <c16:uniqueId val="{00000001-A6C2-438C-AD8B-2485BD217953}"/>
            </c:ext>
          </c:extLst>
        </c:ser>
        <c:ser>
          <c:idx val="1"/>
          <c:order val="1"/>
          <c:tx>
            <c:strRef>
              <c:f>Hoja1!$C$1</c:f>
              <c:strCache>
                <c:ptCount val="1"/>
                <c:pt idx="0">
                  <c:v>Aduanas</c:v>
                </c:pt>
              </c:strCache>
            </c:strRef>
          </c:tx>
          <c:spPr>
            <a:ln w="22225" cap="rnd">
              <a:solidFill>
                <a:schemeClr val="accent2"/>
              </a:solidFill>
              <a:round/>
            </a:ln>
            <a:effectLst/>
          </c:spPr>
          <c:marker>
            <c:symbol val="none"/>
          </c:marker>
          <c:dPt>
            <c:idx val="11"/>
            <c:marker>
              <c:symbol val="none"/>
            </c:marker>
            <c:bubble3D val="0"/>
            <c:extLst>
              <c:ext xmlns:c16="http://schemas.microsoft.com/office/drawing/2014/chart" uri="{C3380CC4-5D6E-409C-BE32-E72D297353CC}">
                <c16:uniqueId val="{00000006-A6C2-438C-AD8B-2485BD217953}"/>
              </c:ext>
            </c:extLst>
          </c:dPt>
          <c:dLbls>
            <c:dLbl>
              <c:idx val="56"/>
              <c:layout>
                <c:manualLayout>
                  <c:x val="-1.8039972002508034E-16"/>
                  <c:y val="5.877167205406994E-2"/>
                </c:manualLayout>
              </c:layout>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accent2"/>
                      </a:solidFill>
                      <a:latin typeface="+mn-lt"/>
                      <a:ea typeface="+mn-ea"/>
                      <a:cs typeface="+mn-cs"/>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6C2-438C-AD8B-2485BD21795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mn-lt"/>
                    <a:ea typeface="+mn-ea"/>
                    <a:cs typeface="+mn-cs"/>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Hoja1!$A$2:$A$58</c:f>
              <c:numCache>
                <c:formatCode>mmm\-yy</c:formatCode>
                <c:ptCount val="57"/>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numCache>
            </c:numRef>
          </c:cat>
          <c:val>
            <c:numRef>
              <c:f>Hoja1!$C$2:$C$58</c:f>
              <c:numCache>
                <c:formatCode>0.0%</c:formatCode>
                <c:ptCount val="57"/>
                <c:pt idx="0">
                  <c:v>-3.074061674235995E-2</c:v>
                </c:pt>
                <c:pt idx="1">
                  <c:v>-8.2683265494918334E-3</c:v>
                </c:pt>
                <c:pt idx="2">
                  <c:v>-3.4892831345091135E-2</c:v>
                </c:pt>
                <c:pt idx="3">
                  <c:v>-7.8077923586968856E-3</c:v>
                </c:pt>
                <c:pt idx="4">
                  <c:v>-7.3763902362521394E-3</c:v>
                </c:pt>
                <c:pt idx="5">
                  <c:v>7.8420292078540399E-4</c:v>
                </c:pt>
                <c:pt idx="6">
                  <c:v>-2.6337873050912619E-2</c:v>
                </c:pt>
                <c:pt idx="7">
                  <c:v>-1.2524519959355107E-2</c:v>
                </c:pt>
                <c:pt idx="8">
                  <c:v>-1.1445146411512397E-2</c:v>
                </c:pt>
                <c:pt idx="9">
                  <c:v>-1.8433826052644431E-2</c:v>
                </c:pt>
                <c:pt idx="10">
                  <c:v>-1.051112797892062E-2</c:v>
                </c:pt>
                <c:pt idx="11">
                  <c:v>-7.2746433534310873E-3</c:v>
                </c:pt>
                <c:pt idx="12">
                  <c:v>0.10614681311325014</c:v>
                </c:pt>
                <c:pt idx="13">
                  <c:v>7.2752015905392486E-2</c:v>
                </c:pt>
                <c:pt idx="14">
                  <c:v>9.3348002892399196E-2</c:v>
                </c:pt>
                <c:pt idx="15">
                  <c:v>3.0864910932986156E-2</c:v>
                </c:pt>
                <c:pt idx="16">
                  <c:v>3.4568977151425928E-2</c:v>
                </c:pt>
                <c:pt idx="17">
                  <c:v>3.9623468418318541E-2</c:v>
                </c:pt>
                <c:pt idx="18">
                  <c:v>4.9776252684956557E-2</c:v>
                </c:pt>
                <c:pt idx="19">
                  <c:v>4.8512568678109158E-2</c:v>
                </c:pt>
                <c:pt idx="20">
                  <c:v>3.9267322923518311E-2</c:v>
                </c:pt>
                <c:pt idx="21">
                  <c:v>5.3547664989434196E-2</c:v>
                </c:pt>
                <c:pt idx="22">
                  <c:v>6.4620526664914912E-2</c:v>
                </c:pt>
                <c:pt idx="23">
                  <c:v>7.1192261205467844E-2</c:v>
                </c:pt>
                <c:pt idx="24">
                  <c:v>8.3856014173852023E-2</c:v>
                </c:pt>
                <c:pt idx="25">
                  <c:v>7.2340311732032259E-2</c:v>
                </c:pt>
                <c:pt idx="26">
                  <c:v>2.8078972297937987E-2</c:v>
                </c:pt>
                <c:pt idx="27">
                  <c:v>8.8263205068506378E-2</c:v>
                </c:pt>
                <c:pt idx="28">
                  <c:v>9.9942194018473263E-2</c:v>
                </c:pt>
                <c:pt idx="29">
                  <c:v>9.0778243708949491E-2</c:v>
                </c:pt>
                <c:pt idx="30">
                  <c:v>9.6117993092632581E-2</c:v>
                </c:pt>
                <c:pt idx="31">
                  <c:v>9.362038133141648E-2</c:v>
                </c:pt>
                <c:pt idx="32">
                  <c:v>9.9634642430840969E-2</c:v>
                </c:pt>
                <c:pt idx="33">
                  <c:v>0.10646041863454814</c:v>
                </c:pt>
                <c:pt idx="34">
                  <c:v>9.5903636881582877E-2</c:v>
                </c:pt>
                <c:pt idx="35">
                  <c:v>8.7701990150353515E-2</c:v>
                </c:pt>
                <c:pt idx="36">
                  <c:v>0.14231067091366278</c:v>
                </c:pt>
                <c:pt idx="37">
                  <c:v>0.11052035471847166</c:v>
                </c:pt>
                <c:pt idx="38">
                  <c:v>0.11776701403870615</c:v>
                </c:pt>
                <c:pt idx="39">
                  <c:v>8.4371207706589679E-2</c:v>
                </c:pt>
                <c:pt idx="40">
                  <c:v>8.0291446384383569E-2</c:v>
                </c:pt>
                <c:pt idx="41">
                  <c:v>6.4402755717617888E-2</c:v>
                </c:pt>
                <c:pt idx="42">
                  <c:v>6.4084902736351479E-2</c:v>
                </c:pt>
                <c:pt idx="43">
                  <c:v>5.8328328182996048E-2</c:v>
                </c:pt>
                <c:pt idx="44">
                  <c:v>5.4179983367725004E-2</c:v>
                </c:pt>
                <c:pt idx="45">
                  <c:v>5.4293890454141902E-2</c:v>
                </c:pt>
                <c:pt idx="46">
                  <c:v>5.6123803819541074E-2</c:v>
                </c:pt>
                <c:pt idx="47">
                  <c:v>5.7210781442385228E-2</c:v>
                </c:pt>
                <c:pt idx="48">
                  <c:v>2.7905007283526517E-2</c:v>
                </c:pt>
                <c:pt idx="49">
                  <c:v>3.8650962860691473E-2</c:v>
                </c:pt>
                <c:pt idx="50">
                  <c:v>-1.1437467318872518E-2</c:v>
                </c:pt>
                <c:pt idx="51">
                  <c:v>-5.8413143875957307E-2</c:v>
                </c:pt>
                <c:pt idx="52">
                  <c:v>-0.11298967478449173</c:v>
                </c:pt>
                <c:pt idx="53">
                  <c:v>-0.11820865466328623</c:v>
                </c:pt>
                <c:pt idx="54">
                  <c:v>-0.12526525776931619</c:v>
                </c:pt>
                <c:pt idx="55">
                  <c:v>-0.12933173997672998</c:v>
                </c:pt>
                <c:pt idx="56">
                  <c:v>-0.11757513849863643</c:v>
                </c:pt>
              </c:numCache>
            </c:numRef>
          </c:val>
          <c:smooth val="0"/>
          <c:extLst>
            <c:ext xmlns:c16="http://schemas.microsoft.com/office/drawing/2014/chart" uri="{C3380CC4-5D6E-409C-BE32-E72D297353CC}">
              <c16:uniqueId val="{00000003-A6C2-438C-AD8B-2485BD217953}"/>
            </c:ext>
          </c:extLst>
        </c:ser>
        <c:ser>
          <c:idx val="2"/>
          <c:order val="2"/>
          <c:tx>
            <c:strRef>
              <c:f>Hoja1!$D$1</c:f>
              <c:strCache>
                <c:ptCount val="1"/>
                <c:pt idx="0">
                  <c:v>Totales</c:v>
                </c:pt>
              </c:strCache>
            </c:strRef>
          </c:tx>
          <c:spPr>
            <a:ln w="22225" cap="rnd">
              <a:solidFill>
                <a:schemeClr val="accent3"/>
              </a:solidFill>
              <a:round/>
            </a:ln>
            <a:effectLst/>
          </c:spPr>
          <c:marker>
            <c:symbol val="none"/>
          </c:marker>
          <c:dLbls>
            <c:dLbl>
              <c:idx val="5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6C2-438C-AD8B-2485BD217953}"/>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bg1">
                        <a:lumMod val="50000"/>
                      </a:schemeClr>
                    </a:solidFill>
                    <a:latin typeface="+mn-lt"/>
                    <a:ea typeface="+mn-ea"/>
                    <a:cs typeface="+mn-cs"/>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Hoja1!$A$2:$A$58</c:f>
              <c:numCache>
                <c:formatCode>mmm\-yy</c:formatCode>
                <c:ptCount val="57"/>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numCache>
            </c:numRef>
          </c:cat>
          <c:val>
            <c:numRef>
              <c:f>Hoja1!$D$2:$D$58</c:f>
              <c:numCache>
                <c:formatCode>0.0%</c:formatCode>
                <c:ptCount val="57"/>
                <c:pt idx="0">
                  <c:v>2.6818050354776579E-2</c:v>
                </c:pt>
                <c:pt idx="1">
                  <c:v>1.7037438450319575E-2</c:v>
                </c:pt>
                <c:pt idx="2">
                  <c:v>1.5090896491614769E-2</c:v>
                </c:pt>
                <c:pt idx="3">
                  <c:v>2.193593869869237E-2</c:v>
                </c:pt>
                <c:pt idx="4">
                  <c:v>6.3074722971557362E-2</c:v>
                </c:pt>
                <c:pt idx="5">
                  <c:v>6.605323003950736E-2</c:v>
                </c:pt>
                <c:pt idx="6">
                  <c:v>6.9339644115689492E-2</c:v>
                </c:pt>
                <c:pt idx="7">
                  <c:v>7.9831348295670734E-2</c:v>
                </c:pt>
                <c:pt idx="8">
                  <c:v>7.9010789607875553E-2</c:v>
                </c:pt>
                <c:pt idx="9">
                  <c:v>7.668263629211669E-2</c:v>
                </c:pt>
                <c:pt idx="10">
                  <c:v>8.1104109219026999E-2</c:v>
                </c:pt>
                <c:pt idx="11">
                  <c:v>8.8048669447153838E-2</c:v>
                </c:pt>
                <c:pt idx="12">
                  <c:v>6.9487050821729124E-2</c:v>
                </c:pt>
                <c:pt idx="13">
                  <c:v>7.3827022517823249E-2</c:v>
                </c:pt>
                <c:pt idx="14">
                  <c:v>0.10076874487525411</c:v>
                </c:pt>
                <c:pt idx="15">
                  <c:v>9.5007005592681271E-2</c:v>
                </c:pt>
                <c:pt idx="16">
                  <c:v>5.279739808014261E-2</c:v>
                </c:pt>
                <c:pt idx="17">
                  <c:v>7.6097434045871548E-2</c:v>
                </c:pt>
                <c:pt idx="18">
                  <c:v>6.1343282800082166E-2</c:v>
                </c:pt>
                <c:pt idx="19">
                  <c:v>5.2119232848030217E-2</c:v>
                </c:pt>
                <c:pt idx="20">
                  <c:v>4.9799934948974389E-2</c:v>
                </c:pt>
                <c:pt idx="21">
                  <c:v>5.1728134301197937E-2</c:v>
                </c:pt>
                <c:pt idx="22">
                  <c:v>5.2034143286658452E-2</c:v>
                </c:pt>
                <c:pt idx="23">
                  <c:v>4.7581650280832166E-2</c:v>
                </c:pt>
                <c:pt idx="24">
                  <c:v>9.2493921006903346E-2</c:v>
                </c:pt>
                <c:pt idx="25">
                  <c:v>7.3698015702486463E-2</c:v>
                </c:pt>
                <c:pt idx="26">
                  <c:v>4.0016680576675512E-2</c:v>
                </c:pt>
                <c:pt idx="27">
                  <c:v>4.4581969858168868E-2</c:v>
                </c:pt>
                <c:pt idx="28">
                  <c:v>5.2144869251667503E-2</c:v>
                </c:pt>
                <c:pt idx="29">
                  <c:v>2.8817404101354249E-2</c:v>
                </c:pt>
                <c:pt idx="30">
                  <c:v>3.4246820315482429E-2</c:v>
                </c:pt>
                <c:pt idx="31">
                  <c:v>3.4375806237206374E-2</c:v>
                </c:pt>
                <c:pt idx="32">
                  <c:v>3.4947805171942736E-2</c:v>
                </c:pt>
                <c:pt idx="33">
                  <c:v>3.9075881160395953E-2</c:v>
                </c:pt>
                <c:pt idx="34">
                  <c:v>4.0706969971971763E-2</c:v>
                </c:pt>
                <c:pt idx="35">
                  <c:v>3.7950676594244781E-2</c:v>
                </c:pt>
                <c:pt idx="36">
                  <c:v>4.144229832341817E-2</c:v>
                </c:pt>
                <c:pt idx="37">
                  <c:v>3.8814875506469448E-2</c:v>
                </c:pt>
                <c:pt idx="38">
                  <c:v>4.6775539995209447E-2</c:v>
                </c:pt>
                <c:pt idx="39">
                  <c:v>4.110619818220318E-2</c:v>
                </c:pt>
                <c:pt idx="40">
                  <c:v>4.6238114373573946E-2</c:v>
                </c:pt>
                <c:pt idx="41">
                  <c:v>3.9980363745735659E-2</c:v>
                </c:pt>
                <c:pt idx="42">
                  <c:v>4.4113053319681628E-2</c:v>
                </c:pt>
                <c:pt idx="43">
                  <c:v>4.6214688048084929E-2</c:v>
                </c:pt>
                <c:pt idx="44">
                  <c:v>4.983811764446E-2</c:v>
                </c:pt>
                <c:pt idx="45">
                  <c:v>5.6811428030196343E-2</c:v>
                </c:pt>
                <c:pt idx="46">
                  <c:v>5.5622459797806112E-2</c:v>
                </c:pt>
                <c:pt idx="47">
                  <c:v>6.3878097653571775E-2</c:v>
                </c:pt>
                <c:pt idx="48">
                  <c:v>9.9930227400694793E-2</c:v>
                </c:pt>
                <c:pt idx="49">
                  <c:v>9.4955364780330287E-2</c:v>
                </c:pt>
                <c:pt idx="50">
                  <c:v>-3.312863779283215E-2</c:v>
                </c:pt>
                <c:pt idx="51">
                  <c:v>1.0677030515781283E-2</c:v>
                </c:pt>
                <c:pt idx="52">
                  <c:v>-3.4558195502750189E-2</c:v>
                </c:pt>
                <c:pt idx="53">
                  <c:v>-5.3221256669586214E-2</c:v>
                </c:pt>
                <c:pt idx="54">
                  <c:v>-6.6851326198891781E-2</c:v>
                </c:pt>
                <c:pt idx="55">
                  <c:v>-7.2573884046020942E-2</c:v>
                </c:pt>
                <c:pt idx="56">
                  <c:v>-6.60269040624204E-2</c:v>
                </c:pt>
              </c:numCache>
            </c:numRef>
          </c:val>
          <c:smooth val="0"/>
          <c:extLst>
            <c:ext xmlns:c16="http://schemas.microsoft.com/office/drawing/2014/chart" uri="{C3380CC4-5D6E-409C-BE32-E72D297353CC}">
              <c16:uniqueId val="{00000005-A6C2-438C-AD8B-2485BD217953}"/>
            </c:ext>
          </c:extLst>
        </c:ser>
        <c:dLbls>
          <c:showLegendKey val="0"/>
          <c:showVal val="1"/>
          <c:showCatName val="0"/>
          <c:showSerName val="0"/>
          <c:showPercent val="0"/>
          <c:showBubbleSize val="0"/>
        </c:dLbls>
        <c:smooth val="0"/>
        <c:axId val="384392984"/>
        <c:axId val="384392000"/>
      </c:lineChart>
      <c:dateAx>
        <c:axId val="384392984"/>
        <c:scaling>
          <c:orientation val="minMax"/>
          <c:max val="44075"/>
        </c:scaling>
        <c:delete val="0"/>
        <c:axPos val="b"/>
        <c:numFmt formatCode="mmm\-yy"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4392000"/>
        <c:crosses val="autoZero"/>
        <c:auto val="0"/>
        <c:lblOffset val="100"/>
        <c:baseTimeUnit val="months"/>
        <c:majorUnit val="4"/>
        <c:majorTimeUnit val="months"/>
      </c:dateAx>
      <c:valAx>
        <c:axId val="384392000"/>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4392984"/>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4.9809880775973113E-2"/>
          <c:y val="0.90792052403969625"/>
          <c:w val="0.89054014004706972"/>
          <c:h val="9.207947596030366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sz="800"/>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3233285876166"/>
          <c:y val="2.3292535168499127E-2"/>
          <c:w val="0.76832611790684835"/>
          <c:h val="0.92138731799418538"/>
        </c:manualLayout>
      </c:layout>
      <c:barChart>
        <c:barDir val="bar"/>
        <c:grouping val="clustered"/>
        <c:varyColors val="0"/>
        <c:ser>
          <c:idx val="0"/>
          <c:order val="0"/>
          <c:tx>
            <c:strRef>
              <c:f>Hoja1!$B$1</c:f>
              <c:strCache>
                <c:ptCount val="1"/>
                <c:pt idx="0">
                  <c:v>2020-2019</c:v>
                </c:pt>
              </c:strCache>
            </c:strRef>
          </c:tx>
          <c:spPr>
            <a:solidFill>
              <a:schemeClr val="accent1"/>
            </a:solidFill>
            <a:ln>
              <a:noFill/>
            </a:ln>
            <a:effectLst/>
          </c:spPr>
          <c:invertIfNegative val="0"/>
          <c:dLbls>
            <c:dLbl>
              <c:idx val="12"/>
              <c:layout>
                <c:manualLayout>
                  <c:x val="0"/>
                  <c:y val="3.60360360360360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65-4D9A-8155-B5D307C0BC81}"/>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Hoja1!$A$2:$A$19</c:f>
              <c:strCache>
                <c:ptCount val="18"/>
                <c:pt idx="0">
                  <c:v>IVA imp</c:v>
                </c:pt>
                <c:pt idx="1">
                  <c:v>ISR</c:v>
                </c:pt>
                <c:pt idx="2">
                  <c:v>Petróleo</c:v>
                </c:pt>
                <c:pt idx="3">
                  <c:v>DAI</c:v>
                </c:pt>
                <c:pt idx="4">
                  <c:v>Vehículos</c:v>
                </c:pt>
                <c:pt idx="5">
                  <c:v>IVA imp</c:v>
                </c:pt>
                <c:pt idx="6">
                  <c:v>Salidas</c:v>
                </c:pt>
                <c:pt idx="7">
                  <c:v>IPRIMA</c:v>
                </c:pt>
                <c:pt idx="8">
                  <c:v>Timbres</c:v>
                </c:pt>
                <c:pt idx="9">
                  <c:v>Tabacos</c:v>
                </c:pt>
                <c:pt idx="10">
                  <c:v>Regalías</c:v>
                </c:pt>
                <c:pt idx="11">
                  <c:v>Propiedad</c:v>
                </c:pt>
                <c:pt idx="12">
                  <c:v>IETAAP</c:v>
                </c:pt>
                <c:pt idx="13">
                  <c:v>Otros</c:v>
                </c:pt>
                <c:pt idx="14">
                  <c:v>IEMA</c:v>
                </c:pt>
                <c:pt idx="15">
                  <c:v>Bebidas</c:v>
                </c:pt>
                <c:pt idx="16">
                  <c:v>Cemento</c:v>
                </c:pt>
                <c:pt idx="17">
                  <c:v>ISO</c:v>
                </c:pt>
              </c:strCache>
            </c:strRef>
          </c:cat>
          <c:val>
            <c:numRef>
              <c:f>Hoja1!$B$2:$B$19</c:f>
              <c:numCache>
                <c:formatCode>#,##0.0</c:formatCode>
                <c:ptCount val="18"/>
                <c:pt idx="0">
                  <c:v>-1250.4555028100021</c:v>
                </c:pt>
                <c:pt idx="1">
                  <c:v>-366.01892654999938</c:v>
                </c:pt>
                <c:pt idx="2">
                  <c:v>-354.94302966000078</c:v>
                </c:pt>
                <c:pt idx="3">
                  <c:v>-273.99105533000034</c:v>
                </c:pt>
                <c:pt idx="4">
                  <c:v>-241.20520019999992</c:v>
                </c:pt>
                <c:pt idx="5">
                  <c:v>-214.48537193000084</c:v>
                </c:pt>
                <c:pt idx="6">
                  <c:v>-157.23126916000001</c:v>
                </c:pt>
                <c:pt idx="7">
                  <c:v>-154.74208911999995</c:v>
                </c:pt>
                <c:pt idx="8">
                  <c:v>-68.164354439999954</c:v>
                </c:pt>
                <c:pt idx="9">
                  <c:v>-64.323317390000057</c:v>
                </c:pt>
                <c:pt idx="10">
                  <c:v>-33.647076069999983</c:v>
                </c:pt>
                <c:pt idx="11">
                  <c:v>-25.802137549999998</c:v>
                </c:pt>
                <c:pt idx="12">
                  <c:v>-3.44061488</c:v>
                </c:pt>
                <c:pt idx="13">
                  <c:v>0.26246377999999915</c:v>
                </c:pt>
                <c:pt idx="14">
                  <c:v>1.9382655000000002</c:v>
                </c:pt>
                <c:pt idx="15">
                  <c:v>4.1362557399999105</c:v>
                </c:pt>
                <c:pt idx="16">
                  <c:v>7.5865423200000066</c:v>
                </c:pt>
                <c:pt idx="17">
                  <c:v>168.1902455899999</c:v>
                </c:pt>
              </c:numCache>
            </c:numRef>
          </c:val>
          <c:extLst>
            <c:ext xmlns:c16="http://schemas.microsoft.com/office/drawing/2014/chart" uri="{C3380CC4-5D6E-409C-BE32-E72D297353CC}">
              <c16:uniqueId val="{00000001-5D65-4D9A-8155-B5D307C0BC81}"/>
            </c:ext>
          </c:extLst>
        </c:ser>
        <c:ser>
          <c:idx val="1"/>
          <c:order val="1"/>
          <c:tx>
            <c:strRef>
              <c:f>Hoja1!$C$1</c:f>
              <c:strCache>
                <c:ptCount val="1"/>
                <c:pt idx="0">
                  <c:v>2020-Pres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Hoja1!$A$2:$A$19</c:f>
              <c:strCache>
                <c:ptCount val="18"/>
                <c:pt idx="0">
                  <c:v>IVA imp</c:v>
                </c:pt>
                <c:pt idx="1">
                  <c:v>ISR</c:v>
                </c:pt>
                <c:pt idx="2">
                  <c:v>Petróleo</c:v>
                </c:pt>
                <c:pt idx="3">
                  <c:v>DAI</c:v>
                </c:pt>
                <c:pt idx="4">
                  <c:v>Vehículos</c:v>
                </c:pt>
                <c:pt idx="5">
                  <c:v>IVA imp</c:v>
                </c:pt>
                <c:pt idx="6">
                  <c:v>Salidas</c:v>
                </c:pt>
                <c:pt idx="7">
                  <c:v>IPRIMA</c:v>
                </c:pt>
                <c:pt idx="8">
                  <c:v>Timbres</c:v>
                </c:pt>
                <c:pt idx="9">
                  <c:v>Tabacos</c:v>
                </c:pt>
                <c:pt idx="10">
                  <c:v>Regalías</c:v>
                </c:pt>
                <c:pt idx="11">
                  <c:v>Propiedad</c:v>
                </c:pt>
                <c:pt idx="12">
                  <c:v>IETAAP</c:v>
                </c:pt>
                <c:pt idx="13">
                  <c:v>Otros</c:v>
                </c:pt>
                <c:pt idx="14">
                  <c:v>IEMA</c:v>
                </c:pt>
                <c:pt idx="15">
                  <c:v>Bebidas</c:v>
                </c:pt>
                <c:pt idx="16">
                  <c:v>Cemento</c:v>
                </c:pt>
                <c:pt idx="17">
                  <c:v>ISO</c:v>
                </c:pt>
              </c:strCache>
            </c:strRef>
          </c:cat>
          <c:val>
            <c:numRef>
              <c:f>Hoja1!$C$2:$C$19</c:f>
              <c:numCache>
                <c:formatCode>#,##0.0</c:formatCode>
                <c:ptCount val="18"/>
                <c:pt idx="0">
                  <c:v>-1831.9512772200032</c:v>
                </c:pt>
                <c:pt idx="1">
                  <c:v>-598.86924895000084</c:v>
                </c:pt>
                <c:pt idx="2">
                  <c:v>-211.32520105000049</c:v>
                </c:pt>
                <c:pt idx="3">
                  <c:v>-287.47112573999993</c:v>
                </c:pt>
                <c:pt idx="4">
                  <c:v>-256.18825120999998</c:v>
                </c:pt>
                <c:pt idx="5">
                  <c:v>-1013.0249921199993</c:v>
                </c:pt>
                <c:pt idx="6">
                  <c:v>-153.61628711566277</c:v>
                </c:pt>
                <c:pt idx="7">
                  <c:v>-204.64610624999989</c:v>
                </c:pt>
                <c:pt idx="8">
                  <c:v>-114.73384519000007</c:v>
                </c:pt>
                <c:pt idx="9">
                  <c:v>-69.410860330000048</c:v>
                </c:pt>
                <c:pt idx="10">
                  <c:v>-71.906532605150844</c:v>
                </c:pt>
                <c:pt idx="11">
                  <c:v>-14.855580339999998</c:v>
                </c:pt>
                <c:pt idx="12">
                  <c:v>2.6630615400000002</c:v>
                </c:pt>
                <c:pt idx="13">
                  <c:v>-0.78433073000000064</c:v>
                </c:pt>
                <c:pt idx="14">
                  <c:v>1.9382655000000002</c:v>
                </c:pt>
                <c:pt idx="15">
                  <c:v>28.738293779999935</c:v>
                </c:pt>
                <c:pt idx="16">
                  <c:v>4.4659458000000001</c:v>
                </c:pt>
                <c:pt idx="17">
                  <c:v>-40.150416019999739</c:v>
                </c:pt>
              </c:numCache>
            </c:numRef>
          </c:val>
          <c:extLst>
            <c:ext xmlns:c16="http://schemas.microsoft.com/office/drawing/2014/chart" uri="{C3380CC4-5D6E-409C-BE32-E72D297353CC}">
              <c16:uniqueId val="{00000002-5D65-4D9A-8155-B5D307C0BC81}"/>
            </c:ext>
          </c:extLst>
        </c:ser>
        <c:dLbls>
          <c:showLegendKey val="0"/>
          <c:showVal val="0"/>
          <c:showCatName val="0"/>
          <c:showSerName val="0"/>
          <c:showPercent val="0"/>
          <c:showBubbleSize val="0"/>
        </c:dLbls>
        <c:gapWidth val="50"/>
        <c:axId val="611096848"/>
        <c:axId val="611093568"/>
      </c:barChart>
      <c:catAx>
        <c:axId val="61109684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11093568"/>
        <c:crosses val="autoZero"/>
        <c:auto val="1"/>
        <c:lblAlgn val="ctr"/>
        <c:lblOffset val="100"/>
        <c:noMultiLvlLbl val="0"/>
      </c:catAx>
      <c:valAx>
        <c:axId val="611093568"/>
        <c:scaling>
          <c:orientation val="minMax"/>
          <c:min val="-3500"/>
        </c:scaling>
        <c:delete val="0"/>
        <c:axPos val="b"/>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11096848"/>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19477283821064043"/>
          <c:y val="4.7991487550542659E-2"/>
          <c:w val="0.23432207960306337"/>
          <c:h val="8.5126480811520175E-2"/>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sz="700"/>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36342411872737"/>
          <c:y val="2.0228430350315799E-2"/>
          <c:w val="0.87657127136728308"/>
          <c:h val="0.76884670238138042"/>
        </c:manualLayout>
      </c:layout>
      <c:barChart>
        <c:barDir val="col"/>
        <c:grouping val="clustered"/>
        <c:varyColors val="0"/>
        <c:ser>
          <c:idx val="1"/>
          <c:order val="1"/>
          <c:tx>
            <c:strRef>
              <c:f>Sheet1!$C$1</c:f>
              <c:strCache>
                <c:ptCount val="1"/>
                <c:pt idx="0">
                  <c:v>2020</c:v>
                </c:pt>
              </c:strCache>
            </c:strRef>
          </c:tx>
          <c:spPr>
            <a:solidFill>
              <a:srgbClr val="FF7C80"/>
            </a:solidFill>
            <a:ln w="12700">
              <a:solidFill>
                <a:schemeClr val="tx1"/>
              </a:solidFill>
            </a:ln>
            <a:effectLst/>
          </c:spPr>
          <c:invertIfNegative val="0"/>
          <c:dLbls>
            <c:dLbl>
              <c:idx val="2"/>
              <c:layout>
                <c:manualLayout>
                  <c:x val="0"/>
                  <c:y val="2.8820525942381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774-4F34-B013-43B6792BB83B}"/>
                </c:ext>
              </c:extLst>
            </c:dLbl>
            <c:dLbl>
              <c:idx val="3"/>
              <c:layout>
                <c:manualLayout>
                  <c:x val="0"/>
                  <c:y val="2.4685562753695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74-4F34-B013-43B6792BB83B}"/>
                </c:ext>
              </c:extLst>
            </c:dLbl>
            <c:dLbl>
              <c:idx val="8"/>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774-4F34-B013-43B6792BB83B}"/>
                </c:ext>
              </c:extLst>
            </c:dLbl>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Sheet1!$C$2:$C$13</c:f>
              <c:numCache>
                <c:formatCode>0.0</c:formatCode>
                <c:ptCount val="12"/>
                <c:pt idx="0">
                  <c:v>4.8191861258905817</c:v>
                </c:pt>
                <c:pt idx="1">
                  <c:v>9.5655130970186519E-2</c:v>
                </c:pt>
                <c:pt idx="2">
                  <c:v>2.3974325379896584</c:v>
                </c:pt>
                <c:pt idx="3">
                  <c:v>-1.9848700717106169</c:v>
                </c:pt>
                <c:pt idx="4">
                  <c:v>4.2224631181484256</c:v>
                </c:pt>
                <c:pt idx="5">
                  <c:v>9.0680434021580965</c:v>
                </c:pt>
                <c:pt idx="6">
                  <c:v>10.232293442045986</c:v>
                </c:pt>
                <c:pt idx="7">
                  <c:v>12.533229099769343</c:v>
                </c:pt>
                <c:pt idx="8">
                  <c:v>14.872198669992656</c:v>
                </c:pt>
              </c:numCache>
            </c:numRef>
          </c:val>
          <c:extLst>
            <c:ext xmlns:c16="http://schemas.microsoft.com/office/drawing/2014/chart" uri="{C3380CC4-5D6E-409C-BE32-E72D297353CC}">
              <c16:uniqueId val="{00000003-F774-4F34-B013-43B6792BB83B}"/>
            </c:ext>
          </c:extLst>
        </c:ser>
        <c:dLbls>
          <c:showLegendKey val="0"/>
          <c:showVal val="0"/>
          <c:showCatName val="0"/>
          <c:showSerName val="0"/>
          <c:showPercent val="0"/>
          <c:showBubbleSize val="0"/>
        </c:dLbls>
        <c:gapWidth val="62"/>
        <c:overlap val="-27"/>
        <c:axId val="287593168"/>
        <c:axId val="287595464"/>
      </c:barChart>
      <c:lineChart>
        <c:grouping val="stacked"/>
        <c:varyColors val="0"/>
        <c:ser>
          <c:idx val="0"/>
          <c:order val="0"/>
          <c:tx>
            <c:strRef>
              <c:f>Sheet1!$B$1</c:f>
              <c:strCache>
                <c:ptCount val="1"/>
                <c:pt idx="0">
                  <c:v>2019</c:v>
                </c:pt>
              </c:strCache>
            </c:strRef>
          </c:tx>
          <c:spPr>
            <a:ln w="15875" cap="rnd">
              <a:solidFill>
                <a:schemeClr val="accent1"/>
              </a:solidFill>
              <a:prstDash val="sysDash"/>
              <a:round/>
            </a:ln>
            <a:effectLst/>
          </c:spPr>
          <c:marker>
            <c:symbol val="circle"/>
            <c:size val="5"/>
            <c:spPr>
              <a:solidFill>
                <a:schemeClr val="accent1"/>
              </a:solidFill>
              <a:ln w="3175">
                <a:solidFill>
                  <a:schemeClr val="accent1"/>
                </a:solidFill>
              </a:ln>
              <a:effectLst/>
            </c:spPr>
          </c:marker>
          <c:dLbls>
            <c:dLbl>
              <c:idx val="0"/>
              <c:layout>
                <c:manualLayout>
                  <c:x val="-5.6657223796033995E-2"/>
                  <c:y val="-4.72673559822747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774-4F34-B013-43B6792BB83B}"/>
                </c:ext>
              </c:extLst>
            </c:dLbl>
            <c:dLbl>
              <c:idx val="1"/>
              <c:layout>
                <c:manualLayout>
                  <c:x val="-8.0264400377714831E-2"/>
                  <c:y val="2.9542097488921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774-4F34-B013-43B6792BB83B}"/>
                </c:ext>
              </c:extLst>
            </c:dLbl>
            <c:dLbl>
              <c:idx val="2"/>
              <c:layout>
                <c:manualLayout>
                  <c:x val="-5.6657223796034037E-2"/>
                  <c:y val="4.72673559822747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774-4F34-B013-43B6792BB83B}"/>
                </c:ext>
              </c:extLst>
            </c:dLbl>
            <c:dLbl>
              <c:idx val="3"/>
              <c:layout>
                <c:manualLayout>
                  <c:x val="-6.1378659112370205E-2"/>
                  <c:y val="-4.13589364844903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774-4F34-B013-43B6792BB83B}"/>
                </c:ext>
              </c:extLst>
            </c:dLbl>
            <c:dLbl>
              <c:idx val="4"/>
              <c:layout>
                <c:manualLayout>
                  <c:x val="-6.1378659112370205E-2"/>
                  <c:y val="-3.54505169867060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774-4F34-B013-43B6792BB83B}"/>
                </c:ext>
              </c:extLst>
            </c:dLbl>
            <c:dLbl>
              <c:idx val="5"/>
              <c:layout>
                <c:manualLayout>
                  <c:x val="-5.1935788479697917E-2"/>
                  <c:y val="-3.54505169867060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774-4F34-B013-43B6792BB83B}"/>
                </c:ext>
              </c:extLst>
            </c:dLbl>
            <c:dLbl>
              <c:idx val="6"/>
              <c:layout>
                <c:manualLayout>
                  <c:x val="-6.1378659112370164E-2"/>
                  <c:y val="-4.72673559822747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774-4F34-B013-43B6792BB83B}"/>
                </c:ext>
              </c:extLst>
            </c:dLbl>
            <c:dLbl>
              <c:idx val="7"/>
              <c:layout>
                <c:manualLayout>
                  <c:x val="-6.1378659112370247E-2"/>
                  <c:y val="-4.13589364844903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774-4F34-B013-43B6792BB83B}"/>
                </c:ext>
              </c:extLst>
            </c:dLbl>
            <c:dLbl>
              <c:idx val="8"/>
              <c:layout>
                <c:manualLayout>
                  <c:x val="-7.5542965061378739E-2"/>
                  <c:y val="4.72673559822747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774-4F34-B013-43B6792BB83B}"/>
                </c:ext>
              </c:extLst>
            </c:dLbl>
            <c:dLbl>
              <c:idx val="9"/>
              <c:layout>
                <c:manualLayout>
                  <c:x val="-7.5542965061378739E-2"/>
                  <c:y val="3.54505169867060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774-4F34-B013-43B6792BB83B}"/>
                </c:ext>
              </c:extLst>
            </c:dLbl>
            <c:dLbl>
              <c:idx val="10"/>
              <c:layout>
                <c:manualLayout>
                  <c:x val="-6.6100094428706332E-2"/>
                  <c:y val="4.13589364844903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774-4F34-B013-43B6792BB83B}"/>
                </c:ext>
              </c:extLst>
            </c:dLbl>
            <c:dLbl>
              <c:idx val="11"/>
              <c:layout>
                <c:manualLayout>
                  <c:x val="-9.442870632672332E-3"/>
                  <c:y val="3.54505169867060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774-4F34-B013-43B6792BB83B}"/>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Sheet1!$B$2:$B$13</c:f>
              <c:numCache>
                <c:formatCode>0.0</c:formatCode>
                <c:ptCount val="12"/>
                <c:pt idx="0">
                  <c:v>20.715694271915368</c:v>
                </c:pt>
                <c:pt idx="1">
                  <c:v>17.630002749494039</c:v>
                </c:pt>
                <c:pt idx="2">
                  <c:v>18.165392937803176</c:v>
                </c:pt>
                <c:pt idx="3">
                  <c:v>20.703408806932089</c:v>
                </c:pt>
                <c:pt idx="4">
                  <c:v>17.578750434332633</c:v>
                </c:pt>
                <c:pt idx="5">
                  <c:v>16.508106889104582</c:v>
                </c:pt>
                <c:pt idx="6">
                  <c:v>14.01542103722484</c:v>
                </c:pt>
                <c:pt idx="7">
                  <c:v>13.125863649471839</c:v>
                </c:pt>
                <c:pt idx="8">
                  <c:v>13.157770371012447</c:v>
                </c:pt>
                <c:pt idx="9">
                  <c:v>13.088136423900721</c:v>
                </c:pt>
                <c:pt idx="10">
                  <c:v>11.442904301610966</c:v>
                </c:pt>
                <c:pt idx="11">
                  <c:v>9.8002902457205749</c:v>
                </c:pt>
              </c:numCache>
            </c:numRef>
          </c:val>
          <c:smooth val="0"/>
          <c:extLst>
            <c:ext xmlns:c16="http://schemas.microsoft.com/office/drawing/2014/chart" uri="{C3380CC4-5D6E-409C-BE32-E72D297353CC}">
              <c16:uniqueId val="{00000010-F774-4F34-B013-43B6792BB83B}"/>
            </c:ext>
          </c:extLst>
        </c:ser>
        <c:dLbls>
          <c:showLegendKey val="0"/>
          <c:showVal val="0"/>
          <c:showCatName val="0"/>
          <c:showSerName val="0"/>
          <c:showPercent val="0"/>
          <c:showBubbleSize val="0"/>
        </c:dLbls>
        <c:marker val="1"/>
        <c:smooth val="0"/>
        <c:axId val="287593168"/>
        <c:axId val="287595464"/>
      </c:lineChart>
      <c:catAx>
        <c:axId val="2875931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87595464"/>
        <c:crosses val="autoZero"/>
        <c:auto val="1"/>
        <c:lblAlgn val="ctr"/>
        <c:lblOffset val="100"/>
        <c:noMultiLvlLbl val="0"/>
      </c:catAx>
      <c:valAx>
        <c:axId val="287595464"/>
        <c:scaling>
          <c:orientation val="minMax"/>
          <c:min val="-5"/>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87593168"/>
        <c:crosses val="autoZero"/>
        <c:crossBetween val="between"/>
      </c:valAx>
      <c:spPr>
        <a:noFill/>
        <a:ln>
          <a:noFill/>
        </a:ln>
        <a:effectLst/>
      </c:spPr>
    </c:plotArea>
    <c:legend>
      <c:legendPos val="b"/>
      <c:layout>
        <c:manualLayout>
          <c:xMode val="edge"/>
          <c:yMode val="edge"/>
          <c:x val="0.68602455146364505"/>
          <c:y val="3.2924783958873681E-2"/>
          <c:w val="0.25118035882908402"/>
          <c:h val="0.1753470033380243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207307558661745"/>
          <c:y val="2.6944039402482106E-2"/>
          <c:w val="0.62915897690439126"/>
          <c:h val="0.8670364969810872"/>
        </c:manualLayout>
      </c:layout>
      <c:barChart>
        <c:barDir val="bar"/>
        <c:grouping val="clustered"/>
        <c:varyColors val="0"/>
        <c:ser>
          <c:idx val="0"/>
          <c:order val="0"/>
          <c:tx>
            <c:strRef>
              <c:f>Hoja1!$B$1</c:f>
              <c:strCache>
                <c:ptCount val="1"/>
                <c:pt idx="0">
                  <c:v>2019</c:v>
                </c:pt>
              </c:strCache>
            </c:strRef>
          </c:tx>
          <c:spPr>
            <a:solidFill>
              <a:schemeClr val="accent1">
                <a:lumMod val="75000"/>
              </a:schemeClr>
            </a:solidFill>
            <a:ln w="15875">
              <a:solidFill>
                <a:schemeClr val="tx2">
                  <a:lumMod val="50000"/>
                </a:schemeClr>
              </a:solidFill>
            </a:ln>
            <a:effectLst>
              <a:outerShdw blurRad="50800" dist="38100" algn="l" rotWithShape="0">
                <a:prstClr val="black">
                  <a:alpha val="40000"/>
                </a:prstClr>
              </a:outerShdw>
            </a:effectLst>
          </c:spPr>
          <c:invertIfNegative val="0"/>
          <c:dLbls>
            <c:dLbl>
              <c:idx val="5"/>
              <c:layout>
                <c:manualLayout>
                  <c:x val="-7.6408787010507611E-3"/>
                  <c:y val="5.48696844993141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81-40BE-9141-A3A7D88EC3A1}"/>
                </c:ext>
              </c:extLst>
            </c:dLbl>
            <c:dLbl>
              <c:idx val="6"/>
              <c:layout>
                <c:manualLayout>
                  <c:x val="-3.8204393505253805E-3"/>
                  <c:y val="5.48696844993141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81-40BE-9141-A3A7D88EC3A1}"/>
                </c:ext>
              </c:extLst>
            </c:dLbl>
            <c:dLbl>
              <c:idx val="7"/>
              <c:layout>
                <c:manualLayout>
                  <c:x val="-3.8204393505253103E-3"/>
                  <c:y val="5.48696844993141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681-40BE-9141-A3A7D88EC3A1}"/>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Inversión Real Directa </c:v>
                </c:pt>
                <c:pt idx="1">
                  <c:v>Trans. De Capital</c:v>
                </c:pt>
                <c:pt idx="2">
                  <c:v>Bienes y servicios </c:v>
                </c:pt>
                <c:pt idx="3">
                  <c:v>Prestaciones a la S.S</c:v>
                </c:pt>
                <c:pt idx="4">
                  <c:v>Intereses </c:v>
                </c:pt>
                <c:pt idx="5">
                  <c:v>Remuneraciones </c:v>
                </c:pt>
                <c:pt idx="6">
                  <c:v>Inversión Financiera</c:v>
                </c:pt>
                <c:pt idx="7">
                  <c:v>Trans. Corrientes</c:v>
                </c:pt>
              </c:strCache>
            </c:strRef>
          </c:cat>
          <c:val>
            <c:numRef>
              <c:f>Hoja1!$B$2:$B$9</c:f>
              <c:numCache>
                <c:formatCode>#,##0.0</c:formatCode>
                <c:ptCount val="8"/>
                <c:pt idx="0">
                  <c:v>1003.0280214100003</c:v>
                </c:pt>
                <c:pt idx="1">
                  <c:v>1260.9219245799995</c:v>
                </c:pt>
                <c:pt idx="2">
                  <c:v>208.16289744999995</c:v>
                </c:pt>
                <c:pt idx="3">
                  <c:v>404.75854626999944</c:v>
                </c:pt>
                <c:pt idx="4" formatCode="0.0">
                  <c:v>660.81617810999978</c:v>
                </c:pt>
                <c:pt idx="5">
                  <c:v>1660.3932717400021</c:v>
                </c:pt>
                <c:pt idx="6">
                  <c:v>-6.7299731899999982</c:v>
                </c:pt>
                <c:pt idx="7">
                  <c:v>1400.5725660999997</c:v>
                </c:pt>
              </c:numCache>
            </c:numRef>
          </c:val>
          <c:extLst>
            <c:ext xmlns:c16="http://schemas.microsoft.com/office/drawing/2014/chart" uri="{C3380CC4-5D6E-409C-BE32-E72D297353CC}">
              <c16:uniqueId val="{00000003-F681-40BE-9141-A3A7D88EC3A1}"/>
            </c:ext>
          </c:extLst>
        </c:ser>
        <c:ser>
          <c:idx val="1"/>
          <c:order val="1"/>
          <c:tx>
            <c:strRef>
              <c:f>Hoja1!$C$1</c:f>
              <c:strCache>
                <c:ptCount val="1"/>
                <c:pt idx="0">
                  <c:v>2020</c:v>
                </c:pt>
              </c:strCache>
            </c:strRef>
          </c:tx>
          <c:spPr>
            <a:solidFill>
              <a:schemeClr val="accent6">
                <a:lumMod val="75000"/>
              </a:schemeClr>
            </a:solidFill>
            <a:ln w="15875">
              <a:solidFill>
                <a:schemeClr val="accent6">
                  <a:lumMod val="50000"/>
                </a:schemeClr>
              </a:solidFill>
            </a:ln>
            <a:effectLst>
              <a:outerShdw blurRad="50800" dist="38100" dir="2700000" algn="tl" rotWithShape="0">
                <a:prstClr val="black">
                  <a:alpha val="40000"/>
                </a:prstClr>
              </a:outerShdw>
            </a:effectLst>
          </c:spPr>
          <c:invertIfNegative val="0"/>
          <c:dPt>
            <c:idx val="7"/>
            <c:invertIfNegative val="0"/>
            <c:bubble3D val="0"/>
            <c:spPr>
              <a:solidFill>
                <a:schemeClr val="accent6">
                  <a:lumMod val="75000"/>
                </a:schemeClr>
              </a:solidFill>
              <a:ln w="15875">
                <a:solidFill>
                  <a:schemeClr val="accent6">
                    <a:lumMod val="50000"/>
                  </a:schemeClr>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5-F681-40BE-9141-A3A7D88EC3A1}"/>
              </c:ext>
            </c:extLst>
          </c:dPt>
          <c:dLbls>
            <c:dLbl>
              <c:idx val="0"/>
              <c:layout>
                <c:manualLayout>
                  <c:x val="-1.1461127086076656E-2"/>
                  <c:y val="-2.48756218905472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681-40BE-9141-A3A7D88EC3A1}"/>
                </c:ext>
              </c:extLst>
            </c:dLbl>
            <c:dLbl>
              <c:idx val="1"/>
              <c:layout>
                <c:manualLayout>
                  <c:x val="-1.1461318051575931E-2"/>
                  <c:y val="-1.005932595201579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681-40BE-9141-A3A7D88EC3A1}"/>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Inversión Real Directa </c:v>
                </c:pt>
                <c:pt idx="1">
                  <c:v>Trans. De Capital</c:v>
                </c:pt>
                <c:pt idx="2">
                  <c:v>Bienes y servicios </c:v>
                </c:pt>
                <c:pt idx="3">
                  <c:v>Prestaciones a la S.S</c:v>
                </c:pt>
                <c:pt idx="4">
                  <c:v>Intereses </c:v>
                </c:pt>
                <c:pt idx="5">
                  <c:v>Remuneraciones </c:v>
                </c:pt>
                <c:pt idx="6">
                  <c:v>Inversión Financiera</c:v>
                </c:pt>
                <c:pt idx="7">
                  <c:v>Trans. Corrientes</c:v>
                </c:pt>
              </c:strCache>
            </c:strRef>
          </c:cat>
          <c:val>
            <c:numRef>
              <c:f>Hoja1!$C$2:$C$9</c:f>
              <c:numCache>
                <c:formatCode>#,##0.0</c:formatCode>
                <c:ptCount val="8"/>
                <c:pt idx="0">
                  <c:v>-1263.2018947400002</c:v>
                </c:pt>
                <c:pt idx="1">
                  <c:v>-342.28514064999945</c:v>
                </c:pt>
                <c:pt idx="2">
                  <c:v>191.33133960000032</c:v>
                </c:pt>
                <c:pt idx="3">
                  <c:v>27.986785740000414</c:v>
                </c:pt>
                <c:pt idx="4" formatCode="0.0">
                  <c:v>217.09081820999927</c:v>
                </c:pt>
                <c:pt idx="5">
                  <c:v>1559.2452153200029</c:v>
                </c:pt>
                <c:pt idx="6">
                  <c:v>2145.5050593199999</c:v>
                </c:pt>
                <c:pt idx="7">
                  <c:v>5915.7028903099963</c:v>
                </c:pt>
              </c:numCache>
            </c:numRef>
          </c:val>
          <c:extLst>
            <c:ext xmlns:c16="http://schemas.microsoft.com/office/drawing/2014/chart" uri="{C3380CC4-5D6E-409C-BE32-E72D297353CC}">
              <c16:uniqueId val="{00000008-F681-40BE-9141-A3A7D88EC3A1}"/>
            </c:ext>
          </c:extLst>
        </c:ser>
        <c:dLbls>
          <c:showLegendKey val="0"/>
          <c:showVal val="0"/>
          <c:showCatName val="0"/>
          <c:showSerName val="0"/>
          <c:showPercent val="0"/>
          <c:showBubbleSize val="0"/>
        </c:dLbls>
        <c:gapWidth val="75"/>
        <c:axId val="441794784"/>
        <c:axId val="441790848"/>
      </c:barChart>
      <c:catAx>
        <c:axId val="44179478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441790848"/>
        <c:crosses val="autoZero"/>
        <c:auto val="1"/>
        <c:lblAlgn val="ctr"/>
        <c:lblOffset val="100"/>
        <c:noMultiLvlLbl val="0"/>
      </c:catAx>
      <c:valAx>
        <c:axId val="441790848"/>
        <c:scaling>
          <c:orientation val="minMax"/>
          <c:max val="6500"/>
          <c:min val="-150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441794784"/>
        <c:crosses val="autoZero"/>
        <c:crossBetween val="between"/>
      </c:valAx>
      <c:spPr>
        <a:noFill/>
        <a:ln>
          <a:noFill/>
        </a:ln>
        <a:effectLst/>
      </c:spPr>
    </c:plotArea>
    <c:legend>
      <c:legendPos val="b"/>
      <c:layout>
        <c:manualLayout>
          <c:xMode val="edge"/>
          <c:yMode val="edge"/>
          <c:x val="0.72899517932751245"/>
          <c:y val="0.40599850944557853"/>
          <c:w val="0.19760996924095092"/>
          <c:h val="0.1693572254085523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7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39668902540773E-2"/>
          <c:y val="3.5224826189978561E-2"/>
          <c:w val="0.90489558370421086"/>
          <c:h val="0.8196505417635076"/>
        </c:manualLayout>
      </c:layout>
      <c:barChart>
        <c:barDir val="col"/>
        <c:grouping val="clustered"/>
        <c:varyColors val="0"/>
        <c:ser>
          <c:idx val="0"/>
          <c:order val="0"/>
          <c:tx>
            <c:strRef>
              <c:f>Hoja1!$B$1</c:f>
              <c:strCache>
                <c:ptCount val="1"/>
                <c:pt idx="0">
                  <c:v>% de ejecución</c:v>
                </c:pt>
              </c:strCache>
            </c:strRef>
          </c:tx>
          <c:spPr>
            <a:solidFill>
              <a:schemeClr val="tx2">
                <a:lumMod val="60000"/>
                <a:lumOff val="40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invertIfNegative val="0"/>
          <c:dPt>
            <c:idx val="5"/>
            <c:invertIfNegative val="0"/>
            <c:bubble3D val="0"/>
            <c:spPr>
              <a:solidFill>
                <a:schemeClr val="tx2">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1-F88E-4355-A49A-0CCBF06240FE}"/>
              </c:ext>
            </c:extLst>
          </c:dPt>
          <c:dPt>
            <c:idx val="6"/>
            <c:invertIfNegative val="0"/>
            <c:bubble3D val="0"/>
            <c:spPr>
              <a:solidFill>
                <a:srgbClr val="FFC000"/>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3-F88E-4355-A49A-0CCBF06240FE}"/>
              </c:ext>
            </c:extLst>
          </c:dPt>
          <c:dLbls>
            <c:dLbl>
              <c:idx val="3"/>
              <c:layout>
                <c:manualLayout>
                  <c:x val="-8.0109772984700854E-17"/>
                  <c:y val="0.1035210221363838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88E-4355-A49A-0CCBF06240FE}"/>
                </c:ext>
              </c:extLst>
            </c:dLbl>
            <c:dLbl>
              <c:idx val="4"/>
              <c:layout>
                <c:manualLayout>
                  <c:x val="4.3696744592527058E-3"/>
                  <c:y val="0.1035210221363838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88E-4355-A49A-0CCBF06240FE}"/>
                </c:ext>
              </c:extLst>
            </c:dLbl>
            <c:dLbl>
              <c:idx val="5"/>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extLst>
                <c:ext xmlns:c16="http://schemas.microsoft.com/office/drawing/2014/chart" uri="{C3380CC4-5D6E-409C-BE32-E72D297353CC}">
                  <c16:uniqueId val="{00000001-F88E-4355-A49A-0CCBF06240FE}"/>
                </c:ext>
              </c:extLst>
            </c:dLbl>
            <c:dLbl>
              <c:idx val="6"/>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extLst>
                <c:ext xmlns:c16="http://schemas.microsoft.com/office/drawing/2014/chart" uri="{C3380CC4-5D6E-409C-BE32-E72D297353CC}">
                  <c16:uniqueId val="{00000003-F88E-4355-A49A-0CCBF06240FE}"/>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2015</c:v>
                </c:pt>
                <c:pt idx="1">
                  <c:v>2016</c:v>
                </c:pt>
                <c:pt idx="2">
                  <c:v>2017</c:v>
                </c:pt>
                <c:pt idx="3">
                  <c:v>2018</c:v>
                </c:pt>
                <c:pt idx="4">
                  <c:v>2019</c:v>
                </c:pt>
                <c:pt idx="5">
                  <c:v>2020 Con Covid-19</c:v>
                </c:pt>
                <c:pt idx="6">
                  <c:v>2021 Sin Covid-19</c:v>
                </c:pt>
              </c:strCache>
            </c:strRef>
          </c:cat>
          <c:val>
            <c:numRef>
              <c:f>Hoja1!$B$2:$B$8</c:f>
              <c:numCache>
                <c:formatCode>0.0</c:formatCode>
                <c:ptCount val="7"/>
                <c:pt idx="0">
                  <c:v>66.269997047320928</c:v>
                </c:pt>
                <c:pt idx="1">
                  <c:v>64.533764454852488</c:v>
                </c:pt>
                <c:pt idx="2">
                  <c:v>62.349842320345736</c:v>
                </c:pt>
                <c:pt idx="3">
                  <c:v>66.310085516450897</c:v>
                </c:pt>
                <c:pt idx="4">
                  <c:v>66.697171363133052</c:v>
                </c:pt>
                <c:pt idx="5">
                  <c:v>62.523755343420298</c:v>
                </c:pt>
                <c:pt idx="6">
                  <c:v>61.800671132033159</c:v>
                </c:pt>
              </c:numCache>
            </c:numRef>
          </c:val>
          <c:extLst>
            <c:ext xmlns:c16="http://schemas.microsoft.com/office/drawing/2014/chart" uri="{C3380CC4-5D6E-409C-BE32-E72D297353CC}">
              <c16:uniqueId val="{00000006-F88E-4355-A49A-0CCBF06240FE}"/>
            </c:ext>
          </c:extLst>
        </c:ser>
        <c:dLbls>
          <c:showLegendKey val="0"/>
          <c:showVal val="0"/>
          <c:showCatName val="0"/>
          <c:showSerName val="0"/>
          <c:showPercent val="0"/>
          <c:showBubbleSize val="0"/>
        </c:dLbls>
        <c:gapWidth val="50"/>
        <c:overlap val="-27"/>
        <c:axId val="660513400"/>
        <c:axId val="660507168"/>
      </c:barChart>
      <c:lineChart>
        <c:grouping val="standard"/>
        <c:varyColors val="0"/>
        <c:ser>
          <c:idx val="1"/>
          <c:order val="1"/>
          <c:tx>
            <c:strRef>
              <c:f>Hoja1!$C$1</c:f>
              <c:strCache>
                <c:ptCount val="1"/>
                <c:pt idx="0">
                  <c:v>Promedio</c:v>
                </c:pt>
              </c:strCache>
            </c:strRef>
          </c:tx>
          <c:spPr>
            <a:ln w="15875" cap="rnd">
              <a:solidFill>
                <a:srgbClr val="C00000"/>
              </a:solidFill>
              <a:prstDash val="sysDash"/>
              <a:round/>
            </a:ln>
            <a:effectLst/>
          </c:spPr>
          <c:marker>
            <c:symbol val="none"/>
          </c:marker>
          <c:dLbls>
            <c:dLbl>
              <c:idx val="2"/>
              <c:layout>
                <c:manualLayout>
                  <c:x val="-0.20974454607856124"/>
                  <c:y val="-5.1167252958106826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1"/>
              <c:showPercent val="0"/>
              <c:showBubbleSize val="0"/>
              <c:extLst>
                <c:ext xmlns:c15="http://schemas.microsoft.com/office/drawing/2012/chart" uri="{CE6537A1-D6FC-4f65-9D91-7224C49458BB}">
                  <c15:layout>
                    <c:manualLayout>
                      <c:w val="0.28619165667433361"/>
                      <c:h val="0.15151902782219379"/>
                    </c:manualLayout>
                  </c15:layout>
                </c:ext>
                <c:ext xmlns:c16="http://schemas.microsoft.com/office/drawing/2014/chart" uri="{C3380CC4-5D6E-409C-BE32-E72D297353CC}">
                  <c16:uniqueId val="{00000007-F88E-4355-A49A-0CCBF06240F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2015</c:v>
                </c:pt>
                <c:pt idx="1">
                  <c:v>2016</c:v>
                </c:pt>
                <c:pt idx="2">
                  <c:v>2017</c:v>
                </c:pt>
                <c:pt idx="3">
                  <c:v>2018</c:v>
                </c:pt>
                <c:pt idx="4">
                  <c:v>2019</c:v>
                </c:pt>
                <c:pt idx="5">
                  <c:v>2020 Con Covid-19</c:v>
                </c:pt>
                <c:pt idx="6">
                  <c:v>2021 Sin Covid-19</c:v>
                </c:pt>
              </c:strCache>
            </c:strRef>
          </c:cat>
          <c:val>
            <c:numRef>
              <c:f>Hoja1!$C$2:$C$8</c:f>
              <c:numCache>
                <c:formatCode>0.0</c:formatCode>
                <c:ptCount val="7"/>
                <c:pt idx="0">
                  <c:v>65.23217214042063</c:v>
                </c:pt>
                <c:pt idx="1">
                  <c:v>65.23217214042063</c:v>
                </c:pt>
                <c:pt idx="2">
                  <c:v>65.23217214042063</c:v>
                </c:pt>
                <c:pt idx="3">
                  <c:v>65.23217214042063</c:v>
                </c:pt>
                <c:pt idx="4">
                  <c:v>65.23217214042063</c:v>
                </c:pt>
              </c:numCache>
            </c:numRef>
          </c:val>
          <c:smooth val="0"/>
          <c:extLst>
            <c:ext xmlns:c16="http://schemas.microsoft.com/office/drawing/2014/chart" uri="{C3380CC4-5D6E-409C-BE32-E72D297353CC}">
              <c16:uniqueId val="{00000008-F88E-4355-A49A-0CCBF06240FE}"/>
            </c:ext>
          </c:extLst>
        </c:ser>
        <c:dLbls>
          <c:showLegendKey val="0"/>
          <c:showVal val="0"/>
          <c:showCatName val="0"/>
          <c:showSerName val="0"/>
          <c:showPercent val="0"/>
          <c:showBubbleSize val="0"/>
        </c:dLbls>
        <c:marker val="1"/>
        <c:smooth val="0"/>
        <c:axId val="660513400"/>
        <c:axId val="660507168"/>
      </c:lineChart>
      <c:catAx>
        <c:axId val="660513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07168"/>
        <c:crosses val="autoZero"/>
        <c:auto val="1"/>
        <c:lblAlgn val="ctr"/>
        <c:lblOffset val="100"/>
        <c:noMultiLvlLbl val="0"/>
      </c:catAx>
      <c:valAx>
        <c:axId val="660507168"/>
        <c:scaling>
          <c:orientation val="minMax"/>
          <c:max val="67.5"/>
          <c:min val="55.5"/>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1340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311229258735818"/>
          <c:y val="2.1552184025777264E-2"/>
          <c:w val="0.67595450840542404"/>
          <c:h val="0.91286999694143922"/>
        </c:manualLayout>
      </c:layout>
      <c:barChart>
        <c:barDir val="bar"/>
        <c:grouping val="clustered"/>
        <c:varyColors val="0"/>
        <c:ser>
          <c:idx val="0"/>
          <c:order val="0"/>
          <c:tx>
            <c:strRef>
              <c:f>Hoja1!$B$1</c:f>
              <c:strCache>
                <c:ptCount val="1"/>
                <c:pt idx="0">
                  <c:v>%</c:v>
                </c:pt>
              </c:strCache>
            </c:strRef>
          </c:tx>
          <c:spPr>
            <a:solidFill>
              <a:srgbClr val="FF9999">
                <a:alpha val="75000"/>
              </a:srgbClr>
            </a:solidFill>
            <a:ln>
              <a:solidFill>
                <a:schemeClr val="tx1">
                  <a:lumMod val="95000"/>
                  <a:lumOff val="5000"/>
                </a:schemeClr>
              </a:solidFill>
            </a:ln>
            <a:effectLst/>
          </c:spPr>
          <c:invertIfNegative val="0"/>
          <c:dPt>
            <c:idx val="12"/>
            <c:invertIfNegative val="0"/>
            <c:bubble3D val="0"/>
            <c:spPr>
              <a:solidFill>
                <a:srgbClr val="FF7C80">
                  <a:alpha val="75000"/>
                </a:srgbClr>
              </a:solidFill>
              <a:ln>
                <a:solidFill>
                  <a:schemeClr val="tx1">
                    <a:lumMod val="95000"/>
                    <a:lumOff val="5000"/>
                  </a:schemeClr>
                </a:solidFill>
              </a:ln>
              <a:effectLst/>
            </c:spPr>
            <c:extLst>
              <c:ext xmlns:c16="http://schemas.microsoft.com/office/drawing/2014/chart" uri="{C3380CC4-5D6E-409C-BE32-E72D297353CC}">
                <c16:uniqueId val="{00000001-EFED-42D4-BF70-2A59AF0DFAFE}"/>
              </c:ext>
            </c:extLst>
          </c:dPt>
          <c:dPt>
            <c:idx val="13"/>
            <c:invertIfNegative val="0"/>
            <c:bubble3D val="0"/>
            <c:spPr>
              <a:solidFill>
                <a:srgbClr val="C00000">
                  <a:alpha val="75000"/>
                </a:srgbClr>
              </a:solidFill>
              <a:ln>
                <a:solidFill>
                  <a:schemeClr val="tx1">
                    <a:lumMod val="95000"/>
                    <a:lumOff val="5000"/>
                  </a:schemeClr>
                </a:solidFill>
              </a:ln>
              <a:effectLst/>
            </c:spPr>
            <c:extLst>
              <c:ext xmlns:c16="http://schemas.microsoft.com/office/drawing/2014/chart" uri="{C3380CC4-5D6E-409C-BE32-E72D297353CC}">
                <c16:uniqueId val="{00000003-EFED-42D4-BF70-2A59AF0DFAFE}"/>
              </c:ext>
            </c:extLst>
          </c:dPt>
          <c:dPt>
            <c:idx val="14"/>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5-EFED-42D4-BF70-2A59AF0DFAFE}"/>
              </c:ext>
            </c:extLst>
          </c:dPt>
          <c:dLbls>
            <c:dLbl>
              <c:idx val="19"/>
              <c:layout>
                <c:manualLayout>
                  <c:x val="-1.3295143311980156E-3"/>
                  <c:y val="-4.1402713522016234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FED-42D4-BF70-2A59AF0DFAF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Hoja1!$A$2:$A$21</c:f>
              <c:strCache>
                <c:ptCount val="20"/>
                <c:pt idx="0">
                  <c:v>Agricultura</c:v>
                </c:pt>
                <c:pt idx="1">
                  <c:v>Cultura</c:v>
                </c:pt>
                <c:pt idx="2">
                  <c:v>Comunicaciones</c:v>
                </c:pt>
                <c:pt idx="3">
                  <c:v>Energía</c:v>
                </c:pt>
                <c:pt idx="4">
                  <c:v>Secretarías</c:v>
                </c:pt>
                <c:pt idx="5">
                  <c:v>Finanzas</c:v>
                </c:pt>
                <c:pt idx="6">
                  <c:v>Ambiente </c:v>
                </c:pt>
                <c:pt idx="7">
                  <c:v>Salud Pública </c:v>
                </c:pt>
                <c:pt idx="8">
                  <c:v>Trabajo </c:v>
                </c:pt>
                <c:pt idx="9">
                  <c:v>Gobernación</c:v>
                </c:pt>
                <c:pt idx="10">
                  <c:v>Defensa </c:v>
                </c:pt>
                <c:pt idx="11">
                  <c:v>MINREX</c:v>
                </c:pt>
                <c:pt idx="12">
                  <c:v>Economía</c:v>
                </c:pt>
                <c:pt idx="13">
                  <c:v>Total</c:v>
                </c:pt>
                <c:pt idx="14">
                  <c:v>Deuda Pública</c:v>
                </c:pt>
                <c:pt idx="15">
                  <c:v>Obligaciones </c:v>
                </c:pt>
                <c:pt idx="16">
                  <c:v>Presidencia</c:v>
                </c:pt>
                <c:pt idx="17">
                  <c:v>Educación </c:v>
                </c:pt>
                <c:pt idx="18">
                  <c:v>PGN</c:v>
                </c:pt>
                <c:pt idx="19">
                  <c:v>Desarrollo</c:v>
                </c:pt>
              </c:strCache>
            </c:strRef>
          </c:cat>
          <c:val>
            <c:numRef>
              <c:f>Hoja1!$B$2:$B$21</c:f>
              <c:numCache>
                <c:formatCode>0.0</c:formatCode>
                <c:ptCount val="20"/>
                <c:pt idx="0">
                  <c:v>34.71033908951307</c:v>
                </c:pt>
                <c:pt idx="1">
                  <c:v>36.272375907563735</c:v>
                </c:pt>
                <c:pt idx="2">
                  <c:v>45.954738834918388</c:v>
                </c:pt>
                <c:pt idx="3">
                  <c:v>53.825730321413502</c:v>
                </c:pt>
                <c:pt idx="4">
                  <c:v>53.851720024073998</c:v>
                </c:pt>
                <c:pt idx="5">
                  <c:v>54.183836170340193</c:v>
                </c:pt>
                <c:pt idx="6">
                  <c:v>54.560479639312916</c:v>
                </c:pt>
                <c:pt idx="7">
                  <c:v>58.069929214705738</c:v>
                </c:pt>
                <c:pt idx="8">
                  <c:v>59.174981292288045</c:v>
                </c:pt>
                <c:pt idx="9">
                  <c:v>60.045600677870439</c:v>
                </c:pt>
                <c:pt idx="10">
                  <c:v>60.133906724647403</c:v>
                </c:pt>
                <c:pt idx="11">
                  <c:v>60.479702773241975</c:v>
                </c:pt>
                <c:pt idx="12">
                  <c:v>61.726713770057209</c:v>
                </c:pt>
                <c:pt idx="13">
                  <c:v>62.523755343420298</c:v>
                </c:pt>
                <c:pt idx="14">
                  <c:v>62.597857760180688</c:v>
                </c:pt>
                <c:pt idx="15">
                  <c:v>63.850814413504523</c:v>
                </c:pt>
                <c:pt idx="16">
                  <c:v>65.4868920995671</c:v>
                </c:pt>
                <c:pt idx="17">
                  <c:v>70.224416816050024</c:v>
                </c:pt>
                <c:pt idx="18">
                  <c:v>73.005968947355939</c:v>
                </c:pt>
                <c:pt idx="19">
                  <c:v>73.408012171543476</c:v>
                </c:pt>
              </c:numCache>
            </c:numRef>
          </c:val>
          <c:extLst>
            <c:ext xmlns:c16="http://schemas.microsoft.com/office/drawing/2014/chart" uri="{C3380CC4-5D6E-409C-BE32-E72D297353CC}">
              <c16:uniqueId val="{00000007-EFED-42D4-BF70-2A59AF0DFAFE}"/>
            </c:ext>
          </c:extLst>
        </c:ser>
        <c:dLbls>
          <c:showLegendKey val="0"/>
          <c:showVal val="0"/>
          <c:showCatName val="0"/>
          <c:showSerName val="0"/>
          <c:showPercent val="0"/>
          <c:showBubbleSize val="0"/>
        </c:dLbls>
        <c:gapWidth val="100"/>
        <c:axId val="527800896"/>
        <c:axId val="527796960"/>
      </c:barChart>
      <c:catAx>
        <c:axId val="527800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796960"/>
        <c:crosses val="autoZero"/>
        <c:auto val="1"/>
        <c:lblAlgn val="ctr"/>
        <c:lblOffset val="100"/>
        <c:noMultiLvlLbl val="0"/>
      </c:catAx>
      <c:valAx>
        <c:axId val="527796960"/>
        <c:scaling>
          <c:orientation val="minMax"/>
          <c:max val="75"/>
          <c:min val="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8008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BF035C-E05B-4DCC-9BEA-86A283198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11</Pages>
  <Words>3615</Words>
  <Characters>19887</Characters>
  <Application>Microsoft Office Word</Application>
  <DocSecurity>0</DocSecurity>
  <Lines>165</Lines>
  <Paragraphs>46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 Enrique De León Meneses</dc:creator>
  <cp:lastModifiedBy>Saul Enrique De León Meneses</cp:lastModifiedBy>
  <cp:revision>21</cp:revision>
  <dcterms:created xsi:type="dcterms:W3CDTF">2020-10-15T17:07:00Z</dcterms:created>
  <dcterms:modified xsi:type="dcterms:W3CDTF">2020-10-15T21:57:00Z</dcterms:modified>
</cp:coreProperties>
</file>