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9.xml" ContentType="application/vnd.openxmlformats-officedocument.drawingml.chart+xml"/>
  <Override PartName="/word/theme/themeOverride3.xml" ContentType="application/vnd.openxmlformats-officedocument.themeOverride+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4651" w:rsidRPr="00DC723E" w:rsidRDefault="00E348DD" w:rsidP="008F312E">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7D4651" w:rsidRPr="00DC723E" w:rsidSect="00754057">
          <w:headerReference w:type="default" r:id="rId8"/>
          <w:footerReference w:type="default" r:id="rId9"/>
          <w:pgSz w:w="12240" w:h="15840" w:code="1"/>
          <w:pgMar w:top="1418" w:right="1418" w:bottom="1418" w:left="1418" w:header="709" w:footer="709" w:gutter="0"/>
          <w:cols w:space="708"/>
          <w:docGrid w:linePitch="360"/>
        </w:sectPr>
      </w:pPr>
      <w:r w:rsidRPr="00DC723E">
        <w:rPr>
          <w:rFonts w:ascii="Times New Roman" w:hAnsi="Times New Roman" w:cs="Times New Roman"/>
          <w:b/>
          <w:lang w:val="es-MX"/>
        </w:rPr>
        <w:t xml:space="preserve">En </w:t>
      </w:r>
      <w:r w:rsidR="00B44B94" w:rsidRPr="00DC723E">
        <w:rPr>
          <w:rFonts w:ascii="Times New Roman" w:hAnsi="Times New Roman" w:cs="Times New Roman"/>
          <w:b/>
          <w:lang w:val="es-MX"/>
        </w:rPr>
        <w:t>junio</w:t>
      </w:r>
      <w:r w:rsidR="003D7EBA" w:rsidRPr="00DC723E">
        <w:rPr>
          <w:rFonts w:ascii="Times New Roman" w:hAnsi="Times New Roman" w:cs="Times New Roman"/>
          <w:b/>
          <w:lang w:val="es-MX"/>
        </w:rPr>
        <w:t xml:space="preserve"> </w:t>
      </w:r>
      <w:r w:rsidR="00E37543" w:rsidRPr="00DC723E">
        <w:rPr>
          <w:rFonts w:ascii="Times New Roman" w:hAnsi="Times New Roman" w:cs="Times New Roman"/>
          <w:b/>
          <w:lang w:val="es-MX"/>
        </w:rPr>
        <w:t xml:space="preserve">se </w:t>
      </w:r>
      <w:r w:rsidR="00B44B94" w:rsidRPr="00DC723E">
        <w:rPr>
          <w:rFonts w:ascii="Times New Roman" w:hAnsi="Times New Roman" w:cs="Times New Roman"/>
          <w:b/>
          <w:lang w:val="es-MX"/>
        </w:rPr>
        <w:t xml:space="preserve">continuó ampliando el </w:t>
      </w:r>
      <w:r w:rsidR="007A1B15" w:rsidRPr="00DC723E">
        <w:rPr>
          <w:rFonts w:ascii="Times New Roman" w:hAnsi="Times New Roman" w:cs="Times New Roman"/>
          <w:b/>
          <w:lang w:val="es-MX"/>
        </w:rPr>
        <w:t>déficit</w:t>
      </w:r>
      <w:r w:rsidR="00E37543" w:rsidRPr="00DC723E">
        <w:rPr>
          <w:rFonts w:ascii="Times New Roman" w:hAnsi="Times New Roman" w:cs="Times New Roman"/>
          <w:b/>
          <w:lang w:val="es-MX"/>
        </w:rPr>
        <w:t xml:space="preserve"> </w:t>
      </w:r>
      <w:r w:rsidR="004B799B" w:rsidRPr="00DC723E">
        <w:rPr>
          <w:rFonts w:ascii="Times New Roman" w:hAnsi="Times New Roman" w:cs="Times New Roman"/>
          <w:b/>
          <w:lang w:val="es-MX"/>
        </w:rPr>
        <w:t>fiscal</w:t>
      </w:r>
    </w:p>
    <w:p w:rsidR="007D4651" w:rsidRPr="00DC723E" w:rsidRDefault="007D4651" w:rsidP="007D4651">
      <w:pPr>
        <w:pStyle w:val="Sinespaciado"/>
        <w:rPr>
          <w:rFonts w:ascii="Times New Roman" w:hAnsi="Times New Roman" w:cs="Times New Roman"/>
          <w:b/>
          <w:color w:val="FF0000"/>
          <w:sz w:val="6"/>
          <w:lang w:val="es-MX"/>
        </w:rPr>
      </w:pPr>
    </w:p>
    <w:p w:rsidR="007D4651" w:rsidRPr="00DC723E" w:rsidRDefault="007D4651" w:rsidP="007D4651">
      <w:pPr>
        <w:pStyle w:val="Sinespaciado"/>
        <w:jc w:val="center"/>
        <w:rPr>
          <w:rFonts w:ascii="Times New Roman" w:hAnsi="Times New Roman" w:cs="Times New Roman"/>
          <w:b/>
          <w:color w:val="FF0000"/>
          <w:sz w:val="16"/>
          <w:lang w:val="es-MX"/>
        </w:rPr>
      </w:pPr>
    </w:p>
    <w:p w:rsidR="009C4027" w:rsidRPr="00DC723E" w:rsidRDefault="009C4027" w:rsidP="007D4651">
      <w:pPr>
        <w:pStyle w:val="Sinespaciado"/>
        <w:jc w:val="center"/>
        <w:rPr>
          <w:rFonts w:ascii="Times New Roman" w:hAnsi="Times New Roman" w:cs="Times New Roman"/>
          <w:b/>
          <w:color w:val="FF0000"/>
          <w:lang w:val="es-MX"/>
        </w:rPr>
        <w:sectPr w:rsidR="009C4027" w:rsidRPr="00DC723E" w:rsidSect="004E358C">
          <w:type w:val="continuous"/>
          <w:pgSz w:w="12240" w:h="15840"/>
          <w:pgMar w:top="1417" w:right="1701" w:bottom="1417" w:left="1701" w:header="708" w:footer="708" w:gutter="0"/>
          <w:cols w:space="708"/>
          <w:docGrid w:linePitch="360"/>
        </w:sectPr>
      </w:pPr>
    </w:p>
    <w:p w:rsidR="00DC723E" w:rsidRPr="00D13BE4" w:rsidRDefault="00DC723E" w:rsidP="00160C55">
      <w:pPr>
        <w:pStyle w:val="Sinespaciado"/>
        <w:ind w:left="284"/>
        <w:jc w:val="both"/>
        <w:rPr>
          <w:rFonts w:ascii="Times New Roman" w:hAnsi="Times New Roman" w:cs="Times New Roman"/>
          <w:lang w:val="es-MX"/>
        </w:rPr>
      </w:pPr>
      <w:r>
        <w:rPr>
          <w:rFonts w:ascii="Times New Roman" w:hAnsi="Times New Roman" w:cs="Times New Roman"/>
          <w:lang w:val="es-MX"/>
        </w:rPr>
        <w:lastRenderedPageBreak/>
        <w:t>E</w:t>
      </w:r>
      <w:r w:rsidRPr="00F92177">
        <w:rPr>
          <w:rFonts w:ascii="Times New Roman" w:hAnsi="Times New Roman" w:cs="Times New Roman"/>
          <w:lang w:val="es-MX"/>
        </w:rPr>
        <w:t>l resultado pr</w:t>
      </w:r>
      <w:r>
        <w:rPr>
          <w:rFonts w:ascii="Times New Roman" w:hAnsi="Times New Roman" w:cs="Times New Roman"/>
          <w:lang w:val="es-MX"/>
        </w:rPr>
        <w:t xml:space="preserve">esupuestario del gobierno muestra, un </w:t>
      </w:r>
      <w:r w:rsidRPr="004B132E">
        <w:rPr>
          <w:rFonts w:ascii="Times New Roman" w:hAnsi="Times New Roman" w:cs="Times New Roman"/>
          <w:lang w:val="es-MX"/>
        </w:rPr>
        <w:t xml:space="preserve">déficit </w:t>
      </w:r>
      <w:r w:rsidRPr="00056D34">
        <w:rPr>
          <w:rFonts w:ascii="Times New Roman" w:hAnsi="Times New Roman" w:cs="Times New Roman"/>
          <w:lang w:val="es-MX"/>
        </w:rPr>
        <w:t>fiscal que se sitúa al 30 de junio de 2020 en Q9,</w:t>
      </w:r>
      <w:r>
        <w:rPr>
          <w:rFonts w:ascii="Times New Roman" w:hAnsi="Times New Roman" w:cs="Times New Roman"/>
          <w:lang w:val="es-MX"/>
        </w:rPr>
        <w:t>4</w:t>
      </w:r>
      <w:r w:rsidRPr="00056D34">
        <w:rPr>
          <w:rFonts w:ascii="Times New Roman" w:hAnsi="Times New Roman" w:cs="Times New Roman"/>
          <w:lang w:val="es-MX"/>
        </w:rPr>
        <w:t>2</w:t>
      </w:r>
      <w:r>
        <w:rPr>
          <w:rFonts w:ascii="Times New Roman" w:hAnsi="Times New Roman" w:cs="Times New Roman"/>
          <w:lang w:val="es-MX"/>
        </w:rPr>
        <w:t>5.8</w:t>
      </w:r>
      <w:r w:rsidRPr="004B132E">
        <w:rPr>
          <w:rFonts w:ascii="Times New Roman" w:hAnsi="Times New Roman" w:cs="Times New Roman"/>
          <w:lang w:val="es-MX"/>
        </w:rPr>
        <w:t xml:space="preserve"> millones</w:t>
      </w:r>
      <w:r>
        <w:rPr>
          <w:rFonts w:ascii="Times New Roman" w:hAnsi="Times New Roman" w:cs="Times New Roman"/>
          <w:lang w:val="es-MX"/>
        </w:rPr>
        <w:t>, correspondiente al 1.6% del PIB</w:t>
      </w:r>
      <w:r w:rsidRPr="00D13BE4">
        <w:rPr>
          <w:rFonts w:ascii="Times New Roman" w:hAnsi="Times New Roman" w:cs="Times New Roman"/>
          <w:lang w:val="es-MX"/>
        </w:rPr>
        <w:t xml:space="preserve">. </w:t>
      </w:r>
      <w:r>
        <w:rPr>
          <w:rFonts w:ascii="Times New Roman" w:hAnsi="Times New Roman" w:cs="Times New Roman"/>
          <w:lang w:val="es-MX"/>
        </w:rPr>
        <w:t>E</w:t>
      </w:r>
      <w:r w:rsidRPr="00D13BE4">
        <w:rPr>
          <w:rFonts w:ascii="Times New Roman" w:hAnsi="Times New Roman" w:cs="Times New Roman"/>
          <w:lang w:val="es-MX"/>
        </w:rPr>
        <w:t>n</w:t>
      </w:r>
      <w:r>
        <w:rPr>
          <w:rFonts w:ascii="Times New Roman" w:hAnsi="Times New Roman" w:cs="Times New Roman"/>
          <w:lang w:val="es-MX"/>
        </w:rPr>
        <w:t xml:space="preserve"> años anteriores este déficit fiscal es más propio del cierre de año que del primer semestre, para junio de los años anteriores en el caso de 2017 se observaba un leve superávit fiscal, mientras que en 2018 y 2019 se reportó déficit fiscal, aunque no de la magnitud del observado para el presente ejercicio fiscal.</w:t>
      </w:r>
      <w:r w:rsidRPr="00D13BE4">
        <w:rPr>
          <w:rFonts w:ascii="Times New Roman" w:hAnsi="Times New Roman" w:cs="Times New Roman"/>
          <w:lang w:val="es-MX"/>
        </w:rPr>
        <w:t xml:space="preserve"> </w:t>
      </w:r>
    </w:p>
    <w:p w:rsidR="00DC723E" w:rsidRPr="00D13BE4" w:rsidRDefault="00DC723E" w:rsidP="00160C55">
      <w:pPr>
        <w:pStyle w:val="Sinespaciado"/>
        <w:ind w:left="284"/>
        <w:jc w:val="both"/>
        <w:rPr>
          <w:rFonts w:ascii="Times New Roman" w:hAnsi="Times New Roman" w:cs="Times New Roman"/>
          <w:lang w:val="es-MX"/>
        </w:rPr>
      </w:pPr>
    </w:p>
    <w:p w:rsidR="00DC723E" w:rsidRDefault="00DC723E" w:rsidP="00160C55">
      <w:pPr>
        <w:pStyle w:val="Sinespaciado"/>
        <w:ind w:left="284"/>
        <w:jc w:val="both"/>
        <w:rPr>
          <w:rFonts w:ascii="Times New Roman" w:hAnsi="Times New Roman" w:cs="Times New Roman"/>
          <w:lang w:val="es-MX"/>
        </w:rPr>
      </w:pPr>
      <w:r>
        <w:rPr>
          <w:rFonts w:ascii="Times New Roman" w:hAnsi="Times New Roman" w:cs="Times New Roman"/>
          <w:lang w:val="es-MX"/>
        </w:rPr>
        <w:t>En los próximos meses el déficit</w:t>
      </w:r>
      <w:r w:rsidRPr="00D13BE4">
        <w:rPr>
          <w:rFonts w:ascii="Times New Roman" w:hAnsi="Times New Roman" w:cs="Times New Roman"/>
          <w:lang w:val="es-MX"/>
        </w:rPr>
        <w:t xml:space="preserve"> fiscal</w:t>
      </w:r>
      <w:r>
        <w:rPr>
          <w:rFonts w:ascii="Times New Roman" w:hAnsi="Times New Roman" w:cs="Times New Roman"/>
          <w:lang w:val="es-MX"/>
        </w:rPr>
        <w:t xml:space="preserve"> continuará ampliándose derivado de la dinámica entre los ingresos y los gastos, por una parte, la brecha negativa en la recaudación tributaria respecto a la meta considerada en el presupuesto </w:t>
      </w:r>
      <w:r>
        <w:rPr>
          <w:rFonts w:ascii="Times New Roman" w:hAnsi="Times New Roman" w:cs="Times New Roman"/>
          <w:lang w:val="es-MX"/>
        </w:rPr>
        <w:t>está</w:t>
      </w:r>
      <w:r>
        <w:rPr>
          <w:rFonts w:ascii="Times New Roman" w:hAnsi="Times New Roman" w:cs="Times New Roman"/>
          <w:lang w:val="es-MX"/>
        </w:rPr>
        <w:t xml:space="preserve"> creciendo, mientras que el gasto público reporta un mayor dinamismo respecto a lo observado en meses previos. </w:t>
      </w:r>
    </w:p>
    <w:p w:rsidR="00DC723E" w:rsidRDefault="00DC723E" w:rsidP="00160C55">
      <w:pPr>
        <w:pStyle w:val="Sinespaciado"/>
        <w:ind w:left="284"/>
        <w:jc w:val="both"/>
        <w:rPr>
          <w:rFonts w:ascii="Times New Roman" w:hAnsi="Times New Roman" w:cs="Times New Roman"/>
          <w:lang w:val="es-MX"/>
        </w:rPr>
      </w:pPr>
    </w:p>
    <w:p w:rsidR="00DC723E" w:rsidRDefault="00DC723E" w:rsidP="00160C55">
      <w:pPr>
        <w:pStyle w:val="Sinespaciado"/>
        <w:ind w:left="284"/>
        <w:jc w:val="both"/>
        <w:rPr>
          <w:rFonts w:ascii="Times New Roman" w:hAnsi="Times New Roman" w:cs="Times New Roman"/>
          <w:lang w:val="es-MX"/>
        </w:rPr>
      </w:pPr>
      <w:r>
        <w:rPr>
          <w:rFonts w:ascii="Times New Roman" w:hAnsi="Times New Roman" w:cs="Times New Roman"/>
          <w:lang w:val="es-MX"/>
        </w:rPr>
        <w:lastRenderedPageBreak/>
        <w:t>Como resultado de lo anterior, hacia finales de año el déficit podría estar cercano al 5.7% del PIB.</w:t>
      </w:r>
    </w:p>
    <w:p w:rsidR="00DC723E" w:rsidRDefault="00DC723E" w:rsidP="00160C55">
      <w:pPr>
        <w:pStyle w:val="Sinespaciado"/>
        <w:ind w:left="284"/>
        <w:jc w:val="both"/>
        <w:rPr>
          <w:rFonts w:ascii="Times New Roman" w:hAnsi="Times New Roman" w:cs="Times New Roman"/>
          <w:lang w:val="es-MX"/>
        </w:rPr>
      </w:pPr>
    </w:p>
    <w:p w:rsidR="00DC723E" w:rsidRDefault="00DC723E" w:rsidP="00160C55">
      <w:pPr>
        <w:pStyle w:val="Sinespaciado"/>
        <w:ind w:left="284"/>
        <w:jc w:val="both"/>
        <w:rPr>
          <w:rFonts w:ascii="Times New Roman" w:hAnsi="Times New Roman" w:cs="Times New Roman"/>
          <w:lang w:val="es-MX"/>
        </w:rPr>
      </w:pPr>
      <w:r>
        <w:rPr>
          <w:rFonts w:ascii="Times New Roman" w:hAnsi="Times New Roman" w:cs="Times New Roman"/>
          <w:lang w:val="es-MX"/>
        </w:rPr>
        <w:t xml:space="preserve">Una parte importante del comportamiento del gasto público estará influenciado por el gasto destinado para la atención de la emergencia sanitaria y económica ocasionada por la pandemia COVID-19, hasta la fecha la ejecución del programa 94 que </w:t>
      </w:r>
      <w:r>
        <w:rPr>
          <w:rFonts w:ascii="Times New Roman" w:hAnsi="Times New Roman" w:cs="Times New Roman"/>
          <w:lang w:val="es-MX"/>
        </w:rPr>
        <w:t>está</w:t>
      </w:r>
      <w:r>
        <w:rPr>
          <w:rFonts w:ascii="Times New Roman" w:hAnsi="Times New Roman" w:cs="Times New Roman"/>
          <w:lang w:val="es-MX"/>
        </w:rPr>
        <w:t xml:space="preserve"> relacionado a las actividades que realizan las entidades para darle atención a las necesidades de la población guatemalteca por el COVID-19 representa el 10% del gasto público total. </w:t>
      </w:r>
    </w:p>
    <w:p w:rsidR="00DC723E" w:rsidRDefault="00DC723E" w:rsidP="00160C55">
      <w:pPr>
        <w:pStyle w:val="Sinespaciado"/>
        <w:ind w:left="284"/>
        <w:jc w:val="both"/>
        <w:rPr>
          <w:rFonts w:ascii="Times New Roman" w:hAnsi="Times New Roman" w:cs="Times New Roman"/>
          <w:lang w:val="es-MX"/>
        </w:rPr>
      </w:pPr>
    </w:p>
    <w:p w:rsidR="00E37543" w:rsidRPr="00DC723E" w:rsidRDefault="00DC723E" w:rsidP="00160C55">
      <w:pPr>
        <w:pStyle w:val="Sinespaciado"/>
        <w:ind w:left="284"/>
        <w:jc w:val="both"/>
        <w:rPr>
          <w:rFonts w:ascii="Times New Roman" w:hAnsi="Times New Roman" w:cs="Times New Roman"/>
          <w:color w:val="FF0000"/>
          <w:lang w:val="es-MX"/>
        </w:rPr>
        <w:sectPr w:rsidR="00E37543" w:rsidRPr="00DC723E" w:rsidSect="007D4651">
          <w:type w:val="continuous"/>
          <w:pgSz w:w="12240" w:h="15840" w:code="1"/>
          <w:pgMar w:top="1418" w:right="1418" w:bottom="1418" w:left="1418" w:header="709" w:footer="709" w:gutter="0"/>
          <w:cols w:num="2" w:space="708"/>
          <w:docGrid w:linePitch="360"/>
        </w:sectPr>
      </w:pPr>
      <w:r>
        <w:rPr>
          <w:rFonts w:ascii="Times New Roman" w:hAnsi="Times New Roman" w:cs="Times New Roman"/>
          <w:lang w:val="es-MX"/>
        </w:rPr>
        <w:t>Junio ha sido el mes con la ejecución más alta del 2020, siendo de Q8,971.4 millones. En términos acumulados representa un crecimiento absoluto de Q3,406.2 millones, respecto a lo observado en el mismo mes del año previo.</w:t>
      </w:r>
      <w:r w:rsidR="00634664" w:rsidRPr="00DC723E">
        <w:rPr>
          <w:rFonts w:ascii="Times New Roman" w:hAnsi="Times New Roman" w:cs="Times New Roman"/>
          <w:color w:val="FF0000"/>
          <w:lang w:val="es-MX"/>
        </w:rPr>
        <w:t xml:space="preserve"> </w:t>
      </w:r>
    </w:p>
    <w:p w:rsidR="00634664" w:rsidRPr="00DC723E" w:rsidRDefault="00634664" w:rsidP="007A1B15">
      <w:pPr>
        <w:pStyle w:val="Sinespaciado"/>
        <w:rPr>
          <w:rFonts w:ascii="Times New Roman" w:hAnsi="Times New Roman" w:cs="Times New Roman"/>
          <w:b/>
          <w:color w:val="FF0000"/>
          <w:sz w:val="24"/>
          <w:lang w:val="es-MX"/>
        </w:rPr>
      </w:pPr>
    </w:p>
    <w:p w:rsidR="006F5EA0" w:rsidRPr="00DC723E" w:rsidRDefault="00950874" w:rsidP="006F5EA0">
      <w:pPr>
        <w:pStyle w:val="Sinespaciado"/>
        <w:jc w:val="center"/>
        <w:rPr>
          <w:rFonts w:ascii="Times New Roman" w:hAnsi="Times New Roman" w:cs="Times New Roman"/>
          <w:b/>
          <w:sz w:val="24"/>
          <w:lang w:val="es-MX"/>
        </w:rPr>
      </w:pPr>
      <w:r w:rsidRPr="00DC723E">
        <w:rPr>
          <w:rFonts w:ascii="Times New Roman" w:hAnsi="Times New Roman" w:cs="Times New Roman"/>
          <w:b/>
          <w:sz w:val="24"/>
          <w:lang w:val="es-MX"/>
        </w:rPr>
        <w:t>Resultado Presupuestario</w:t>
      </w:r>
    </w:p>
    <w:p w:rsidR="00950874" w:rsidRPr="00DC723E" w:rsidRDefault="006F5EA0" w:rsidP="006F5EA0">
      <w:pPr>
        <w:pStyle w:val="Sinespaciado"/>
        <w:jc w:val="center"/>
        <w:rPr>
          <w:rFonts w:ascii="Times New Roman" w:hAnsi="Times New Roman" w:cs="Times New Roman"/>
          <w:sz w:val="18"/>
          <w:lang w:val="es-MX"/>
        </w:rPr>
      </w:pPr>
      <w:r w:rsidRPr="00DC723E">
        <w:rPr>
          <w:rFonts w:ascii="Times New Roman" w:hAnsi="Times New Roman" w:cs="Times New Roman"/>
          <w:sz w:val="20"/>
          <w:lang w:val="es-MX"/>
        </w:rPr>
        <w:t xml:space="preserve">       </w:t>
      </w:r>
      <w:r w:rsidR="00B44B94" w:rsidRPr="00DC723E">
        <w:rPr>
          <w:rFonts w:ascii="Times New Roman" w:hAnsi="Times New Roman" w:cs="Times New Roman"/>
          <w:sz w:val="20"/>
          <w:lang w:val="es-MX"/>
        </w:rPr>
        <w:t>Al 30</w:t>
      </w:r>
      <w:r w:rsidRPr="00DC723E">
        <w:rPr>
          <w:rFonts w:ascii="Times New Roman" w:hAnsi="Times New Roman" w:cs="Times New Roman"/>
          <w:sz w:val="20"/>
          <w:lang w:val="es-MX"/>
        </w:rPr>
        <w:t xml:space="preserve"> de </w:t>
      </w:r>
      <w:r w:rsidR="00B44B94" w:rsidRPr="00DC723E">
        <w:rPr>
          <w:rFonts w:ascii="Times New Roman" w:hAnsi="Times New Roman" w:cs="Times New Roman"/>
          <w:sz w:val="20"/>
          <w:lang w:val="es-MX"/>
        </w:rPr>
        <w:t>junio</w:t>
      </w:r>
      <w:r w:rsidRPr="00DC723E">
        <w:rPr>
          <w:rFonts w:ascii="Times New Roman" w:hAnsi="Times New Roman" w:cs="Times New Roman"/>
          <w:sz w:val="20"/>
          <w:lang w:val="es-MX"/>
        </w:rPr>
        <w:t xml:space="preserve"> de cada año</w:t>
      </w:r>
      <w:r w:rsidR="00F27024" w:rsidRPr="00DC723E">
        <w:rPr>
          <w:rFonts w:ascii="Times New Roman" w:hAnsi="Times New Roman" w:cs="Times New Roman"/>
          <w:b/>
          <w:lang w:val="es-MX"/>
        </w:rPr>
        <w:tab/>
      </w:r>
    </w:p>
    <w:p w:rsidR="005C4C97" w:rsidRPr="00160C55" w:rsidRDefault="00DC723E" w:rsidP="00160C55">
      <w:pPr>
        <w:pStyle w:val="Sinespaciado"/>
        <w:jc w:val="center"/>
        <w:rPr>
          <w:rFonts w:ascii="Times New Roman" w:hAnsi="Times New Roman" w:cs="Times New Roman"/>
          <w:sz w:val="18"/>
          <w:lang w:val="es-MX"/>
        </w:rPr>
      </w:pPr>
      <w:r w:rsidRPr="00DC723E">
        <w:rPr>
          <w:noProof/>
          <w:lang w:eastAsia="es-GT"/>
        </w:rPr>
        <w:drawing>
          <wp:anchor distT="0" distB="0" distL="114300" distR="114300" simplePos="0" relativeHeight="251792384" behindDoc="0" locked="0" layoutInCell="1" allowOverlap="1" wp14:anchorId="29B38574" wp14:editId="67138735">
            <wp:simplePos x="0" y="0"/>
            <wp:positionH relativeFrom="column">
              <wp:posOffset>322465</wp:posOffset>
            </wp:positionH>
            <wp:positionV relativeFrom="paragraph">
              <wp:posOffset>179070</wp:posOffset>
            </wp:positionV>
            <wp:extent cx="5612130" cy="2600325"/>
            <wp:effectExtent l="0" t="0" r="7620" b="0"/>
            <wp:wrapSquare wrapText="bothSides"/>
            <wp:docPr id="4" name="Chart 2">
              <a:extLst xmlns:a="http://schemas.openxmlformats.org/drawingml/2006/main">
                <a:ext uri="{FF2B5EF4-FFF2-40B4-BE49-F238E27FC236}">
                  <a16:creationId xmlns:a16="http://schemas.microsoft.com/office/drawing/2014/main" id="{00000000-0008-0000-0D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950874" w:rsidRPr="00DC723E">
        <w:rPr>
          <w:rFonts w:ascii="Times New Roman" w:hAnsi="Times New Roman" w:cs="Times New Roman"/>
          <w:sz w:val="18"/>
          <w:lang w:val="es-MX"/>
        </w:rPr>
        <w:t>Millones de quetzales</w:t>
      </w:r>
    </w:p>
    <w:p w:rsidR="005C4C97" w:rsidRPr="00DC723E" w:rsidRDefault="007F443F" w:rsidP="007C66BE">
      <w:pPr>
        <w:pStyle w:val="Sinespaciado"/>
        <w:jc w:val="both"/>
        <w:rPr>
          <w:rFonts w:ascii="Times New Roman" w:hAnsi="Times New Roman" w:cs="Times New Roman"/>
          <w:sz w:val="16"/>
        </w:rPr>
      </w:pPr>
      <w:r w:rsidRPr="00DC723E">
        <w:rPr>
          <w:rFonts w:ascii="Times New Roman" w:hAnsi="Times New Roman" w:cs="Times New Roman"/>
          <w:sz w:val="16"/>
        </w:rPr>
        <w:t xml:space="preserve">         </w:t>
      </w:r>
      <w:r w:rsidR="00160C55">
        <w:rPr>
          <w:rFonts w:ascii="Times New Roman" w:hAnsi="Times New Roman" w:cs="Times New Roman"/>
          <w:sz w:val="16"/>
        </w:rPr>
        <w:t xml:space="preserve">      </w:t>
      </w:r>
      <w:r w:rsidR="00157C3A" w:rsidRPr="00DC723E">
        <w:rPr>
          <w:rFonts w:ascii="Times New Roman" w:hAnsi="Times New Roman" w:cs="Times New Roman"/>
          <w:sz w:val="16"/>
        </w:rPr>
        <w:t>F</w:t>
      </w:r>
      <w:r w:rsidR="007D4651" w:rsidRPr="00DC723E">
        <w:rPr>
          <w:rFonts w:ascii="Times New Roman" w:hAnsi="Times New Roman" w:cs="Times New Roman"/>
          <w:sz w:val="16"/>
        </w:rPr>
        <w:t>uente: Dirección de Análisis y Política fiscal</w:t>
      </w:r>
    </w:p>
    <w:p w:rsidR="007C66BE" w:rsidRPr="00DC723E" w:rsidRDefault="007C66BE" w:rsidP="007C66BE">
      <w:pPr>
        <w:pStyle w:val="Sinespaciado"/>
        <w:jc w:val="both"/>
        <w:rPr>
          <w:rFonts w:ascii="Times New Roman" w:hAnsi="Times New Roman" w:cs="Times New Roman"/>
          <w:color w:val="FF0000"/>
          <w:sz w:val="16"/>
        </w:rPr>
      </w:pPr>
    </w:p>
    <w:p w:rsidR="001375B9" w:rsidRPr="00DC723E" w:rsidRDefault="001375B9" w:rsidP="007D4651">
      <w:pPr>
        <w:spacing w:after="0" w:line="240" w:lineRule="auto"/>
        <w:rPr>
          <w:rFonts w:ascii="Times New Roman" w:hAnsi="Times New Roman" w:cs="Times New Roman"/>
          <w:color w:val="FF0000"/>
          <w:lang w:val="es-MX"/>
        </w:rPr>
      </w:pPr>
    </w:p>
    <w:p w:rsidR="001375B9" w:rsidRPr="00DC723E" w:rsidRDefault="001375B9" w:rsidP="007D4651">
      <w:pPr>
        <w:spacing w:after="0" w:line="240" w:lineRule="auto"/>
        <w:rPr>
          <w:rFonts w:ascii="Times New Roman" w:hAnsi="Times New Roman" w:cs="Times New Roman"/>
          <w:color w:val="FF0000"/>
          <w:sz w:val="8"/>
          <w:lang w:val="es-MX"/>
        </w:rPr>
        <w:sectPr w:rsidR="001375B9" w:rsidRPr="00DC723E" w:rsidSect="007D4651">
          <w:type w:val="continuous"/>
          <w:pgSz w:w="12240" w:h="15840" w:code="1"/>
          <w:pgMar w:top="1418" w:right="1418" w:bottom="1418" w:left="1418" w:header="709" w:footer="709" w:gutter="0"/>
          <w:cols w:space="708"/>
          <w:docGrid w:linePitch="360"/>
        </w:sectPr>
      </w:pPr>
    </w:p>
    <w:p w:rsidR="00E16925" w:rsidRPr="003E7CA7" w:rsidRDefault="00CE1CE6" w:rsidP="0085741B">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E16925" w:rsidRPr="003E7CA7" w:rsidSect="00E16925">
          <w:headerReference w:type="default" r:id="rId11"/>
          <w:footerReference w:type="default" r:id="rId12"/>
          <w:type w:val="continuous"/>
          <w:pgSz w:w="12240" w:h="15840" w:code="1"/>
          <w:pgMar w:top="1418" w:right="1418" w:bottom="1418" w:left="1418" w:header="709" w:footer="709" w:gutter="0"/>
          <w:cols w:space="708"/>
          <w:docGrid w:linePitch="360"/>
        </w:sectPr>
      </w:pPr>
      <w:r w:rsidRPr="003E7CA7">
        <w:rPr>
          <w:rFonts w:ascii="Times New Roman" w:hAnsi="Times New Roman" w:cs="Times New Roman"/>
          <w:b/>
          <w:lang w:val="es-MX"/>
        </w:rPr>
        <w:lastRenderedPageBreak/>
        <w:t>L</w:t>
      </w:r>
      <w:r w:rsidR="00F94C84" w:rsidRPr="003E7CA7">
        <w:rPr>
          <w:rFonts w:ascii="Times New Roman" w:hAnsi="Times New Roman" w:cs="Times New Roman"/>
          <w:b/>
          <w:lang w:val="es-MX"/>
        </w:rPr>
        <w:t>a recaudación</w:t>
      </w:r>
      <w:r w:rsidR="007C66BE" w:rsidRPr="003E7CA7">
        <w:rPr>
          <w:rFonts w:ascii="Times New Roman" w:hAnsi="Times New Roman" w:cs="Times New Roman"/>
          <w:b/>
          <w:lang w:val="es-MX"/>
        </w:rPr>
        <w:t xml:space="preserve"> a junio se desploma</w:t>
      </w:r>
    </w:p>
    <w:p w:rsidR="00E16925" w:rsidRPr="00DC723E" w:rsidRDefault="00E16925" w:rsidP="00E16925">
      <w:pPr>
        <w:pStyle w:val="Sinespaciado"/>
        <w:rPr>
          <w:rFonts w:ascii="Times New Roman" w:hAnsi="Times New Roman" w:cs="Times New Roman"/>
          <w:b/>
          <w:color w:val="FF0000"/>
          <w:sz w:val="8"/>
          <w:lang w:val="es-MX"/>
        </w:rPr>
      </w:pPr>
    </w:p>
    <w:p w:rsidR="00E16925" w:rsidRPr="00DC723E" w:rsidRDefault="00E16925" w:rsidP="00E16925">
      <w:pPr>
        <w:pStyle w:val="Sinespaciado"/>
        <w:jc w:val="center"/>
        <w:rPr>
          <w:rFonts w:ascii="Times New Roman" w:hAnsi="Times New Roman" w:cs="Times New Roman"/>
          <w:b/>
          <w:color w:val="FF0000"/>
          <w:sz w:val="24"/>
          <w:lang w:val="es-MX"/>
        </w:rPr>
      </w:pPr>
    </w:p>
    <w:p w:rsidR="00343A5D" w:rsidRPr="00DC723E" w:rsidRDefault="00343A5D" w:rsidP="00F25E21">
      <w:pPr>
        <w:pStyle w:val="Sinespaciado"/>
        <w:rPr>
          <w:rFonts w:ascii="Times New Roman" w:hAnsi="Times New Roman" w:cs="Times New Roman"/>
          <w:b/>
          <w:color w:val="FF0000"/>
          <w:sz w:val="20"/>
          <w:lang w:val="es-MX"/>
        </w:rPr>
        <w:sectPr w:rsidR="00343A5D" w:rsidRPr="00DC723E" w:rsidSect="004E358C">
          <w:type w:val="continuous"/>
          <w:pgSz w:w="12240" w:h="15840"/>
          <w:pgMar w:top="1417" w:right="1701" w:bottom="1417" w:left="1701" w:header="708" w:footer="708" w:gutter="0"/>
          <w:cols w:space="708"/>
          <w:docGrid w:linePitch="360"/>
        </w:sectPr>
      </w:pPr>
    </w:p>
    <w:p w:rsidR="003E7CA7" w:rsidRPr="0035677E" w:rsidRDefault="003E7CA7" w:rsidP="003E7CA7">
      <w:pPr>
        <w:spacing w:after="0" w:line="240" w:lineRule="auto"/>
        <w:jc w:val="both"/>
        <w:rPr>
          <w:rFonts w:ascii="Times New Roman" w:hAnsi="Times New Roman" w:cs="Times New Roman"/>
        </w:rPr>
      </w:pPr>
      <w:r w:rsidRPr="0035677E">
        <w:rPr>
          <w:rFonts w:ascii="Times New Roman" w:hAnsi="Times New Roman" w:cs="Times New Roman"/>
        </w:rPr>
        <w:lastRenderedPageBreak/>
        <w:t>La recaudación tributaria acumulada a junio presenta una brecha negativa de Q2,701.5 millones respecto a la meta de presupuesto, dicha caída está influenciada por impuestos como el sobre la renta, el Impuesto de solidaridad, el Impuesto al valor agregado, los derechos arancelarios, derivados del petróleo entre otros, esta caída en gran medida esta ocasionada por los efectos de la pandemia COVID-19.</w:t>
      </w:r>
    </w:p>
    <w:p w:rsidR="003E7CA7" w:rsidRPr="0035677E" w:rsidRDefault="003E7CA7" w:rsidP="003E7CA7">
      <w:pPr>
        <w:spacing w:after="0" w:line="240" w:lineRule="auto"/>
        <w:jc w:val="both"/>
        <w:rPr>
          <w:rFonts w:ascii="Times New Roman" w:hAnsi="Times New Roman" w:cs="Times New Roman"/>
        </w:rPr>
      </w:pPr>
    </w:p>
    <w:p w:rsidR="003E7CA7" w:rsidRPr="0035677E" w:rsidRDefault="003E7CA7" w:rsidP="003E7CA7">
      <w:pPr>
        <w:spacing w:after="0" w:line="240" w:lineRule="auto"/>
        <w:jc w:val="both"/>
        <w:rPr>
          <w:rFonts w:ascii="Times New Roman" w:hAnsi="Times New Roman" w:cs="Times New Roman"/>
        </w:rPr>
      </w:pPr>
      <w:r w:rsidRPr="0035677E">
        <w:rPr>
          <w:rFonts w:ascii="Times New Roman" w:hAnsi="Times New Roman" w:cs="Times New Roman"/>
        </w:rPr>
        <w:t>Dentro de las principales acciones que se han establecido en materia tributaria sobresalen la aprobación del Decreto 12-2020 en el cual se permite diferir el pago del impuesto de solidaridad del segundo trimestre hasta el mes de septiembre, la resolución SAT 280-2020 que permitió el diferimiento del pago de impuestos del mes de marzo para la primera quincena de abril y recientemente la aprobación del Decreto 24-2020 que permite diferir el pago del impuesto de circulación de vehículos para octubre.</w:t>
      </w:r>
    </w:p>
    <w:p w:rsidR="007C66BE" w:rsidRPr="003E7CA7" w:rsidRDefault="007C66BE" w:rsidP="007C66BE">
      <w:pPr>
        <w:spacing w:after="0" w:line="240" w:lineRule="auto"/>
        <w:jc w:val="both"/>
        <w:rPr>
          <w:rFonts w:ascii="Times New Roman" w:hAnsi="Times New Roman" w:cs="Times New Roman"/>
        </w:rPr>
      </w:pPr>
    </w:p>
    <w:p w:rsidR="007C66BE" w:rsidRPr="003E7CA7" w:rsidRDefault="007C66BE" w:rsidP="007C66BE">
      <w:pPr>
        <w:spacing w:after="0" w:line="240" w:lineRule="auto"/>
        <w:jc w:val="center"/>
        <w:rPr>
          <w:rFonts w:ascii="Times New Roman" w:hAnsi="Times New Roman" w:cs="Times New Roman"/>
          <w:b/>
        </w:rPr>
      </w:pPr>
      <w:r w:rsidRPr="003E7CA7">
        <w:rPr>
          <w:rFonts w:ascii="Times New Roman" w:hAnsi="Times New Roman" w:cs="Times New Roman"/>
          <w:b/>
        </w:rPr>
        <w:t>Recaudación Tributaria Acumulada</w:t>
      </w:r>
    </w:p>
    <w:p w:rsidR="007C66BE" w:rsidRPr="003E7CA7" w:rsidRDefault="007C66BE" w:rsidP="007C66BE">
      <w:pPr>
        <w:spacing w:after="0" w:line="240" w:lineRule="auto"/>
        <w:jc w:val="center"/>
        <w:rPr>
          <w:rFonts w:ascii="Times New Roman" w:hAnsi="Times New Roman" w:cs="Times New Roman"/>
        </w:rPr>
      </w:pPr>
      <w:r w:rsidRPr="003E7CA7">
        <w:rPr>
          <w:rFonts w:ascii="Times New Roman" w:hAnsi="Times New Roman" w:cs="Times New Roman"/>
        </w:rPr>
        <w:t>Millones de quetzales</w:t>
      </w:r>
    </w:p>
    <w:p w:rsidR="007C66BE" w:rsidRPr="00DC723E" w:rsidRDefault="003E7CA7" w:rsidP="007C66BE">
      <w:pPr>
        <w:spacing w:after="0" w:line="240" w:lineRule="auto"/>
        <w:jc w:val="both"/>
        <w:rPr>
          <w:rFonts w:ascii="Times New Roman" w:hAnsi="Times New Roman" w:cs="Times New Roman"/>
          <w:color w:val="FF0000"/>
        </w:rPr>
      </w:pPr>
      <w:r w:rsidRPr="0035677E">
        <w:rPr>
          <w:rFonts w:ascii="Times New Roman" w:hAnsi="Times New Roman" w:cs="Times New Roman"/>
          <w:noProof/>
          <w:lang w:eastAsia="es-GT"/>
        </w:rPr>
        <w:drawing>
          <wp:inline distT="0" distB="0" distL="0" distR="0" wp14:anchorId="2E4C6F36" wp14:editId="455338D8">
            <wp:extent cx="2671948" cy="2303780"/>
            <wp:effectExtent l="0" t="0" r="0" b="1270"/>
            <wp:docPr id="242" name="Gráfico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C66BE" w:rsidRPr="003E7CA7" w:rsidRDefault="007C66BE" w:rsidP="007C66BE">
      <w:pPr>
        <w:spacing w:after="0" w:line="240" w:lineRule="auto"/>
        <w:jc w:val="both"/>
        <w:rPr>
          <w:rFonts w:ascii="Times New Roman" w:hAnsi="Times New Roman" w:cs="Times New Roman"/>
          <w:sz w:val="16"/>
        </w:rPr>
      </w:pPr>
      <w:r w:rsidRPr="003E7CA7">
        <w:rPr>
          <w:rFonts w:ascii="Times New Roman" w:hAnsi="Times New Roman" w:cs="Times New Roman"/>
          <w:sz w:val="16"/>
        </w:rPr>
        <w:t>Fuente: Ministerio de Finanzas Públicas</w:t>
      </w:r>
    </w:p>
    <w:p w:rsidR="003E7CA7" w:rsidRPr="00DC723E" w:rsidRDefault="003E7CA7" w:rsidP="004D1EB1">
      <w:pPr>
        <w:spacing w:after="0" w:line="240" w:lineRule="auto"/>
        <w:jc w:val="both"/>
        <w:rPr>
          <w:rFonts w:ascii="Times New Roman" w:hAnsi="Times New Roman" w:cs="Times New Roman"/>
          <w:color w:val="FF0000"/>
        </w:rPr>
      </w:pPr>
      <w:r w:rsidRPr="0035677E">
        <w:rPr>
          <w:rFonts w:ascii="Times New Roman" w:hAnsi="Times New Roman" w:cs="Times New Roman"/>
        </w:rPr>
        <w:lastRenderedPageBreak/>
        <w:t>De manera interanual la recaudación tributaria acumulada a junio tiene una brecha negativa de Q1,597.2 millones, con relación al año anterior se observan resultados positivos únicamente en impuestos como el ISO, cemento y regalías e hidrocarburos compartibles.</w:t>
      </w:r>
    </w:p>
    <w:p w:rsidR="003E7CA7" w:rsidRPr="003E7CA7" w:rsidRDefault="003E7CA7" w:rsidP="007C66BE">
      <w:pPr>
        <w:spacing w:after="0" w:line="240" w:lineRule="auto"/>
        <w:jc w:val="both"/>
        <w:rPr>
          <w:rFonts w:ascii="Times New Roman" w:hAnsi="Times New Roman" w:cs="Times New Roman"/>
        </w:rPr>
      </w:pPr>
    </w:p>
    <w:p w:rsidR="007C66BE" w:rsidRPr="003E7CA7" w:rsidRDefault="007C66BE" w:rsidP="007C66BE">
      <w:pPr>
        <w:spacing w:after="0" w:line="240" w:lineRule="auto"/>
        <w:jc w:val="both"/>
        <w:rPr>
          <w:rFonts w:ascii="Times New Roman" w:hAnsi="Times New Roman" w:cs="Times New Roman"/>
          <w:b/>
          <w:bCs/>
        </w:rPr>
      </w:pPr>
      <w:r w:rsidRPr="003E7CA7">
        <w:rPr>
          <w:rFonts w:ascii="Times New Roman" w:hAnsi="Times New Roman" w:cs="Times New Roman"/>
          <w:b/>
          <w:bCs/>
        </w:rPr>
        <w:t>La recaudación mensual</w:t>
      </w:r>
    </w:p>
    <w:p w:rsidR="007C66BE" w:rsidRPr="00DC723E" w:rsidRDefault="007C66BE" w:rsidP="007C66BE">
      <w:pPr>
        <w:spacing w:after="0" w:line="240" w:lineRule="auto"/>
        <w:jc w:val="both"/>
        <w:rPr>
          <w:rFonts w:ascii="Times New Roman" w:hAnsi="Times New Roman" w:cs="Times New Roman"/>
          <w:b/>
          <w:bCs/>
          <w:color w:val="FF0000"/>
        </w:rPr>
      </w:pPr>
    </w:p>
    <w:p w:rsidR="003E7CA7" w:rsidRPr="0035677E" w:rsidRDefault="003E7CA7" w:rsidP="003E7CA7">
      <w:pPr>
        <w:spacing w:after="0" w:line="240" w:lineRule="auto"/>
        <w:jc w:val="both"/>
        <w:rPr>
          <w:rFonts w:ascii="Times New Roman" w:hAnsi="Times New Roman" w:cs="Times New Roman"/>
        </w:rPr>
      </w:pPr>
      <w:r w:rsidRPr="0035677E">
        <w:rPr>
          <w:rFonts w:ascii="Times New Roman" w:hAnsi="Times New Roman" w:cs="Times New Roman"/>
        </w:rPr>
        <w:t>La recaudación solo del mes de junio se situó en Q3,531.9 millones no se recaudaron Q881.5 millones respecto a la meta de presupuesto, los únicos impuestos que superaron la meta mensual fueron el ISO, y el de bebidas, el resto de los impuestos no la alcanzaron la meta siendo el impuesto sobre la renta, el IVA total y los derivados del petróleo los que mayor brecha negativa generaron.</w:t>
      </w:r>
    </w:p>
    <w:p w:rsidR="007C66BE" w:rsidRPr="003E7CA7" w:rsidRDefault="007C66BE" w:rsidP="007C66BE">
      <w:pPr>
        <w:spacing w:after="0" w:line="240" w:lineRule="auto"/>
        <w:jc w:val="both"/>
        <w:rPr>
          <w:rFonts w:ascii="Times New Roman" w:hAnsi="Times New Roman" w:cs="Times New Roman"/>
        </w:rPr>
      </w:pPr>
    </w:p>
    <w:p w:rsidR="007C66BE" w:rsidRPr="003E7CA7" w:rsidRDefault="007C66BE" w:rsidP="007C66BE">
      <w:pPr>
        <w:spacing w:after="0" w:line="240" w:lineRule="auto"/>
        <w:jc w:val="center"/>
        <w:rPr>
          <w:rFonts w:ascii="Times New Roman" w:hAnsi="Times New Roman" w:cs="Times New Roman"/>
          <w:b/>
        </w:rPr>
      </w:pPr>
      <w:r w:rsidRPr="003E7CA7">
        <w:rPr>
          <w:rFonts w:ascii="Times New Roman" w:hAnsi="Times New Roman" w:cs="Times New Roman"/>
          <w:b/>
        </w:rPr>
        <w:t xml:space="preserve">Recaudación Tributaria Mensual </w:t>
      </w:r>
    </w:p>
    <w:p w:rsidR="007C66BE" w:rsidRPr="003E7CA7" w:rsidRDefault="007C66BE" w:rsidP="007C66BE">
      <w:pPr>
        <w:spacing w:after="0" w:line="240" w:lineRule="auto"/>
        <w:jc w:val="center"/>
        <w:rPr>
          <w:rFonts w:ascii="Times New Roman" w:hAnsi="Times New Roman" w:cs="Times New Roman"/>
          <w:b/>
          <w:szCs w:val="18"/>
        </w:rPr>
      </w:pPr>
      <w:r w:rsidRPr="003E7CA7">
        <w:rPr>
          <w:rFonts w:ascii="Times New Roman" w:hAnsi="Times New Roman" w:cs="Times New Roman"/>
          <w:b/>
          <w:szCs w:val="18"/>
        </w:rPr>
        <w:t>observada-Meta Presupuesto</w:t>
      </w:r>
    </w:p>
    <w:p w:rsidR="007C66BE" w:rsidRPr="003E7CA7" w:rsidRDefault="007C66BE" w:rsidP="007C66BE">
      <w:pPr>
        <w:spacing w:after="0" w:line="240" w:lineRule="auto"/>
        <w:jc w:val="center"/>
        <w:rPr>
          <w:rFonts w:ascii="Times New Roman" w:hAnsi="Times New Roman" w:cs="Times New Roman"/>
          <w:sz w:val="20"/>
        </w:rPr>
      </w:pPr>
      <w:r w:rsidRPr="003E7CA7">
        <w:rPr>
          <w:rFonts w:ascii="Times New Roman" w:hAnsi="Times New Roman" w:cs="Times New Roman"/>
          <w:sz w:val="20"/>
        </w:rPr>
        <w:t>Millones de quetzales</w:t>
      </w:r>
    </w:p>
    <w:p w:rsidR="007C66BE" w:rsidRPr="003E7CA7" w:rsidRDefault="003E7CA7" w:rsidP="007C66BE">
      <w:pPr>
        <w:spacing w:after="0" w:line="240" w:lineRule="auto"/>
        <w:jc w:val="both"/>
        <w:rPr>
          <w:rFonts w:ascii="Times New Roman" w:hAnsi="Times New Roman" w:cs="Times New Roman"/>
        </w:rPr>
      </w:pPr>
      <w:r w:rsidRPr="003E7CA7">
        <w:rPr>
          <w:rFonts w:ascii="Times New Roman" w:hAnsi="Times New Roman" w:cs="Times New Roman"/>
          <w:b/>
          <w:noProof/>
          <w:sz w:val="20"/>
          <w:lang w:eastAsia="es-GT"/>
        </w:rPr>
        <w:drawing>
          <wp:inline distT="0" distB="0" distL="0" distR="0" wp14:anchorId="4CCCAFE5" wp14:editId="6384B44A">
            <wp:extent cx="2671445" cy="2398815"/>
            <wp:effectExtent l="0" t="0" r="0" b="1905"/>
            <wp:docPr id="243" name="Gráfico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C66BE" w:rsidRPr="003E7CA7" w:rsidRDefault="007C66BE" w:rsidP="007C66BE">
      <w:pPr>
        <w:spacing w:after="0" w:line="240" w:lineRule="auto"/>
        <w:jc w:val="both"/>
        <w:rPr>
          <w:rFonts w:ascii="Times New Roman" w:hAnsi="Times New Roman" w:cs="Times New Roman"/>
          <w:sz w:val="18"/>
        </w:rPr>
      </w:pPr>
      <w:r w:rsidRPr="003E7CA7">
        <w:rPr>
          <w:rFonts w:ascii="Times New Roman" w:hAnsi="Times New Roman" w:cs="Times New Roman"/>
          <w:sz w:val="18"/>
        </w:rPr>
        <w:t>Fuente: Ministerio de Finanzas Públicas</w:t>
      </w:r>
    </w:p>
    <w:p w:rsidR="007C66BE" w:rsidRDefault="007C66BE" w:rsidP="007C66BE">
      <w:pPr>
        <w:spacing w:after="0" w:line="240" w:lineRule="auto"/>
        <w:jc w:val="both"/>
        <w:rPr>
          <w:rFonts w:ascii="Times New Roman" w:hAnsi="Times New Roman" w:cs="Times New Roman"/>
        </w:rPr>
      </w:pPr>
    </w:p>
    <w:p w:rsidR="004D1EB1" w:rsidRDefault="004D1EB1" w:rsidP="007C66BE">
      <w:pPr>
        <w:spacing w:after="0" w:line="240" w:lineRule="auto"/>
        <w:jc w:val="both"/>
        <w:rPr>
          <w:rFonts w:ascii="Times New Roman" w:hAnsi="Times New Roman" w:cs="Times New Roman"/>
        </w:rPr>
      </w:pPr>
    </w:p>
    <w:p w:rsidR="003E7CA7" w:rsidRPr="003E7CA7" w:rsidRDefault="003E7CA7" w:rsidP="007C66BE">
      <w:pPr>
        <w:spacing w:after="0" w:line="240" w:lineRule="auto"/>
        <w:jc w:val="both"/>
        <w:rPr>
          <w:rFonts w:ascii="Times New Roman" w:hAnsi="Times New Roman" w:cs="Times New Roman"/>
        </w:rPr>
      </w:pPr>
    </w:p>
    <w:p w:rsidR="007C66BE" w:rsidRPr="003E7CA7" w:rsidRDefault="007C66BE" w:rsidP="007C66BE">
      <w:pPr>
        <w:spacing w:after="0" w:line="240" w:lineRule="auto"/>
        <w:jc w:val="both"/>
        <w:rPr>
          <w:rFonts w:ascii="Times New Roman" w:hAnsi="Times New Roman" w:cs="Times New Roman"/>
          <w:b/>
          <w:bCs/>
        </w:rPr>
      </w:pPr>
      <w:r w:rsidRPr="003E7CA7">
        <w:rPr>
          <w:rFonts w:ascii="Times New Roman" w:hAnsi="Times New Roman" w:cs="Times New Roman"/>
          <w:b/>
          <w:bCs/>
        </w:rPr>
        <w:lastRenderedPageBreak/>
        <w:t>Los demás impuestos</w:t>
      </w:r>
    </w:p>
    <w:p w:rsidR="007C66BE" w:rsidRPr="00DC723E" w:rsidRDefault="007C66BE" w:rsidP="007C66BE">
      <w:pPr>
        <w:spacing w:after="0" w:line="240" w:lineRule="auto"/>
        <w:jc w:val="both"/>
        <w:rPr>
          <w:rFonts w:ascii="Times New Roman" w:hAnsi="Times New Roman" w:cs="Times New Roman"/>
          <w:b/>
          <w:bCs/>
          <w:color w:val="FF0000"/>
        </w:rPr>
      </w:pPr>
    </w:p>
    <w:p w:rsidR="007C66BE" w:rsidRPr="00DC723E" w:rsidRDefault="003E7CA7" w:rsidP="007C66BE">
      <w:pPr>
        <w:spacing w:after="0" w:line="240" w:lineRule="auto"/>
        <w:jc w:val="both"/>
        <w:rPr>
          <w:rFonts w:ascii="Times New Roman" w:hAnsi="Times New Roman" w:cs="Times New Roman"/>
          <w:color w:val="FF0000"/>
        </w:rPr>
      </w:pPr>
      <w:r w:rsidRPr="0035677E">
        <w:rPr>
          <w:rFonts w:ascii="Times New Roman" w:hAnsi="Times New Roman" w:cs="Times New Roman"/>
        </w:rPr>
        <w:t>De los demás impuestos acumulados al 30 de junio, destacan el de bebidas y el de cemento que superan la meta de presupuesto, el resto no lograron alcanzar la meta de presupuesto.</w:t>
      </w:r>
    </w:p>
    <w:p w:rsidR="007C66BE" w:rsidRDefault="007C66BE" w:rsidP="007C66BE">
      <w:pPr>
        <w:spacing w:after="0" w:line="240" w:lineRule="auto"/>
        <w:jc w:val="both"/>
        <w:rPr>
          <w:rFonts w:ascii="Times New Roman" w:hAnsi="Times New Roman" w:cs="Times New Roman"/>
          <w:color w:val="FF0000"/>
        </w:rPr>
      </w:pPr>
    </w:p>
    <w:p w:rsidR="003E7CA7" w:rsidRPr="0035677E" w:rsidRDefault="003E7CA7" w:rsidP="003E7CA7">
      <w:pPr>
        <w:spacing w:after="0" w:line="240" w:lineRule="auto"/>
        <w:jc w:val="both"/>
        <w:rPr>
          <w:rFonts w:ascii="Times New Roman" w:hAnsi="Times New Roman" w:cs="Times New Roman"/>
        </w:rPr>
      </w:pPr>
      <w:r w:rsidRPr="0035677E">
        <w:rPr>
          <w:rFonts w:ascii="Times New Roman" w:hAnsi="Times New Roman" w:cs="Times New Roman"/>
        </w:rPr>
        <w:t>La recaudación tributaria se ve afectada por diversos factores dentro de los cuales se pueden mencionar la caída en las remesas familiares las cuales a mayo tienen una caída de 3.2%, las importaciones gravadas a mayo que caen a 8.7%, el consumo de combustibles que a mayo tiene una caída de 11.4%.</w:t>
      </w:r>
    </w:p>
    <w:p w:rsidR="003E7CA7" w:rsidRDefault="003E7CA7" w:rsidP="007C66BE">
      <w:pPr>
        <w:spacing w:after="0" w:line="240" w:lineRule="auto"/>
        <w:jc w:val="both"/>
        <w:rPr>
          <w:rFonts w:ascii="Times New Roman" w:hAnsi="Times New Roman" w:cs="Times New Roman"/>
          <w:color w:val="FF0000"/>
        </w:rPr>
      </w:pPr>
    </w:p>
    <w:p w:rsidR="003E7CA7" w:rsidRDefault="003E7CA7" w:rsidP="007C66BE">
      <w:pPr>
        <w:spacing w:after="0" w:line="240" w:lineRule="auto"/>
        <w:jc w:val="both"/>
        <w:rPr>
          <w:rFonts w:ascii="Times New Roman" w:hAnsi="Times New Roman" w:cs="Times New Roman"/>
          <w:color w:val="FF0000"/>
        </w:rPr>
      </w:pPr>
    </w:p>
    <w:p w:rsidR="003E7CA7" w:rsidRDefault="003E7CA7" w:rsidP="007C66BE">
      <w:pPr>
        <w:spacing w:after="0" w:line="240" w:lineRule="auto"/>
        <w:jc w:val="both"/>
        <w:rPr>
          <w:rFonts w:ascii="Times New Roman" w:hAnsi="Times New Roman" w:cs="Times New Roman"/>
          <w:color w:val="FF0000"/>
        </w:rPr>
      </w:pPr>
    </w:p>
    <w:p w:rsidR="003E7CA7" w:rsidRDefault="003E7CA7" w:rsidP="007C66BE">
      <w:pPr>
        <w:spacing w:after="0" w:line="240" w:lineRule="auto"/>
        <w:jc w:val="both"/>
        <w:rPr>
          <w:rFonts w:ascii="Times New Roman" w:hAnsi="Times New Roman" w:cs="Times New Roman"/>
          <w:color w:val="FF0000"/>
        </w:rPr>
      </w:pPr>
    </w:p>
    <w:p w:rsidR="003E7CA7" w:rsidRDefault="003E7CA7" w:rsidP="007C66BE">
      <w:pPr>
        <w:spacing w:after="0" w:line="240" w:lineRule="auto"/>
        <w:jc w:val="both"/>
        <w:rPr>
          <w:rFonts w:ascii="Times New Roman" w:hAnsi="Times New Roman" w:cs="Times New Roman"/>
          <w:color w:val="FF0000"/>
        </w:rPr>
      </w:pPr>
    </w:p>
    <w:p w:rsidR="003E7CA7" w:rsidRDefault="003E7CA7" w:rsidP="007C66BE">
      <w:pPr>
        <w:spacing w:after="0" w:line="240" w:lineRule="auto"/>
        <w:jc w:val="both"/>
        <w:rPr>
          <w:rFonts w:ascii="Times New Roman" w:hAnsi="Times New Roman" w:cs="Times New Roman"/>
          <w:color w:val="FF0000"/>
        </w:rPr>
      </w:pPr>
    </w:p>
    <w:p w:rsidR="003E7CA7" w:rsidRDefault="003E7CA7" w:rsidP="007C66BE">
      <w:pPr>
        <w:spacing w:after="0" w:line="240" w:lineRule="auto"/>
        <w:jc w:val="both"/>
        <w:rPr>
          <w:rFonts w:ascii="Times New Roman" w:hAnsi="Times New Roman" w:cs="Times New Roman"/>
          <w:color w:val="FF0000"/>
        </w:rPr>
      </w:pPr>
    </w:p>
    <w:p w:rsidR="003E7CA7" w:rsidRDefault="003E7CA7" w:rsidP="007C66BE">
      <w:pPr>
        <w:spacing w:after="0" w:line="240" w:lineRule="auto"/>
        <w:jc w:val="both"/>
        <w:rPr>
          <w:rFonts w:ascii="Times New Roman" w:hAnsi="Times New Roman" w:cs="Times New Roman"/>
          <w:color w:val="FF0000"/>
        </w:rPr>
      </w:pPr>
    </w:p>
    <w:p w:rsidR="003E7CA7" w:rsidRDefault="003E7CA7" w:rsidP="007C66BE">
      <w:pPr>
        <w:spacing w:after="0" w:line="240" w:lineRule="auto"/>
        <w:jc w:val="both"/>
        <w:rPr>
          <w:rFonts w:ascii="Times New Roman" w:hAnsi="Times New Roman" w:cs="Times New Roman"/>
          <w:color w:val="FF0000"/>
        </w:rPr>
      </w:pPr>
    </w:p>
    <w:p w:rsidR="003E7CA7" w:rsidRDefault="003E7CA7" w:rsidP="007C66BE">
      <w:pPr>
        <w:spacing w:after="0" w:line="240" w:lineRule="auto"/>
        <w:jc w:val="both"/>
        <w:rPr>
          <w:rFonts w:ascii="Times New Roman" w:hAnsi="Times New Roman" w:cs="Times New Roman"/>
          <w:color w:val="FF0000"/>
        </w:rPr>
      </w:pPr>
    </w:p>
    <w:p w:rsidR="003E7CA7" w:rsidRDefault="003E7CA7" w:rsidP="007C66BE">
      <w:pPr>
        <w:spacing w:after="0" w:line="240" w:lineRule="auto"/>
        <w:jc w:val="both"/>
        <w:rPr>
          <w:rFonts w:ascii="Times New Roman" w:hAnsi="Times New Roman" w:cs="Times New Roman"/>
          <w:color w:val="FF0000"/>
        </w:rPr>
      </w:pPr>
    </w:p>
    <w:p w:rsidR="003E7CA7" w:rsidRPr="00DC723E" w:rsidRDefault="003E7CA7" w:rsidP="007C66BE">
      <w:pPr>
        <w:spacing w:after="0" w:line="240" w:lineRule="auto"/>
        <w:jc w:val="both"/>
        <w:rPr>
          <w:rFonts w:ascii="Times New Roman" w:hAnsi="Times New Roman" w:cs="Times New Roman"/>
          <w:color w:val="FF0000"/>
        </w:rPr>
      </w:pPr>
    </w:p>
    <w:p w:rsidR="007C66BE" w:rsidRPr="003E7CA7" w:rsidRDefault="007C66BE" w:rsidP="007C66BE">
      <w:pPr>
        <w:spacing w:after="0" w:line="240" w:lineRule="auto"/>
        <w:jc w:val="center"/>
        <w:rPr>
          <w:rFonts w:ascii="Times New Roman" w:hAnsi="Times New Roman" w:cs="Times New Roman"/>
          <w:b/>
          <w:bCs/>
        </w:rPr>
      </w:pPr>
      <w:r w:rsidRPr="003E7CA7">
        <w:rPr>
          <w:rFonts w:ascii="Times New Roman" w:hAnsi="Times New Roman" w:cs="Times New Roman"/>
          <w:b/>
          <w:bCs/>
        </w:rPr>
        <w:lastRenderedPageBreak/>
        <w:t>Recaudación Tributaria Acumulada</w:t>
      </w:r>
    </w:p>
    <w:p w:rsidR="007C66BE" w:rsidRPr="003E7CA7" w:rsidRDefault="007C66BE" w:rsidP="007C66BE">
      <w:pPr>
        <w:spacing w:after="0" w:line="240" w:lineRule="auto"/>
        <w:jc w:val="center"/>
        <w:rPr>
          <w:rFonts w:ascii="Times New Roman" w:hAnsi="Times New Roman" w:cs="Times New Roman"/>
          <w:bCs/>
        </w:rPr>
      </w:pPr>
      <w:r w:rsidRPr="003E7CA7">
        <w:rPr>
          <w:rFonts w:ascii="Times New Roman" w:hAnsi="Times New Roman" w:cs="Times New Roman"/>
          <w:bCs/>
        </w:rPr>
        <w:t>Millones de quetzales</w:t>
      </w:r>
    </w:p>
    <w:p w:rsidR="007C66BE" w:rsidRPr="003E7CA7" w:rsidRDefault="003E7CA7" w:rsidP="007C66BE">
      <w:pPr>
        <w:spacing w:after="0" w:line="240" w:lineRule="auto"/>
        <w:jc w:val="both"/>
        <w:rPr>
          <w:rFonts w:ascii="Times New Roman" w:hAnsi="Times New Roman" w:cs="Times New Roman"/>
        </w:rPr>
      </w:pPr>
      <w:r w:rsidRPr="003E7CA7">
        <w:rPr>
          <w:rFonts w:ascii="Times New Roman" w:hAnsi="Times New Roman" w:cs="Times New Roman"/>
          <w:noProof/>
          <w:lang w:eastAsia="es-GT"/>
        </w:rPr>
        <w:drawing>
          <wp:inline distT="0" distB="0" distL="0" distR="0" wp14:anchorId="4C555B0D" wp14:editId="0192D45F">
            <wp:extent cx="2577465" cy="3657600"/>
            <wp:effectExtent l="0" t="0" r="0" b="0"/>
            <wp:docPr id="244" name="Gráfico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E7CA7" w:rsidRPr="003E7CA7" w:rsidRDefault="007C66BE" w:rsidP="003E7CA7">
      <w:pPr>
        <w:spacing w:after="0" w:line="240" w:lineRule="auto"/>
        <w:jc w:val="both"/>
        <w:rPr>
          <w:rFonts w:ascii="Times New Roman" w:hAnsi="Times New Roman" w:cs="Times New Roman"/>
          <w:sz w:val="18"/>
        </w:rPr>
      </w:pPr>
      <w:r w:rsidRPr="003E7CA7">
        <w:rPr>
          <w:rFonts w:ascii="Times New Roman" w:hAnsi="Times New Roman" w:cs="Times New Roman"/>
          <w:sz w:val="18"/>
        </w:rPr>
        <w:t>Fuente: Ministerio de Finanzas Públicas</w:t>
      </w:r>
    </w:p>
    <w:p w:rsidR="00725FE5" w:rsidRPr="00DC723E" w:rsidRDefault="00725FE5" w:rsidP="00FE1950">
      <w:pPr>
        <w:spacing w:after="0" w:line="240" w:lineRule="auto"/>
        <w:jc w:val="both"/>
        <w:rPr>
          <w:rFonts w:ascii="Times New Roman" w:hAnsi="Times New Roman" w:cs="Times New Roman"/>
          <w:color w:val="FF0000"/>
        </w:rPr>
        <w:sectPr w:rsidR="00725FE5" w:rsidRPr="00DC723E" w:rsidSect="007C66BE">
          <w:type w:val="continuous"/>
          <w:pgSz w:w="12240" w:h="15840"/>
          <w:pgMar w:top="1417" w:right="1701" w:bottom="1417" w:left="1701" w:header="720" w:footer="720" w:gutter="0"/>
          <w:cols w:num="2" w:space="720"/>
          <w:docGrid w:linePitch="360"/>
        </w:sectPr>
      </w:pPr>
    </w:p>
    <w:p w:rsidR="001A6038" w:rsidRPr="00DC723E" w:rsidRDefault="001A6038" w:rsidP="00674EAE">
      <w:pPr>
        <w:pStyle w:val="Sinespaciado"/>
        <w:jc w:val="both"/>
        <w:rPr>
          <w:rFonts w:ascii="Times New Roman" w:hAnsi="Times New Roman" w:cs="Times New Roman"/>
          <w:color w:val="FF0000"/>
          <w:szCs w:val="18"/>
        </w:rPr>
        <w:sectPr w:rsidR="001A6038" w:rsidRPr="00DC723E" w:rsidSect="005A03A9">
          <w:headerReference w:type="default" r:id="rId16"/>
          <w:footerReference w:type="default" r:id="rId17"/>
          <w:type w:val="continuous"/>
          <w:pgSz w:w="12240" w:h="15840"/>
          <w:pgMar w:top="1417" w:right="1701" w:bottom="1417" w:left="1701" w:header="708" w:footer="708" w:gutter="0"/>
          <w:cols w:num="2" w:space="708"/>
          <w:docGrid w:linePitch="360"/>
        </w:sectPr>
      </w:pPr>
    </w:p>
    <w:p w:rsidR="00FA3B81" w:rsidRPr="001671DB" w:rsidRDefault="00725FE5" w:rsidP="004F72F9">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FA3B81" w:rsidRPr="001671DB" w:rsidSect="00FA3B81">
          <w:headerReference w:type="default" r:id="rId18"/>
          <w:footerReference w:type="default" r:id="rId19"/>
          <w:type w:val="continuous"/>
          <w:pgSz w:w="12240" w:h="15840" w:code="1"/>
          <w:pgMar w:top="1418" w:right="1418" w:bottom="1418" w:left="1418" w:header="709" w:footer="709" w:gutter="0"/>
          <w:cols w:space="708"/>
          <w:docGrid w:linePitch="360"/>
        </w:sectPr>
      </w:pPr>
      <w:r w:rsidRPr="001671DB">
        <w:rPr>
          <w:rFonts w:ascii="Times New Roman" w:hAnsi="Times New Roman" w:cs="Times New Roman"/>
          <w:b/>
          <w:lang w:val="es-MX"/>
        </w:rPr>
        <w:lastRenderedPageBreak/>
        <w:t>Continúa el empuje en el gasto público</w:t>
      </w:r>
    </w:p>
    <w:p w:rsidR="00FA3B81" w:rsidRPr="00DC723E" w:rsidRDefault="00FA3B81" w:rsidP="00FA3B81">
      <w:pPr>
        <w:pStyle w:val="Sinespaciado"/>
        <w:rPr>
          <w:rFonts w:ascii="Times New Roman" w:hAnsi="Times New Roman" w:cs="Times New Roman"/>
          <w:b/>
          <w:color w:val="FF0000"/>
          <w:sz w:val="18"/>
          <w:lang w:val="es-MX"/>
        </w:rPr>
      </w:pPr>
    </w:p>
    <w:p w:rsidR="00FA3B81" w:rsidRPr="00DC723E" w:rsidRDefault="00FA3B81" w:rsidP="00FA3B81">
      <w:pPr>
        <w:pStyle w:val="Sinespaciado"/>
        <w:jc w:val="center"/>
        <w:rPr>
          <w:rFonts w:ascii="Times New Roman" w:hAnsi="Times New Roman" w:cs="Times New Roman"/>
          <w:b/>
          <w:color w:val="FF0000"/>
          <w:lang w:val="es-MX"/>
        </w:rPr>
        <w:sectPr w:rsidR="00FA3B81" w:rsidRPr="00DC723E" w:rsidSect="004E358C">
          <w:type w:val="continuous"/>
          <w:pgSz w:w="12240" w:h="15840"/>
          <w:pgMar w:top="1417" w:right="1701" w:bottom="1417" w:left="1701" w:header="708" w:footer="708" w:gutter="0"/>
          <w:cols w:space="708"/>
          <w:docGrid w:linePitch="360"/>
        </w:sectPr>
      </w:pPr>
    </w:p>
    <w:p w:rsidR="001671DB" w:rsidRDefault="001671DB" w:rsidP="001671DB">
      <w:pPr>
        <w:pStyle w:val="Sinespaciado"/>
        <w:jc w:val="both"/>
        <w:rPr>
          <w:rFonts w:ascii="Times New Roman" w:hAnsi="Times New Roman" w:cs="Times New Roman"/>
          <w:lang w:val="es-MX"/>
        </w:rPr>
      </w:pPr>
      <w:r>
        <w:rPr>
          <w:rFonts w:ascii="Times New Roman" w:hAnsi="Times New Roman" w:cs="Times New Roman"/>
          <w:lang w:val="es-MX"/>
        </w:rPr>
        <w:lastRenderedPageBreak/>
        <w:t>El ritmo de</w:t>
      </w:r>
      <w:r w:rsidRPr="00EC7D03">
        <w:rPr>
          <w:rFonts w:ascii="Times New Roman" w:hAnsi="Times New Roman" w:cs="Times New Roman"/>
          <w:lang w:val="es-MX"/>
        </w:rPr>
        <w:t xml:space="preserve"> ejecución del gasto público</w:t>
      </w:r>
      <w:r>
        <w:rPr>
          <w:rFonts w:ascii="Times New Roman" w:hAnsi="Times New Roman" w:cs="Times New Roman"/>
          <w:lang w:val="es-MX"/>
        </w:rPr>
        <w:t xml:space="preserve"> a junio se aceleró significativamente respecto a lo observado en los cinco meses previos, el gasto que no considera</w:t>
      </w:r>
      <w:r w:rsidRPr="00EC7D03">
        <w:rPr>
          <w:rFonts w:ascii="Times New Roman" w:hAnsi="Times New Roman" w:cs="Times New Roman"/>
          <w:lang w:val="es-MX"/>
        </w:rPr>
        <w:t xml:space="preserve"> las amortizaciones de</w:t>
      </w:r>
      <w:r>
        <w:rPr>
          <w:rFonts w:ascii="Times New Roman" w:hAnsi="Times New Roman" w:cs="Times New Roman"/>
          <w:lang w:val="es-MX"/>
        </w:rPr>
        <w:t xml:space="preserve"> la deuda pública se ubicó en Q39</w:t>
      </w:r>
      <w:r w:rsidRPr="00EC7D03">
        <w:rPr>
          <w:rFonts w:ascii="Times New Roman" w:hAnsi="Times New Roman" w:cs="Times New Roman"/>
          <w:lang w:val="es-MX"/>
        </w:rPr>
        <w:t>,</w:t>
      </w:r>
      <w:r>
        <w:rPr>
          <w:rFonts w:ascii="Times New Roman" w:hAnsi="Times New Roman" w:cs="Times New Roman"/>
          <w:lang w:val="es-MX"/>
        </w:rPr>
        <w:t>745.7 millones</w:t>
      </w:r>
      <w:r w:rsidRPr="00EC7D03">
        <w:rPr>
          <w:rFonts w:ascii="Times New Roman" w:hAnsi="Times New Roman" w:cs="Times New Roman"/>
          <w:lang w:val="es-MX"/>
        </w:rPr>
        <w:t xml:space="preserve"> </w:t>
      </w:r>
      <w:r>
        <w:rPr>
          <w:rFonts w:ascii="Times New Roman" w:hAnsi="Times New Roman" w:cs="Times New Roman"/>
          <w:lang w:val="es-MX"/>
        </w:rPr>
        <w:t xml:space="preserve">con un crecimiento interanual positivo de 9.1%, lo que es equivalente a Q3,304.5 millones. Este ritmo de ejecución es aún inferior al observado el año previo, aunque continuará acelerándose a lo largo del año y por ello se espera que al cierre sea superior al observado en 2019. </w:t>
      </w:r>
    </w:p>
    <w:p w:rsidR="001671DB" w:rsidRDefault="001671DB" w:rsidP="001671DB">
      <w:pPr>
        <w:pStyle w:val="Sinespaciado"/>
        <w:jc w:val="both"/>
        <w:rPr>
          <w:rFonts w:ascii="Times New Roman" w:hAnsi="Times New Roman" w:cs="Times New Roman"/>
          <w:lang w:val="es-MX"/>
        </w:rPr>
      </w:pPr>
    </w:p>
    <w:p w:rsidR="004D1EB1" w:rsidRDefault="004D1EB1" w:rsidP="001671DB">
      <w:pPr>
        <w:pStyle w:val="Sinespaciado"/>
        <w:jc w:val="both"/>
        <w:rPr>
          <w:rFonts w:ascii="Times New Roman" w:hAnsi="Times New Roman" w:cs="Times New Roman"/>
          <w:lang w:val="es-MX"/>
        </w:rPr>
      </w:pPr>
    </w:p>
    <w:p w:rsidR="004D1EB1" w:rsidRDefault="004D1EB1" w:rsidP="001671DB">
      <w:pPr>
        <w:pStyle w:val="Sinespaciado"/>
        <w:jc w:val="both"/>
        <w:rPr>
          <w:rFonts w:ascii="Times New Roman" w:hAnsi="Times New Roman" w:cs="Times New Roman"/>
          <w:lang w:val="es-MX"/>
        </w:rPr>
      </w:pPr>
    </w:p>
    <w:p w:rsidR="004D1EB1" w:rsidRDefault="004D1EB1" w:rsidP="001671DB">
      <w:pPr>
        <w:pStyle w:val="Sinespaciado"/>
        <w:jc w:val="both"/>
        <w:rPr>
          <w:rFonts w:ascii="Times New Roman" w:hAnsi="Times New Roman" w:cs="Times New Roman"/>
          <w:lang w:val="es-MX"/>
        </w:rPr>
      </w:pPr>
    </w:p>
    <w:p w:rsidR="004D1EB1" w:rsidRDefault="004D1EB1" w:rsidP="001671DB">
      <w:pPr>
        <w:pStyle w:val="Sinespaciado"/>
        <w:jc w:val="both"/>
        <w:rPr>
          <w:rFonts w:ascii="Times New Roman" w:hAnsi="Times New Roman" w:cs="Times New Roman"/>
          <w:lang w:val="es-MX"/>
        </w:rPr>
      </w:pPr>
    </w:p>
    <w:p w:rsidR="001671DB" w:rsidRPr="009D459C" w:rsidRDefault="001671DB" w:rsidP="001671DB">
      <w:pPr>
        <w:pStyle w:val="Sinespaciado"/>
        <w:jc w:val="center"/>
        <w:rPr>
          <w:rFonts w:ascii="Times New Roman" w:hAnsi="Times New Roman" w:cs="Times New Roman"/>
          <w:b/>
          <w:lang w:val="es-MX"/>
        </w:rPr>
      </w:pPr>
      <w:r w:rsidRPr="009D459C">
        <w:rPr>
          <w:rFonts w:ascii="Times New Roman" w:hAnsi="Times New Roman" w:cs="Times New Roman"/>
          <w:b/>
          <w:lang w:val="es-MX"/>
        </w:rPr>
        <w:lastRenderedPageBreak/>
        <w:t>Ritmo de Ejecución del Gasto</w:t>
      </w:r>
    </w:p>
    <w:p w:rsidR="001671DB" w:rsidRDefault="004D1EB1" w:rsidP="001671DB">
      <w:pPr>
        <w:pStyle w:val="Sinespaciado"/>
        <w:jc w:val="center"/>
        <w:rPr>
          <w:rFonts w:ascii="Times New Roman" w:hAnsi="Times New Roman" w:cs="Times New Roman"/>
          <w:sz w:val="18"/>
          <w:lang w:val="es-MX"/>
        </w:rPr>
      </w:pPr>
      <w:r>
        <w:rPr>
          <w:noProof/>
          <w:lang w:eastAsia="es-GT"/>
        </w:rPr>
        <w:drawing>
          <wp:anchor distT="0" distB="0" distL="114300" distR="114300" simplePos="0" relativeHeight="251794432" behindDoc="0" locked="0" layoutInCell="1" allowOverlap="1" wp14:anchorId="37AF461F" wp14:editId="5A21D7D2">
            <wp:simplePos x="0" y="0"/>
            <wp:positionH relativeFrom="column">
              <wp:posOffset>-163195</wp:posOffset>
            </wp:positionH>
            <wp:positionV relativeFrom="paragraph">
              <wp:posOffset>131445</wp:posOffset>
            </wp:positionV>
            <wp:extent cx="3021965" cy="2137410"/>
            <wp:effectExtent l="0" t="0" r="6985" b="0"/>
            <wp:wrapSquare wrapText="bothSides"/>
            <wp:docPr id="14" name="Gráfico 1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1671DB" w:rsidRPr="009D459C">
        <w:rPr>
          <w:rFonts w:ascii="Times New Roman" w:hAnsi="Times New Roman" w:cs="Times New Roman"/>
          <w:sz w:val="18"/>
          <w:lang w:val="es-MX"/>
        </w:rPr>
        <w:t>Variación Interanual</w:t>
      </w:r>
      <w:r w:rsidR="001671DB">
        <w:rPr>
          <w:rFonts w:ascii="Times New Roman" w:hAnsi="Times New Roman" w:cs="Times New Roman"/>
          <w:sz w:val="18"/>
          <w:lang w:val="es-MX"/>
        </w:rPr>
        <w:t>*</w:t>
      </w:r>
    </w:p>
    <w:p w:rsidR="001671DB" w:rsidRPr="00D56309" w:rsidRDefault="001671DB" w:rsidP="001671DB">
      <w:pPr>
        <w:pStyle w:val="Sinespaciado"/>
        <w:rPr>
          <w:rFonts w:ascii="Times New Roman" w:hAnsi="Times New Roman" w:cs="Times New Roman"/>
          <w:sz w:val="16"/>
          <w:lang w:val="es-MX"/>
        </w:rPr>
      </w:pPr>
      <w:r w:rsidRPr="00D56309">
        <w:rPr>
          <w:rFonts w:ascii="Times New Roman" w:hAnsi="Times New Roman" w:cs="Times New Roman"/>
          <w:sz w:val="16"/>
          <w:lang w:val="es-MX"/>
        </w:rPr>
        <w:t>*No incluye amortizaciones de la deuda pública</w:t>
      </w:r>
    </w:p>
    <w:p w:rsidR="001671DB" w:rsidRPr="00FF28D2" w:rsidRDefault="001671DB" w:rsidP="001671DB">
      <w:pPr>
        <w:spacing w:after="0" w:line="240" w:lineRule="auto"/>
        <w:jc w:val="both"/>
        <w:rPr>
          <w:rFonts w:ascii="Times New Roman" w:hAnsi="Times New Roman" w:cs="Times New Roman"/>
          <w:sz w:val="16"/>
        </w:rPr>
      </w:pPr>
      <w:r w:rsidRPr="00FF28D2">
        <w:rPr>
          <w:rFonts w:ascii="Times New Roman" w:hAnsi="Times New Roman" w:cs="Times New Roman"/>
          <w:sz w:val="16"/>
        </w:rPr>
        <w:t>Fuente: Dirección de Análisis y Política Fiscal</w:t>
      </w:r>
    </w:p>
    <w:p w:rsidR="001671DB" w:rsidRDefault="001671DB" w:rsidP="001671DB">
      <w:pPr>
        <w:pStyle w:val="Sinespaciado"/>
        <w:jc w:val="both"/>
        <w:rPr>
          <w:rFonts w:ascii="Times New Roman" w:hAnsi="Times New Roman" w:cs="Times New Roman"/>
          <w:lang w:val="es-MX"/>
        </w:rPr>
      </w:pPr>
    </w:p>
    <w:p w:rsidR="001671DB" w:rsidRDefault="001671DB" w:rsidP="001671DB">
      <w:pPr>
        <w:pStyle w:val="Sinespaciado"/>
        <w:jc w:val="both"/>
        <w:rPr>
          <w:rFonts w:ascii="Times New Roman" w:hAnsi="Times New Roman" w:cs="Times New Roman"/>
          <w:lang w:val="es-MX"/>
        </w:rPr>
      </w:pPr>
      <w:r>
        <w:rPr>
          <w:rFonts w:ascii="Times New Roman" w:hAnsi="Times New Roman" w:cs="Times New Roman"/>
        </w:rPr>
        <w:t xml:space="preserve">A junio las ampliaciones presupuestarias alcanzan un monto de Q20,045.7, de las cuales el 71.3% corresponden a las ampliaciones para atender la emergencia </w:t>
      </w:r>
      <w:r>
        <w:rPr>
          <w:rFonts w:ascii="Times New Roman" w:hAnsi="Times New Roman" w:cs="Times New Roman"/>
          <w:lang w:val="es-MX"/>
        </w:rPr>
        <w:t xml:space="preserve">sanitaria y económica causada por la enfermedad COVID-19, de esa cuenta se registra un presupuesto vigente que asciende a Q107,760.7 millones. </w:t>
      </w:r>
    </w:p>
    <w:p w:rsidR="001671DB" w:rsidRDefault="001671DB" w:rsidP="001671DB">
      <w:pPr>
        <w:pStyle w:val="Sinespaciado"/>
        <w:jc w:val="both"/>
        <w:rPr>
          <w:rFonts w:ascii="Times New Roman" w:hAnsi="Times New Roman" w:cs="Times New Roman"/>
          <w:lang w:val="es-MX"/>
        </w:rPr>
      </w:pPr>
    </w:p>
    <w:p w:rsidR="001671DB" w:rsidRDefault="001671DB" w:rsidP="001671DB">
      <w:pPr>
        <w:pStyle w:val="Sinespaciado"/>
        <w:jc w:val="both"/>
        <w:rPr>
          <w:rFonts w:ascii="Times New Roman" w:hAnsi="Times New Roman" w:cs="Times New Roman"/>
          <w:lang w:val="es-MX"/>
        </w:rPr>
      </w:pPr>
      <w:r>
        <w:rPr>
          <w:rFonts w:ascii="Times New Roman" w:hAnsi="Times New Roman" w:cs="Times New Roman"/>
          <w:lang w:val="es-MX"/>
        </w:rPr>
        <w:t xml:space="preserve">A nivel de rubro de cuenta económica, el mayor crecimiento interanual se reporta en la inversión financiera con Q1,447.1 millones, en el 2019 este rubro apenas reportaba ejecución, en el presente ejercicio fiscal este monto corresponde al traslado de recursos hacia el Crédito Hipotecario Nacional (CHN) en atención a la actividad fondo de crédito para capital de trabajo, en los cuales los recursos son utilizados para el otorgamiento de créditos en condiciones blandas para mantener la capacidad productiva y la continuidad en las operaciones de negocio por un monto máximo de Q250,000.00, es importante destacar que la ejecución del rubro corresponde al traslado de recursos hacia el CHN y no al otorgamiento de créditos como tal. </w:t>
      </w:r>
    </w:p>
    <w:p w:rsidR="001671DB" w:rsidRDefault="001671DB" w:rsidP="001671DB">
      <w:pPr>
        <w:pStyle w:val="Sinespaciado"/>
        <w:jc w:val="both"/>
        <w:rPr>
          <w:rFonts w:ascii="Times New Roman" w:hAnsi="Times New Roman" w:cs="Times New Roman"/>
          <w:lang w:val="es-MX"/>
        </w:rPr>
      </w:pPr>
    </w:p>
    <w:p w:rsidR="001671DB" w:rsidRDefault="001671DB" w:rsidP="001671DB">
      <w:pPr>
        <w:pStyle w:val="Sinespaciado"/>
        <w:jc w:val="both"/>
        <w:rPr>
          <w:rFonts w:ascii="Times New Roman" w:hAnsi="Times New Roman" w:cs="Times New Roman"/>
          <w:lang w:val="es-MX"/>
        </w:rPr>
      </w:pPr>
      <w:r>
        <w:rPr>
          <w:rFonts w:ascii="Times New Roman" w:hAnsi="Times New Roman" w:cs="Times New Roman"/>
          <w:lang w:val="es-MX"/>
        </w:rPr>
        <w:t xml:space="preserve">Por su parte, las transferencias corrientes reportan un crecimiento interanual de 17.7%, equivalente a Q1,388.8 millones, como resultado de una mayor ejecución en las transferencias a personas individuales. En el pago de las remuneraciones se reporta un crecimiento interanual de 9.9% y una ejecución mayor en Q1,123.2 millones, como resultado de los compromisos adquiridos en los pactos colectivos negociados el año previo. </w:t>
      </w:r>
    </w:p>
    <w:p w:rsidR="001671DB" w:rsidRDefault="001671DB" w:rsidP="001671DB">
      <w:pPr>
        <w:pStyle w:val="Sinespaciado"/>
        <w:jc w:val="both"/>
        <w:rPr>
          <w:rFonts w:ascii="Times New Roman" w:hAnsi="Times New Roman" w:cs="Times New Roman"/>
          <w:lang w:val="es-MX"/>
        </w:rPr>
      </w:pPr>
    </w:p>
    <w:p w:rsidR="001671DB" w:rsidRDefault="001671DB" w:rsidP="001671DB">
      <w:pPr>
        <w:pStyle w:val="Sinespaciado"/>
        <w:jc w:val="both"/>
        <w:rPr>
          <w:rFonts w:ascii="Times New Roman" w:hAnsi="Times New Roman" w:cs="Times New Roman"/>
          <w:lang w:val="es-MX"/>
        </w:rPr>
      </w:pPr>
      <w:r>
        <w:rPr>
          <w:rFonts w:ascii="Times New Roman" w:hAnsi="Times New Roman" w:cs="Times New Roman"/>
          <w:lang w:val="es-MX"/>
        </w:rPr>
        <w:t xml:space="preserve">El pago de intereses también reporta avances respecto al año previo, siendo el crecimiento interanual de 4.5%, equivalente a Q208.0 millones, explicado casi en su totalidad por los bonos colocados en el mercado internacional. Respecto a las prestaciones a la seguridad social se reporta un crecimiento leve de 1.2%, equivalente a Q29.3 millones. </w:t>
      </w:r>
    </w:p>
    <w:p w:rsidR="001671DB" w:rsidRDefault="001671DB" w:rsidP="001671DB">
      <w:pPr>
        <w:pStyle w:val="Sinespaciado"/>
        <w:jc w:val="both"/>
        <w:rPr>
          <w:rFonts w:ascii="Times New Roman" w:hAnsi="Times New Roman" w:cs="Times New Roman"/>
          <w:lang w:val="es-MX"/>
        </w:rPr>
      </w:pPr>
    </w:p>
    <w:p w:rsidR="001671DB" w:rsidRDefault="001671DB" w:rsidP="001671DB">
      <w:pPr>
        <w:pStyle w:val="Sinespaciado"/>
        <w:jc w:val="center"/>
        <w:rPr>
          <w:rFonts w:ascii="Times New Roman" w:hAnsi="Times New Roman" w:cs="Times New Roman"/>
          <w:sz w:val="18"/>
          <w:lang w:val="es-MX"/>
        </w:rPr>
      </w:pPr>
      <w:r w:rsidRPr="007E4979">
        <w:rPr>
          <w:rFonts w:ascii="Times New Roman" w:hAnsi="Times New Roman" w:cs="Times New Roman"/>
          <w:b/>
          <w:lang w:val="es-MX"/>
        </w:rPr>
        <w:t>Ejecución por rubro de Cuenta Económica</w:t>
      </w:r>
      <w:r>
        <w:t xml:space="preserve"> </w:t>
      </w:r>
      <w:r w:rsidRPr="007E4979">
        <w:rPr>
          <w:rFonts w:ascii="Times New Roman" w:hAnsi="Times New Roman" w:cs="Times New Roman"/>
          <w:sz w:val="18"/>
          <w:lang w:val="es-MX"/>
        </w:rPr>
        <w:t>20</w:t>
      </w:r>
      <w:r>
        <w:rPr>
          <w:rFonts w:ascii="Times New Roman" w:hAnsi="Times New Roman" w:cs="Times New Roman"/>
          <w:sz w:val="18"/>
          <w:lang w:val="es-MX"/>
        </w:rPr>
        <w:t>20 – 2019</w:t>
      </w:r>
    </w:p>
    <w:p w:rsidR="001671DB" w:rsidRDefault="001671DB" w:rsidP="001671DB">
      <w:pPr>
        <w:pStyle w:val="Sinespaciado"/>
        <w:jc w:val="center"/>
        <w:rPr>
          <w:rFonts w:ascii="Times New Roman" w:hAnsi="Times New Roman" w:cs="Times New Roman"/>
          <w:sz w:val="18"/>
          <w:lang w:val="es-MX"/>
        </w:rPr>
      </w:pPr>
      <w:r w:rsidRPr="007E4979">
        <w:rPr>
          <w:rFonts w:ascii="Times New Roman" w:hAnsi="Times New Roman" w:cs="Times New Roman"/>
          <w:sz w:val="18"/>
          <w:lang w:val="es-MX"/>
        </w:rPr>
        <w:t>Variación absoluta interanual</w:t>
      </w:r>
    </w:p>
    <w:p w:rsidR="001671DB" w:rsidRDefault="001671DB" w:rsidP="001671DB">
      <w:pPr>
        <w:pStyle w:val="Sinespaciado"/>
        <w:jc w:val="center"/>
        <w:rPr>
          <w:rFonts w:ascii="Times New Roman" w:hAnsi="Times New Roman" w:cs="Times New Roman"/>
          <w:sz w:val="18"/>
          <w:lang w:val="es-MX"/>
        </w:rPr>
      </w:pPr>
      <w:r>
        <w:rPr>
          <w:noProof/>
          <w:lang w:eastAsia="es-GT"/>
        </w:rPr>
        <w:drawing>
          <wp:inline distT="0" distB="0" distL="0" distR="0" wp14:anchorId="5F6174D8" wp14:editId="38CC6F57">
            <wp:extent cx="2847975" cy="2346960"/>
            <wp:effectExtent l="0" t="0" r="0" b="0"/>
            <wp:docPr id="25" name="Gráfico 25">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671DB" w:rsidRDefault="001671DB" w:rsidP="001671DB">
      <w:pPr>
        <w:spacing w:after="0" w:line="240" w:lineRule="auto"/>
        <w:jc w:val="both"/>
        <w:rPr>
          <w:rFonts w:ascii="Times New Roman" w:hAnsi="Times New Roman" w:cs="Times New Roman"/>
          <w:sz w:val="16"/>
        </w:rPr>
      </w:pPr>
      <w:r w:rsidRPr="00FF28D2">
        <w:rPr>
          <w:rFonts w:ascii="Times New Roman" w:hAnsi="Times New Roman" w:cs="Times New Roman"/>
          <w:sz w:val="16"/>
        </w:rPr>
        <w:t>Fuente: Dirección de Análisis y Política Fiscal</w:t>
      </w:r>
    </w:p>
    <w:p w:rsidR="001671DB" w:rsidRPr="000206F7" w:rsidRDefault="001671DB" w:rsidP="001671DB">
      <w:pPr>
        <w:pStyle w:val="Sinespaciado"/>
        <w:jc w:val="both"/>
        <w:rPr>
          <w:rFonts w:ascii="Times New Roman" w:hAnsi="Times New Roman" w:cs="Times New Roman"/>
        </w:rPr>
      </w:pPr>
    </w:p>
    <w:p w:rsidR="001671DB" w:rsidRDefault="001671DB" w:rsidP="001671DB">
      <w:pPr>
        <w:pStyle w:val="Sinespaciado"/>
        <w:jc w:val="both"/>
        <w:rPr>
          <w:rFonts w:ascii="Times New Roman" w:hAnsi="Times New Roman" w:cs="Times New Roman"/>
          <w:lang w:val="es-MX"/>
        </w:rPr>
      </w:pPr>
      <w:r>
        <w:rPr>
          <w:rFonts w:ascii="Times New Roman" w:hAnsi="Times New Roman" w:cs="Times New Roman"/>
          <w:lang w:val="es-MX"/>
        </w:rPr>
        <w:t xml:space="preserve">Por su parte, el resto de los rubros reportan una menor ejecución respecto al año previo, siendo las caídas </w:t>
      </w:r>
      <w:r w:rsidRPr="009367DB">
        <w:rPr>
          <w:rFonts w:ascii="Times New Roman" w:hAnsi="Times New Roman" w:cs="Times New Roman"/>
          <w:lang w:val="es-MX"/>
        </w:rPr>
        <w:t xml:space="preserve">más </w:t>
      </w:r>
      <w:r>
        <w:rPr>
          <w:rFonts w:ascii="Times New Roman" w:hAnsi="Times New Roman" w:cs="Times New Roman"/>
          <w:lang w:val="es-MX"/>
        </w:rPr>
        <w:t>importantes la reportada en los bienes y servicios (-3.8%, equivalente a Q128.4 millones) y la inversión real directa (-34.4%, equivalente a Q705.7 millones).</w:t>
      </w:r>
    </w:p>
    <w:p w:rsidR="001671DB" w:rsidRDefault="001671DB" w:rsidP="001671DB">
      <w:pPr>
        <w:pStyle w:val="Sinespaciado"/>
        <w:jc w:val="both"/>
        <w:rPr>
          <w:rFonts w:ascii="Times New Roman" w:hAnsi="Times New Roman" w:cs="Times New Roman"/>
          <w:lang w:val="es-MX"/>
        </w:rPr>
      </w:pPr>
    </w:p>
    <w:p w:rsidR="001671DB" w:rsidRDefault="001671DB" w:rsidP="001671DB">
      <w:pPr>
        <w:pStyle w:val="Sinespaciado"/>
        <w:jc w:val="both"/>
        <w:rPr>
          <w:rFonts w:ascii="Times New Roman" w:hAnsi="Times New Roman" w:cs="Times New Roman"/>
          <w:lang w:val="es-MX"/>
        </w:rPr>
      </w:pPr>
      <w:r>
        <w:rPr>
          <w:rFonts w:ascii="Times New Roman" w:hAnsi="Times New Roman" w:cs="Times New Roman"/>
          <w:lang w:val="es-MX"/>
        </w:rPr>
        <w:t xml:space="preserve">En el caso de los bienes y servicios todas las entidades reportan una menor ejecución, a excepción de Gobernación y Comunicaciones, Infraestructura y Vivienda que reportan un crecimiento de 8.9% y 67.2%, respectivamente. </w:t>
      </w:r>
      <w:r w:rsidRPr="006220B2">
        <w:rPr>
          <w:rFonts w:ascii="Times New Roman" w:hAnsi="Times New Roman" w:cs="Times New Roman"/>
          <w:lang w:val="es-MX"/>
        </w:rPr>
        <w:t xml:space="preserve">Respecto a la </w:t>
      </w:r>
      <w:r>
        <w:rPr>
          <w:rFonts w:ascii="Times New Roman" w:hAnsi="Times New Roman" w:cs="Times New Roman"/>
          <w:lang w:val="es-MX"/>
        </w:rPr>
        <w:t xml:space="preserve">inversión real directa, su caída </w:t>
      </w:r>
      <w:proofErr w:type="spellStart"/>
      <w:r>
        <w:rPr>
          <w:rFonts w:ascii="Times New Roman" w:hAnsi="Times New Roman" w:cs="Times New Roman"/>
          <w:lang w:val="es-MX"/>
        </w:rPr>
        <w:t>esta</w:t>
      </w:r>
      <w:proofErr w:type="spellEnd"/>
      <w:r>
        <w:rPr>
          <w:rFonts w:ascii="Times New Roman" w:hAnsi="Times New Roman" w:cs="Times New Roman"/>
          <w:lang w:val="es-MX"/>
        </w:rPr>
        <w:t xml:space="preserve"> asociada a una menor ejecución por parte de </w:t>
      </w:r>
      <w:r w:rsidRPr="00FA477A">
        <w:rPr>
          <w:rFonts w:ascii="Times New Roman" w:hAnsi="Times New Roman" w:cs="Times New Roman"/>
          <w:lang w:val="es-MX"/>
        </w:rPr>
        <w:t>Comunicaciones, Infraestructura y Vivienda</w:t>
      </w:r>
      <w:r>
        <w:rPr>
          <w:rFonts w:ascii="Times New Roman" w:hAnsi="Times New Roman" w:cs="Times New Roman"/>
          <w:lang w:val="es-MX"/>
        </w:rPr>
        <w:t xml:space="preserve">, siendo la principal entidad responsable de este rubro. </w:t>
      </w:r>
    </w:p>
    <w:p w:rsidR="001671DB" w:rsidRDefault="001671DB" w:rsidP="001671DB">
      <w:pPr>
        <w:pStyle w:val="Sinespaciado"/>
        <w:jc w:val="both"/>
        <w:rPr>
          <w:rFonts w:ascii="Times New Roman" w:hAnsi="Times New Roman" w:cs="Times New Roman"/>
          <w:lang w:val="es-MX"/>
        </w:rPr>
      </w:pPr>
    </w:p>
    <w:p w:rsidR="001671DB" w:rsidRDefault="001671DB" w:rsidP="001671DB">
      <w:pPr>
        <w:pStyle w:val="Sinespaciado"/>
        <w:jc w:val="both"/>
        <w:rPr>
          <w:rFonts w:ascii="Times New Roman" w:hAnsi="Times New Roman" w:cs="Times New Roman"/>
          <w:lang w:val="es-MX"/>
        </w:rPr>
      </w:pPr>
      <w:r>
        <w:rPr>
          <w:rFonts w:ascii="Times New Roman" w:hAnsi="Times New Roman" w:cs="Times New Roman"/>
          <w:lang w:val="es-MX"/>
        </w:rPr>
        <w:t xml:space="preserve">En cuanto al </w:t>
      </w:r>
      <w:r w:rsidRPr="006220B2">
        <w:rPr>
          <w:rFonts w:ascii="Times New Roman" w:hAnsi="Times New Roman" w:cs="Times New Roman"/>
          <w:lang w:val="es-MX"/>
        </w:rPr>
        <w:t>gasto</w:t>
      </w:r>
      <w:r>
        <w:rPr>
          <w:rFonts w:ascii="Times New Roman" w:hAnsi="Times New Roman" w:cs="Times New Roman"/>
          <w:lang w:val="es-MX"/>
        </w:rPr>
        <w:t xml:space="preserve"> total</w:t>
      </w:r>
      <w:r w:rsidRPr="006220B2">
        <w:rPr>
          <w:rFonts w:ascii="Times New Roman" w:hAnsi="Times New Roman" w:cs="Times New Roman"/>
          <w:lang w:val="es-MX"/>
        </w:rPr>
        <w:t xml:space="preserve">, </w:t>
      </w:r>
      <w:r>
        <w:rPr>
          <w:rFonts w:ascii="Times New Roman" w:hAnsi="Times New Roman" w:cs="Times New Roman"/>
          <w:lang w:val="es-MX"/>
        </w:rPr>
        <w:t>el</w:t>
      </w:r>
      <w:r w:rsidRPr="006220B2">
        <w:rPr>
          <w:rFonts w:ascii="Times New Roman" w:hAnsi="Times New Roman" w:cs="Times New Roman"/>
          <w:lang w:val="es-MX"/>
        </w:rPr>
        <w:t xml:space="preserve"> cual incluye amortizaciones de la </w:t>
      </w:r>
      <w:r>
        <w:rPr>
          <w:rFonts w:ascii="Times New Roman" w:hAnsi="Times New Roman" w:cs="Times New Roman"/>
          <w:lang w:val="es-MX"/>
        </w:rPr>
        <w:t xml:space="preserve">deuda pública, </w:t>
      </w:r>
      <w:r w:rsidRPr="006220B2">
        <w:rPr>
          <w:rFonts w:ascii="Times New Roman" w:hAnsi="Times New Roman" w:cs="Times New Roman"/>
          <w:lang w:val="es-MX"/>
        </w:rPr>
        <w:t>se situó en Q</w:t>
      </w:r>
      <w:r>
        <w:rPr>
          <w:rFonts w:ascii="Times New Roman" w:hAnsi="Times New Roman" w:cs="Times New Roman"/>
          <w:lang w:val="es-MX"/>
        </w:rPr>
        <w:t>41</w:t>
      </w:r>
      <w:r w:rsidRPr="006220B2">
        <w:rPr>
          <w:rFonts w:ascii="Times New Roman" w:hAnsi="Times New Roman" w:cs="Times New Roman"/>
          <w:lang w:val="es-MX"/>
        </w:rPr>
        <w:t>,</w:t>
      </w:r>
      <w:r>
        <w:rPr>
          <w:rFonts w:ascii="Times New Roman" w:hAnsi="Times New Roman" w:cs="Times New Roman"/>
          <w:lang w:val="es-MX"/>
        </w:rPr>
        <w:t>296.2</w:t>
      </w:r>
      <w:r w:rsidRPr="006220B2">
        <w:rPr>
          <w:rFonts w:ascii="Times New Roman" w:hAnsi="Times New Roman" w:cs="Times New Roman"/>
          <w:lang w:val="es-MX"/>
        </w:rPr>
        <w:t xml:space="preserve"> millones</w:t>
      </w:r>
      <w:r>
        <w:rPr>
          <w:rFonts w:ascii="Times New Roman" w:hAnsi="Times New Roman" w:cs="Times New Roman"/>
          <w:lang w:val="es-MX"/>
        </w:rPr>
        <w:t>, con un grado de ejecución de 38.3% y una variación interanual de 9.0%. E</w:t>
      </w:r>
      <w:r w:rsidRPr="006220B2">
        <w:rPr>
          <w:rFonts w:ascii="Times New Roman" w:hAnsi="Times New Roman" w:cs="Times New Roman"/>
          <w:lang w:val="es-MX"/>
        </w:rPr>
        <w:t xml:space="preserve">ste </w:t>
      </w:r>
      <w:r>
        <w:rPr>
          <w:rFonts w:ascii="Times New Roman" w:hAnsi="Times New Roman" w:cs="Times New Roman"/>
          <w:lang w:val="es-MX"/>
        </w:rPr>
        <w:t xml:space="preserve">grado de ejecución </w:t>
      </w:r>
      <w:r w:rsidRPr="006220B2">
        <w:rPr>
          <w:rFonts w:ascii="Times New Roman" w:hAnsi="Times New Roman" w:cs="Times New Roman"/>
          <w:lang w:val="es-MX"/>
        </w:rPr>
        <w:t xml:space="preserve">se encuentra por </w:t>
      </w:r>
      <w:r>
        <w:rPr>
          <w:rFonts w:ascii="Times New Roman" w:hAnsi="Times New Roman" w:cs="Times New Roman"/>
          <w:lang w:val="es-MX"/>
        </w:rPr>
        <w:t>abajo d</w:t>
      </w:r>
      <w:r w:rsidRPr="006220B2">
        <w:rPr>
          <w:rFonts w:ascii="Times New Roman" w:hAnsi="Times New Roman" w:cs="Times New Roman"/>
          <w:lang w:val="es-MX"/>
        </w:rPr>
        <w:t>e la ejecución promedio de los últimos 5 años (</w:t>
      </w:r>
      <w:r>
        <w:rPr>
          <w:rFonts w:ascii="Times New Roman" w:hAnsi="Times New Roman" w:cs="Times New Roman"/>
          <w:lang w:val="es-MX"/>
        </w:rPr>
        <w:t>41.8</w:t>
      </w:r>
      <w:r w:rsidRPr="006220B2">
        <w:rPr>
          <w:rFonts w:ascii="Times New Roman" w:hAnsi="Times New Roman" w:cs="Times New Roman"/>
          <w:lang w:val="es-MX"/>
        </w:rPr>
        <w:t>%)</w:t>
      </w:r>
      <w:r>
        <w:rPr>
          <w:rFonts w:ascii="Times New Roman" w:hAnsi="Times New Roman" w:cs="Times New Roman"/>
          <w:lang w:val="es-MX"/>
        </w:rPr>
        <w:t xml:space="preserve"> </w:t>
      </w:r>
      <w:r w:rsidRPr="006220B2">
        <w:rPr>
          <w:rFonts w:ascii="Times New Roman" w:hAnsi="Times New Roman" w:cs="Times New Roman"/>
          <w:lang w:val="es-MX"/>
        </w:rPr>
        <w:t xml:space="preserve">y es </w:t>
      </w:r>
      <w:r>
        <w:rPr>
          <w:rFonts w:ascii="Times New Roman" w:hAnsi="Times New Roman" w:cs="Times New Roman"/>
          <w:lang w:val="es-MX"/>
        </w:rPr>
        <w:t>infer</w:t>
      </w:r>
      <w:r w:rsidRPr="006220B2">
        <w:rPr>
          <w:rFonts w:ascii="Times New Roman" w:hAnsi="Times New Roman" w:cs="Times New Roman"/>
          <w:lang w:val="es-MX"/>
        </w:rPr>
        <w:t>ior a la reportada en</w:t>
      </w:r>
      <w:r>
        <w:rPr>
          <w:rFonts w:ascii="Times New Roman" w:hAnsi="Times New Roman" w:cs="Times New Roman"/>
          <w:lang w:val="es-MX"/>
        </w:rPr>
        <w:t xml:space="preserve"> cada uno </w:t>
      </w:r>
      <w:r>
        <w:rPr>
          <w:rFonts w:ascii="Times New Roman" w:hAnsi="Times New Roman" w:cs="Times New Roman"/>
          <w:lang w:val="es-MX"/>
        </w:rPr>
        <w:lastRenderedPageBreak/>
        <w:t xml:space="preserve">de los 5 años previos (2015-2019). Al sustraer las ampliaciones presupuestarias y la ejecución derivadas de la emergencia del COVID-19, la ejecución aumenta en 1.5%, hasta ubicarse en 39.8%, siendo aún inferior al nivel promedio.  </w:t>
      </w:r>
      <w:r w:rsidRPr="006220B2">
        <w:rPr>
          <w:rFonts w:ascii="Times New Roman" w:hAnsi="Times New Roman" w:cs="Times New Roman"/>
          <w:lang w:val="es-MX"/>
        </w:rPr>
        <w:t xml:space="preserve"> </w:t>
      </w:r>
    </w:p>
    <w:p w:rsidR="001671DB" w:rsidRDefault="001671DB" w:rsidP="001671DB">
      <w:pPr>
        <w:pStyle w:val="Sinespaciado"/>
        <w:jc w:val="both"/>
        <w:rPr>
          <w:rFonts w:ascii="Times New Roman" w:hAnsi="Times New Roman" w:cs="Times New Roman"/>
          <w:lang w:val="es-MX"/>
        </w:rPr>
      </w:pPr>
    </w:p>
    <w:p w:rsidR="001671DB" w:rsidRDefault="001671DB" w:rsidP="001671DB">
      <w:pPr>
        <w:pStyle w:val="Sinespaciado"/>
        <w:jc w:val="both"/>
        <w:rPr>
          <w:rFonts w:ascii="Times New Roman" w:hAnsi="Times New Roman" w:cs="Times New Roman"/>
          <w:lang w:val="es-MX"/>
        </w:rPr>
      </w:pPr>
      <w:r>
        <w:rPr>
          <w:rFonts w:ascii="Times New Roman" w:hAnsi="Times New Roman" w:cs="Times New Roman"/>
          <w:lang w:val="es-MX"/>
        </w:rPr>
        <w:t xml:space="preserve">El aparente bajo nivel de ejecución es resultado del efecto de las ampliaciones presupuestarias registradas hasta la fecha, por concepto de ampliaciones para la atención de la emergencia de COVID-19 y del resto de ampliaciones para complementar las necesidades de las entidades. Adicionalmente hay que tomar en consideración que en el primer año de un gobierno electo la ejecución siempre suele ser </w:t>
      </w:r>
      <w:r>
        <w:rPr>
          <w:rFonts w:ascii="Times New Roman" w:hAnsi="Times New Roman" w:cs="Times New Roman"/>
          <w:lang w:val="es-MX"/>
        </w:rPr>
        <w:t>más</w:t>
      </w:r>
      <w:r>
        <w:rPr>
          <w:rFonts w:ascii="Times New Roman" w:hAnsi="Times New Roman" w:cs="Times New Roman"/>
          <w:lang w:val="es-MX"/>
        </w:rPr>
        <w:t xml:space="preserve"> lenta, derivado que se dan cambios a lo interno de las instituciones no solo a nivel de las autoridades superiores, lo que requiere un proceso de adaptación. </w:t>
      </w:r>
    </w:p>
    <w:p w:rsidR="001671DB" w:rsidRDefault="001671DB" w:rsidP="001671DB">
      <w:pPr>
        <w:spacing w:after="0" w:line="240" w:lineRule="auto"/>
        <w:jc w:val="center"/>
        <w:rPr>
          <w:rFonts w:ascii="Times New Roman" w:hAnsi="Times New Roman" w:cs="Times New Roman"/>
          <w:b/>
          <w:lang w:val="es-MX"/>
        </w:rPr>
      </w:pPr>
    </w:p>
    <w:p w:rsidR="001671DB" w:rsidRPr="00FC1C67" w:rsidRDefault="001671DB" w:rsidP="001671DB">
      <w:pPr>
        <w:spacing w:after="0" w:line="240" w:lineRule="auto"/>
        <w:jc w:val="center"/>
        <w:rPr>
          <w:rFonts w:ascii="Times New Roman" w:hAnsi="Times New Roman" w:cs="Times New Roman"/>
          <w:b/>
          <w:lang w:val="es-MX"/>
        </w:rPr>
      </w:pPr>
      <w:r w:rsidRPr="00FC1C67">
        <w:rPr>
          <w:rFonts w:ascii="Times New Roman" w:hAnsi="Times New Roman" w:cs="Times New Roman"/>
          <w:b/>
          <w:lang w:val="es-MX"/>
        </w:rPr>
        <w:t xml:space="preserve">Grado de Ejecución </w:t>
      </w:r>
      <w:r>
        <w:rPr>
          <w:rFonts w:ascii="Times New Roman" w:hAnsi="Times New Roman" w:cs="Times New Roman"/>
          <w:b/>
          <w:lang w:val="es-MX"/>
        </w:rPr>
        <w:t>de los últimos 5 años</w:t>
      </w:r>
    </w:p>
    <w:p w:rsidR="001671DB" w:rsidRDefault="001671DB" w:rsidP="001671DB">
      <w:pPr>
        <w:pStyle w:val="Sinespaciado"/>
        <w:jc w:val="center"/>
        <w:rPr>
          <w:rFonts w:ascii="Times New Roman" w:hAnsi="Times New Roman" w:cs="Times New Roman"/>
          <w:sz w:val="18"/>
          <w:szCs w:val="18"/>
          <w:lang w:val="es-MX"/>
        </w:rPr>
      </w:pPr>
      <w:r>
        <w:rPr>
          <w:rFonts w:ascii="Times New Roman" w:hAnsi="Times New Roman" w:cs="Times New Roman"/>
          <w:sz w:val="18"/>
          <w:szCs w:val="18"/>
          <w:lang w:val="es-MX"/>
        </w:rPr>
        <w:t>Al 30</w:t>
      </w:r>
      <w:r w:rsidRPr="00FC1C67">
        <w:rPr>
          <w:rFonts w:ascii="Times New Roman" w:hAnsi="Times New Roman" w:cs="Times New Roman"/>
          <w:sz w:val="18"/>
          <w:szCs w:val="18"/>
          <w:lang w:val="es-MX"/>
        </w:rPr>
        <w:t xml:space="preserve"> de </w:t>
      </w:r>
      <w:r>
        <w:rPr>
          <w:rFonts w:ascii="Times New Roman" w:hAnsi="Times New Roman" w:cs="Times New Roman"/>
          <w:sz w:val="18"/>
          <w:szCs w:val="18"/>
          <w:lang w:val="es-MX"/>
        </w:rPr>
        <w:t xml:space="preserve">junio </w:t>
      </w:r>
      <w:r w:rsidRPr="00FC1C67">
        <w:rPr>
          <w:rFonts w:ascii="Times New Roman" w:hAnsi="Times New Roman" w:cs="Times New Roman"/>
          <w:sz w:val="18"/>
          <w:szCs w:val="18"/>
          <w:lang w:val="es-MX"/>
        </w:rPr>
        <w:t>de</w:t>
      </w:r>
      <w:r>
        <w:rPr>
          <w:rFonts w:ascii="Times New Roman" w:hAnsi="Times New Roman" w:cs="Times New Roman"/>
          <w:sz w:val="18"/>
          <w:szCs w:val="18"/>
          <w:lang w:val="es-MX"/>
        </w:rPr>
        <w:t xml:space="preserve"> cada año</w:t>
      </w:r>
    </w:p>
    <w:p w:rsidR="001671DB" w:rsidRDefault="001671DB" w:rsidP="001671DB">
      <w:pPr>
        <w:pStyle w:val="Sinespaciado"/>
        <w:jc w:val="center"/>
        <w:rPr>
          <w:rFonts w:ascii="Times New Roman" w:hAnsi="Times New Roman" w:cs="Times New Roman"/>
          <w:sz w:val="18"/>
          <w:szCs w:val="18"/>
          <w:lang w:val="es-MX"/>
        </w:rPr>
      </w:pPr>
      <w:r>
        <w:rPr>
          <w:rFonts w:ascii="Times New Roman" w:hAnsi="Times New Roman" w:cs="Times New Roman"/>
          <w:noProof/>
          <w:sz w:val="18"/>
          <w:szCs w:val="18"/>
          <w:lang w:eastAsia="es-GT"/>
        </w:rPr>
        <w:drawing>
          <wp:anchor distT="0" distB="0" distL="114300" distR="114300" simplePos="0" relativeHeight="251796480" behindDoc="0" locked="0" layoutInCell="1" allowOverlap="1" wp14:anchorId="15D83386" wp14:editId="223D6A22">
            <wp:simplePos x="0" y="0"/>
            <wp:positionH relativeFrom="column">
              <wp:posOffset>-175398</wp:posOffset>
            </wp:positionH>
            <wp:positionV relativeFrom="paragraph">
              <wp:posOffset>176530</wp:posOffset>
            </wp:positionV>
            <wp:extent cx="3151505" cy="2146300"/>
            <wp:effectExtent l="0" t="0" r="0" b="6350"/>
            <wp:wrapSquare wrapText="bothSides"/>
            <wp:docPr id="2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anchor>
        </w:drawing>
      </w:r>
      <w:r>
        <w:rPr>
          <w:rFonts w:ascii="Times New Roman" w:hAnsi="Times New Roman" w:cs="Times New Roman"/>
          <w:sz w:val="18"/>
          <w:szCs w:val="18"/>
          <w:lang w:val="es-MX"/>
        </w:rPr>
        <w:t>Cifras en porcentajes</w:t>
      </w:r>
    </w:p>
    <w:p w:rsidR="001671DB" w:rsidRPr="00401DB9" w:rsidRDefault="001671DB" w:rsidP="001671DB">
      <w:pPr>
        <w:spacing w:after="0" w:line="240" w:lineRule="auto"/>
        <w:jc w:val="both"/>
        <w:rPr>
          <w:rFonts w:ascii="Times New Roman" w:hAnsi="Times New Roman" w:cs="Times New Roman"/>
          <w:sz w:val="16"/>
        </w:rPr>
      </w:pPr>
      <w:r w:rsidRPr="00401DB9">
        <w:rPr>
          <w:rFonts w:ascii="Times New Roman" w:hAnsi="Times New Roman" w:cs="Times New Roman"/>
          <w:sz w:val="16"/>
        </w:rPr>
        <w:t>Fuente: Dirección de Análisis y Política Fiscal</w:t>
      </w:r>
    </w:p>
    <w:p w:rsidR="001671DB" w:rsidRPr="00126A64" w:rsidRDefault="001671DB" w:rsidP="001671DB">
      <w:pPr>
        <w:pStyle w:val="Sinespaciado"/>
        <w:jc w:val="both"/>
        <w:rPr>
          <w:rFonts w:ascii="Times New Roman" w:hAnsi="Times New Roman" w:cs="Times New Roman"/>
        </w:rPr>
      </w:pPr>
    </w:p>
    <w:p w:rsidR="001671DB" w:rsidRPr="004748F4" w:rsidRDefault="001671DB" w:rsidP="001671DB">
      <w:pPr>
        <w:pStyle w:val="Sinespaciado"/>
        <w:jc w:val="both"/>
        <w:rPr>
          <w:rFonts w:ascii="Times New Roman" w:hAnsi="Times New Roman" w:cs="Times New Roman"/>
        </w:rPr>
      </w:pPr>
      <w:r>
        <w:rPr>
          <w:rFonts w:ascii="Times New Roman" w:hAnsi="Times New Roman" w:cs="Times New Roman"/>
        </w:rPr>
        <w:t>A nivel del gasto público por entidades, muestran el mayor nivel de ejecución la PGN (49.0%), Educación (45.1%), Servicio de la Deuda Pública (43.6%), Obligaciones (40.7%), Presidencia (</w:t>
      </w:r>
      <w:r w:rsidRPr="004748F4">
        <w:rPr>
          <w:rFonts w:ascii="Times New Roman" w:hAnsi="Times New Roman" w:cs="Times New Roman"/>
        </w:rPr>
        <w:t>4</w:t>
      </w:r>
      <w:r>
        <w:rPr>
          <w:rFonts w:ascii="Times New Roman" w:hAnsi="Times New Roman" w:cs="Times New Roman"/>
        </w:rPr>
        <w:t xml:space="preserve">0.4%) y Trabajo y Previsión Social (39.1%), todas estas entidades se encuentran por arriba de la ejecución total. </w:t>
      </w:r>
    </w:p>
    <w:p w:rsidR="001671DB" w:rsidRDefault="001671DB" w:rsidP="001671DB">
      <w:pPr>
        <w:pStyle w:val="Sinespaciado"/>
        <w:jc w:val="both"/>
        <w:rPr>
          <w:rFonts w:ascii="Times New Roman" w:hAnsi="Times New Roman" w:cs="Times New Roman"/>
        </w:rPr>
      </w:pPr>
      <w:r>
        <w:rPr>
          <w:rFonts w:ascii="Times New Roman" w:hAnsi="Times New Roman" w:cs="Times New Roman"/>
        </w:rPr>
        <w:lastRenderedPageBreak/>
        <w:t xml:space="preserve">Por su parte, cuatro entidades resaltan respecto al resto de las entidades por encontrarse muy por debajo de la ejecución institucional total, siendo el caso de Agricultura (19.6%), Economía (22.1%), Cultura y Deportes (22.9%) y Desarrollo Social (27.6%). En el caso de tres de estas entidades, reportan un aumento bastante significativo en su presupuesto, ya que tienen a su cargo la ejecución de actividades para la atención de la emergencia del COVID-19, y por este efecto su ejecución se percibe baja, pero dada la importancia del programa para el Ejecutivo, se espera que los niveles de ejecución sean dinámicos. </w:t>
      </w:r>
    </w:p>
    <w:p w:rsidR="001671DB" w:rsidRDefault="001671DB" w:rsidP="001671DB">
      <w:pPr>
        <w:pStyle w:val="Sinespaciado"/>
        <w:jc w:val="both"/>
        <w:rPr>
          <w:rFonts w:ascii="Times New Roman" w:hAnsi="Times New Roman" w:cs="Times New Roman"/>
        </w:rPr>
      </w:pPr>
    </w:p>
    <w:p w:rsidR="001671DB" w:rsidRDefault="001671DB" w:rsidP="001671DB">
      <w:pPr>
        <w:pStyle w:val="Sinespaciado"/>
        <w:jc w:val="both"/>
        <w:rPr>
          <w:rFonts w:ascii="Times New Roman" w:hAnsi="Times New Roman" w:cs="Times New Roman"/>
        </w:rPr>
      </w:pPr>
      <w:r>
        <w:rPr>
          <w:rFonts w:ascii="Times New Roman" w:hAnsi="Times New Roman" w:cs="Times New Roman"/>
        </w:rPr>
        <w:t xml:space="preserve">Economía, tiene a su cargo el programa Bono de Protección de Empleo y Préstamos para las Mipymes, Desarrollo Social tiene a su cargo el programa de Bono Familia, alimento para personas y otras transferencias a personas individuales y Agricultura tiene a su cargo la entrega de bolsa de alimentos en el área rural y apoyo a los agricultores. </w:t>
      </w:r>
    </w:p>
    <w:p w:rsidR="001671DB" w:rsidRDefault="001671DB" w:rsidP="001671DB">
      <w:pPr>
        <w:pStyle w:val="Sinespaciado"/>
        <w:jc w:val="both"/>
        <w:rPr>
          <w:rFonts w:ascii="Times New Roman" w:hAnsi="Times New Roman" w:cs="Times New Roman"/>
        </w:rPr>
      </w:pPr>
      <w:r>
        <w:rPr>
          <w:rFonts w:ascii="Times New Roman" w:hAnsi="Times New Roman" w:cs="Times New Roman"/>
        </w:rPr>
        <w:t xml:space="preserve">Algunas de estas actividades mencionadas reportan una ejecución muy baja o nula como es el caso de las bolsas de alimentos, el fideicomiso para las mipymes y el apoyo para los agricultores. </w:t>
      </w:r>
    </w:p>
    <w:p w:rsidR="001671DB" w:rsidRDefault="001671DB" w:rsidP="001671DB">
      <w:pPr>
        <w:pStyle w:val="Sinespaciado"/>
        <w:jc w:val="both"/>
        <w:rPr>
          <w:rFonts w:ascii="Times New Roman" w:hAnsi="Times New Roman" w:cs="Times New Roman"/>
        </w:rPr>
      </w:pPr>
    </w:p>
    <w:p w:rsidR="001671DB" w:rsidRDefault="001671DB" w:rsidP="001671DB">
      <w:pPr>
        <w:pStyle w:val="Sinespaciado"/>
        <w:jc w:val="both"/>
        <w:rPr>
          <w:rFonts w:ascii="Times New Roman" w:hAnsi="Times New Roman" w:cs="Times New Roman"/>
        </w:rPr>
      </w:pPr>
      <w:r>
        <w:rPr>
          <w:rFonts w:ascii="Times New Roman" w:hAnsi="Times New Roman" w:cs="Times New Roman"/>
        </w:rPr>
        <w:t xml:space="preserve">En cuanto a crecimiento interanual </w:t>
      </w:r>
      <w:r w:rsidRPr="00502A24">
        <w:rPr>
          <w:rFonts w:ascii="Times New Roman" w:hAnsi="Times New Roman" w:cs="Times New Roman"/>
        </w:rPr>
        <w:t>reportan avances</w:t>
      </w:r>
      <w:r>
        <w:rPr>
          <w:rFonts w:ascii="Times New Roman" w:hAnsi="Times New Roman" w:cs="Times New Roman"/>
        </w:rPr>
        <w:t xml:space="preserve"> importantes el Ministerio de Desarrollo Social (412.5%) y Economía (242.2%), derivado precisamente de la ejecución de las actividades para la atención del COVID-19, actividades que no se tuvieron contempladas en el año previo.</w:t>
      </w:r>
    </w:p>
    <w:p w:rsidR="001671DB" w:rsidRDefault="001671DB" w:rsidP="001671DB">
      <w:pPr>
        <w:pStyle w:val="Sinespaciado"/>
        <w:jc w:val="both"/>
        <w:rPr>
          <w:rFonts w:ascii="Times New Roman" w:hAnsi="Times New Roman" w:cs="Times New Roman"/>
        </w:rPr>
      </w:pPr>
    </w:p>
    <w:p w:rsidR="001671DB" w:rsidRDefault="001671DB" w:rsidP="001671DB">
      <w:pPr>
        <w:pStyle w:val="Sinespaciado"/>
        <w:jc w:val="both"/>
        <w:rPr>
          <w:rFonts w:ascii="Times New Roman" w:hAnsi="Times New Roman" w:cs="Times New Roman"/>
        </w:rPr>
      </w:pPr>
      <w:r>
        <w:rPr>
          <w:rFonts w:ascii="Times New Roman" w:hAnsi="Times New Roman" w:cs="Times New Roman"/>
        </w:rPr>
        <w:t xml:space="preserve">Ocho entidades reportan retrocesos respecto al año, entre las caídas más importantes, se encuentra Agricultura (-40.3%), Cultura y Deportes (-30.2%), Presidencia (-15.5%) y Comunicaciones (-12.0%). </w:t>
      </w:r>
    </w:p>
    <w:p w:rsidR="001671DB" w:rsidRDefault="001671DB" w:rsidP="001671DB">
      <w:pPr>
        <w:pStyle w:val="Sinespaciado"/>
        <w:jc w:val="both"/>
        <w:rPr>
          <w:rFonts w:ascii="Times New Roman" w:hAnsi="Times New Roman" w:cs="Times New Roman"/>
        </w:rPr>
      </w:pPr>
    </w:p>
    <w:p w:rsidR="001671DB" w:rsidRDefault="001671DB" w:rsidP="001671DB">
      <w:pPr>
        <w:pStyle w:val="Sinespaciado"/>
        <w:jc w:val="both"/>
        <w:rPr>
          <w:rFonts w:ascii="Times New Roman" w:hAnsi="Times New Roman" w:cs="Times New Roman"/>
        </w:rPr>
      </w:pPr>
    </w:p>
    <w:p w:rsidR="001671DB" w:rsidRDefault="001671DB" w:rsidP="001671DB">
      <w:pPr>
        <w:pStyle w:val="Sinespaciado"/>
        <w:jc w:val="both"/>
        <w:rPr>
          <w:rFonts w:ascii="Times New Roman" w:hAnsi="Times New Roman" w:cs="Times New Roman"/>
        </w:rPr>
      </w:pPr>
    </w:p>
    <w:p w:rsidR="001671DB" w:rsidRPr="00FC1C67" w:rsidRDefault="001671DB" w:rsidP="001671DB">
      <w:pPr>
        <w:spacing w:after="0" w:line="240" w:lineRule="auto"/>
        <w:jc w:val="center"/>
        <w:rPr>
          <w:rFonts w:ascii="Times New Roman" w:hAnsi="Times New Roman" w:cs="Times New Roman"/>
          <w:b/>
          <w:lang w:val="es-MX"/>
        </w:rPr>
      </w:pPr>
      <w:r w:rsidRPr="00FC1C67">
        <w:rPr>
          <w:rFonts w:ascii="Times New Roman" w:hAnsi="Times New Roman" w:cs="Times New Roman"/>
          <w:b/>
          <w:lang w:val="es-MX"/>
        </w:rPr>
        <w:lastRenderedPageBreak/>
        <w:t>Grado de Ejecución por Entidad</w:t>
      </w:r>
    </w:p>
    <w:p w:rsidR="001671DB" w:rsidRDefault="001671DB" w:rsidP="001671DB">
      <w:pPr>
        <w:spacing w:after="0" w:line="240" w:lineRule="auto"/>
        <w:jc w:val="center"/>
        <w:rPr>
          <w:rFonts w:ascii="Times New Roman" w:hAnsi="Times New Roman" w:cs="Times New Roman"/>
          <w:sz w:val="18"/>
          <w:szCs w:val="18"/>
          <w:lang w:val="es-MX"/>
        </w:rPr>
      </w:pPr>
      <w:r>
        <w:rPr>
          <w:rFonts w:ascii="Times New Roman" w:hAnsi="Times New Roman" w:cs="Times New Roman"/>
          <w:sz w:val="18"/>
          <w:szCs w:val="18"/>
          <w:lang w:val="es-MX"/>
        </w:rPr>
        <w:t>Al 30</w:t>
      </w:r>
      <w:r w:rsidRPr="00FC1C67">
        <w:rPr>
          <w:rFonts w:ascii="Times New Roman" w:hAnsi="Times New Roman" w:cs="Times New Roman"/>
          <w:sz w:val="18"/>
          <w:szCs w:val="18"/>
          <w:lang w:val="es-MX"/>
        </w:rPr>
        <w:t xml:space="preserve"> de </w:t>
      </w:r>
      <w:r>
        <w:rPr>
          <w:rFonts w:ascii="Times New Roman" w:hAnsi="Times New Roman" w:cs="Times New Roman"/>
          <w:sz w:val="18"/>
          <w:szCs w:val="18"/>
          <w:lang w:val="es-MX"/>
        </w:rPr>
        <w:t>junio</w:t>
      </w:r>
      <w:r w:rsidRPr="00FC1C67">
        <w:rPr>
          <w:rFonts w:ascii="Times New Roman" w:hAnsi="Times New Roman" w:cs="Times New Roman"/>
          <w:sz w:val="18"/>
          <w:szCs w:val="18"/>
          <w:lang w:val="es-MX"/>
        </w:rPr>
        <w:t xml:space="preserve"> de</w:t>
      </w:r>
      <w:r>
        <w:rPr>
          <w:rFonts w:ascii="Times New Roman" w:hAnsi="Times New Roman" w:cs="Times New Roman"/>
          <w:sz w:val="18"/>
          <w:szCs w:val="18"/>
          <w:lang w:val="es-MX"/>
        </w:rPr>
        <w:t>l</w:t>
      </w:r>
      <w:r w:rsidRPr="00FC1C67">
        <w:rPr>
          <w:rFonts w:ascii="Times New Roman" w:hAnsi="Times New Roman" w:cs="Times New Roman"/>
          <w:sz w:val="18"/>
          <w:szCs w:val="18"/>
          <w:lang w:val="es-MX"/>
        </w:rPr>
        <w:t xml:space="preserve"> 20</w:t>
      </w:r>
      <w:r>
        <w:rPr>
          <w:rFonts w:ascii="Times New Roman" w:hAnsi="Times New Roman" w:cs="Times New Roman"/>
          <w:sz w:val="18"/>
          <w:szCs w:val="18"/>
          <w:lang w:val="es-MX"/>
        </w:rPr>
        <w:t>20</w:t>
      </w:r>
    </w:p>
    <w:p w:rsidR="001671DB" w:rsidRDefault="001671DB" w:rsidP="001671DB">
      <w:pPr>
        <w:spacing w:after="0" w:line="240" w:lineRule="auto"/>
        <w:jc w:val="center"/>
        <w:rPr>
          <w:rFonts w:ascii="Times New Roman" w:hAnsi="Times New Roman" w:cs="Times New Roman"/>
          <w:sz w:val="18"/>
          <w:szCs w:val="18"/>
          <w:lang w:val="es-MX"/>
        </w:rPr>
      </w:pPr>
      <w:r>
        <w:rPr>
          <w:rFonts w:ascii="Times New Roman" w:hAnsi="Times New Roman" w:cs="Times New Roman"/>
          <w:noProof/>
          <w:sz w:val="18"/>
          <w:szCs w:val="18"/>
          <w:lang w:eastAsia="es-GT"/>
        </w:rPr>
        <w:drawing>
          <wp:anchor distT="0" distB="0" distL="114300" distR="114300" simplePos="0" relativeHeight="251797504" behindDoc="0" locked="0" layoutInCell="1" allowOverlap="1" wp14:anchorId="7C1EC508" wp14:editId="4379B041">
            <wp:simplePos x="0" y="0"/>
            <wp:positionH relativeFrom="column">
              <wp:posOffset>-190500</wp:posOffset>
            </wp:positionH>
            <wp:positionV relativeFrom="paragraph">
              <wp:posOffset>172085</wp:posOffset>
            </wp:positionV>
            <wp:extent cx="2932430" cy="2989580"/>
            <wp:effectExtent l="0" t="0" r="1270" b="1270"/>
            <wp:wrapSquare wrapText="bothSides"/>
            <wp:docPr id="3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FC1C67">
        <w:rPr>
          <w:rFonts w:ascii="Times New Roman" w:hAnsi="Times New Roman" w:cs="Times New Roman"/>
          <w:sz w:val="18"/>
          <w:szCs w:val="18"/>
          <w:lang w:val="es-MX"/>
        </w:rPr>
        <w:t>Millones de quetzales</w:t>
      </w:r>
    </w:p>
    <w:p w:rsidR="001671DB" w:rsidRPr="001671DB" w:rsidRDefault="001671DB" w:rsidP="001671DB">
      <w:pPr>
        <w:spacing w:after="0" w:line="240" w:lineRule="auto"/>
        <w:jc w:val="both"/>
        <w:rPr>
          <w:rFonts w:ascii="Times New Roman" w:hAnsi="Times New Roman" w:cs="Times New Roman"/>
          <w:sz w:val="16"/>
        </w:rPr>
      </w:pPr>
      <w:r w:rsidRPr="00401DB9">
        <w:rPr>
          <w:rFonts w:ascii="Times New Roman" w:hAnsi="Times New Roman" w:cs="Times New Roman"/>
          <w:sz w:val="16"/>
        </w:rPr>
        <w:t>Fuente: Dirección de Análisis y Política Fiscal</w:t>
      </w:r>
    </w:p>
    <w:p w:rsidR="001671DB" w:rsidRDefault="001671DB" w:rsidP="001671DB">
      <w:pPr>
        <w:pStyle w:val="Sinespaciado"/>
        <w:jc w:val="center"/>
        <w:rPr>
          <w:rFonts w:ascii="Times New Roman" w:hAnsi="Times New Roman" w:cs="Times New Roman"/>
          <w:b/>
          <w:lang w:val="es-MX"/>
        </w:rPr>
      </w:pPr>
    </w:p>
    <w:p w:rsidR="001671DB" w:rsidRDefault="001671DB" w:rsidP="001671DB">
      <w:pPr>
        <w:pStyle w:val="Sinespaciado"/>
        <w:jc w:val="both"/>
        <w:rPr>
          <w:rFonts w:ascii="Times New Roman" w:hAnsi="Times New Roman" w:cs="Times New Roman"/>
          <w:lang w:val="es-MX"/>
        </w:rPr>
      </w:pPr>
      <w:r>
        <w:rPr>
          <w:rFonts w:ascii="Times New Roman" w:hAnsi="Times New Roman" w:cs="Times New Roman"/>
          <w:lang w:val="es-MX"/>
        </w:rPr>
        <w:t>En r</w:t>
      </w:r>
      <w:r w:rsidRPr="00C74885">
        <w:rPr>
          <w:rFonts w:ascii="Times New Roman" w:hAnsi="Times New Roman" w:cs="Times New Roman"/>
          <w:lang w:val="es-MX"/>
        </w:rPr>
        <w:t>elación con</w:t>
      </w:r>
      <w:r>
        <w:rPr>
          <w:rFonts w:ascii="Times New Roman" w:hAnsi="Times New Roman" w:cs="Times New Roman"/>
          <w:lang w:val="es-MX"/>
        </w:rPr>
        <w:t xml:space="preserve"> </w:t>
      </w:r>
      <w:r w:rsidRPr="00C74885">
        <w:rPr>
          <w:rFonts w:ascii="Times New Roman" w:hAnsi="Times New Roman" w:cs="Times New Roman"/>
          <w:lang w:val="es-MX"/>
        </w:rPr>
        <w:t>l</w:t>
      </w:r>
      <w:r>
        <w:rPr>
          <w:rFonts w:ascii="Times New Roman" w:hAnsi="Times New Roman" w:cs="Times New Roman"/>
          <w:lang w:val="es-MX"/>
        </w:rPr>
        <w:t>a ejecución del</w:t>
      </w:r>
      <w:r w:rsidRPr="00C74885">
        <w:rPr>
          <w:rFonts w:ascii="Times New Roman" w:hAnsi="Times New Roman" w:cs="Times New Roman"/>
          <w:lang w:val="es-MX"/>
        </w:rPr>
        <w:t xml:space="preserve"> gasto social, </w:t>
      </w:r>
      <w:r>
        <w:rPr>
          <w:rFonts w:ascii="Times New Roman" w:hAnsi="Times New Roman" w:cs="Times New Roman"/>
          <w:lang w:val="es-MX"/>
        </w:rPr>
        <w:t xml:space="preserve">que considera únicamente los sectores de salud, educación y vivienda, se reporta una ejecución de 39.7%, al incluir en el gasto social a los sectores que son parte de los compromisos </w:t>
      </w:r>
      <w:r>
        <w:rPr>
          <w:rFonts w:ascii="Times New Roman" w:hAnsi="Times New Roman" w:cs="Times New Roman"/>
          <w:lang w:val="es-MX"/>
        </w:rPr>
        <w:lastRenderedPageBreak/>
        <w:t xml:space="preserve">asumidos por los Acuerdos de Paz, la ejecución se mantiene en el mismo nivel. </w:t>
      </w:r>
    </w:p>
    <w:p w:rsidR="001671DB" w:rsidRDefault="001671DB" w:rsidP="001671DB">
      <w:pPr>
        <w:pStyle w:val="Sinespaciado"/>
        <w:jc w:val="both"/>
        <w:rPr>
          <w:rFonts w:ascii="Times New Roman" w:hAnsi="Times New Roman" w:cs="Times New Roman"/>
          <w:lang w:val="es-MX"/>
        </w:rPr>
      </w:pPr>
    </w:p>
    <w:p w:rsidR="001671DB" w:rsidRDefault="001671DB" w:rsidP="001671DB">
      <w:pPr>
        <w:pStyle w:val="Sinespaciado"/>
        <w:jc w:val="both"/>
        <w:rPr>
          <w:rFonts w:ascii="Times New Roman" w:hAnsi="Times New Roman" w:cs="Times New Roman"/>
          <w:lang w:val="es-MX"/>
        </w:rPr>
      </w:pPr>
      <w:r>
        <w:rPr>
          <w:rFonts w:ascii="Times New Roman" w:hAnsi="Times New Roman" w:cs="Times New Roman"/>
          <w:lang w:val="es-MX"/>
        </w:rPr>
        <w:t xml:space="preserve">Los aportes dados al Organismo Judicial y a Corte de Constitucionalidad muestran el mayor dinamismo del gasto social con 47.0% de ejecución. Seguido del sector </w:t>
      </w:r>
      <w:r w:rsidRPr="002B60D4">
        <w:rPr>
          <w:rFonts w:ascii="Times New Roman" w:hAnsi="Times New Roman" w:cs="Times New Roman"/>
          <w:lang w:val="es-MX"/>
        </w:rPr>
        <w:t xml:space="preserve">educación, ciencia y cultura con una ejecución de </w:t>
      </w:r>
      <w:r>
        <w:rPr>
          <w:rFonts w:ascii="Times New Roman" w:hAnsi="Times New Roman" w:cs="Times New Roman"/>
          <w:lang w:val="es-MX"/>
        </w:rPr>
        <w:t>43</w:t>
      </w:r>
      <w:r w:rsidRPr="002B60D4">
        <w:rPr>
          <w:rFonts w:ascii="Times New Roman" w:hAnsi="Times New Roman" w:cs="Times New Roman"/>
          <w:lang w:val="es-MX"/>
        </w:rPr>
        <w:t>.</w:t>
      </w:r>
      <w:r>
        <w:rPr>
          <w:rFonts w:ascii="Times New Roman" w:hAnsi="Times New Roman" w:cs="Times New Roman"/>
          <w:lang w:val="es-MX"/>
        </w:rPr>
        <w:t>0</w:t>
      </w:r>
      <w:r w:rsidRPr="002B60D4">
        <w:rPr>
          <w:rFonts w:ascii="Times New Roman" w:hAnsi="Times New Roman" w:cs="Times New Roman"/>
          <w:lang w:val="es-MX"/>
        </w:rPr>
        <w:t>%.</w:t>
      </w:r>
      <w:r>
        <w:rPr>
          <w:rFonts w:ascii="Times New Roman" w:hAnsi="Times New Roman" w:cs="Times New Roman"/>
          <w:lang w:val="es-MX"/>
        </w:rPr>
        <w:t xml:space="preserve"> </w:t>
      </w:r>
    </w:p>
    <w:p w:rsidR="001671DB" w:rsidRDefault="001671DB" w:rsidP="001671DB">
      <w:pPr>
        <w:pStyle w:val="Sinespaciado"/>
        <w:jc w:val="both"/>
        <w:rPr>
          <w:rFonts w:ascii="Times New Roman" w:hAnsi="Times New Roman" w:cs="Times New Roman"/>
          <w:lang w:val="es-MX"/>
        </w:rPr>
      </w:pPr>
    </w:p>
    <w:p w:rsidR="001671DB" w:rsidRDefault="001671DB" w:rsidP="001671DB">
      <w:pPr>
        <w:pStyle w:val="Sinespaciado"/>
        <w:jc w:val="both"/>
        <w:rPr>
          <w:rFonts w:ascii="Times New Roman" w:hAnsi="Times New Roman" w:cs="Times New Roman"/>
          <w:lang w:val="es-MX"/>
        </w:rPr>
      </w:pPr>
      <w:r>
        <w:rPr>
          <w:rFonts w:ascii="Times New Roman" w:hAnsi="Times New Roman" w:cs="Times New Roman"/>
          <w:lang w:val="es-MX"/>
        </w:rPr>
        <w:t xml:space="preserve">El sector con la menor ejecución del gasto social es el de la vivienda, reportando únicamente un 22.4% de ejecución. </w:t>
      </w:r>
    </w:p>
    <w:p w:rsidR="001671DB" w:rsidRDefault="001671DB" w:rsidP="001671DB">
      <w:pPr>
        <w:pStyle w:val="Sinespaciado"/>
        <w:jc w:val="both"/>
        <w:rPr>
          <w:rFonts w:ascii="Times New Roman" w:hAnsi="Times New Roman" w:cs="Times New Roman"/>
          <w:lang w:val="es-MX"/>
        </w:rPr>
      </w:pPr>
    </w:p>
    <w:p w:rsidR="001671DB" w:rsidRDefault="001671DB" w:rsidP="001671DB">
      <w:pPr>
        <w:pStyle w:val="Sinespaciado"/>
        <w:jc w:val="both"/>
        <w:rPr>
          <w:rFonts w:ascii="Times New Roman" w:hAnsi="Times New Roman" w:cs="Times New Roman"/>
          <w:b/>
          <w:lang w:val="es-MX"/>
        </w:rPr>
      </w:pPr>
      <w:r>
        <w:rPr>
          <w:rFonts w:ascii="Times New Roman" w:hAnsi="Times New Roman" w:cs="Times New Roman"/>
          <w:lang w:val="es-MX"/>
        </w:rPr>
        <w:t xml:space="preserve">Respecto al año anterior, se reporta un crecimiento de 1.7%, lo que es equivalente a Q304.7 millones. </w:t>
      </w:r>
    </w:p>
    <w:p w:rsidR="001671DB" w:rsidRDefault="001671DB" w:rsidP="001671DB">
      <w:pPr>
        <w:pStyle w:val="Sinespaciado"/>
        <w:jc w:val="center"/>
        <w:rPr>
          <w:rFonts w:ascii="Times New Roman" w:hAnsi="Times New Roman" w:cs="Times New Roman"/>
          <w:b/>
          <w:lang w:val="es-MX"/>
        </w:rPr>
      </w:pPr>
    </w:p>
    <w:p w:rsidR="001671DB" w:rsidRDefault="001671DB" w:rsidP="001671DB">
      <w:pPr>
        <w:pStyle w:val="Sinespaciado"/>
        <w:jc w:val="center"/>
        <w:rPr>
          <w:rFonts w:ascii="Times New Roman" w:hAnsi="Times New Roman" w:cs="Times New Roman"/>
          <w:b/>
          <w:lang w:val="es-MX"/>
        </w:rPr>
      </w:pPr>
      <w:r w:rsidRPr="002A1B95">
        <w:rPr>
          <w:rFonts w:ascii="Times New Roman" w:hAnsi="Times New Roman" w:cs="Times New Roman"/>
          <w:b/>
          <w:lang w:val="es-MX"/>
        </w:rPr>
        <w:t xml:space="preserve">Ejecución </w:t>
      </w:r>
      <w:r>
        <w:rPr>
          <w:rFonts w:ascii="Times New Roman" w:hAnsi="Times New Roman" w:cs="Times New Roman"/>
          <w:b/>
          <w:lang w:val="es-MX"/>
        </w:rPr>
        <w:t xml:space="preserve">del Gasto Social </w:t>
      </w:r>
    </w:p>
    <w:p w:rsidR="001671DB" w:rsidRPr="009D459C" w:rsidRDefault="001671DB" w:rsidP="001671DB">
      <w:pPr>
        <w:pStyle w:val="Sinespaciado"/>
        <w:jc w:val="center"/>
        <w:rPr>
          <w:rFonts w:ascii="Times New Roman" w:hAnsi="Times New Roman" w:cs="Times New Roman"/>
          <w:sz w:val="18"/>
          <w:szCs w:val="18"/>
          <w:lang w:val="es-MX"/>
        </w:rPr>
      </w:pPr>
      <w:r>
        <w:rPr>
          <w:rFonts w:ascii="Times New Roman" w:hAnsi="Times New Roman" w:cs="Times New Roman"/>
          <w:sz w:val="18"/>
          <w:szCs w:val="18"/>
          <w:lang w:val="es-MX"/>
        </w:rPr>
        <w:t>Al 30 de junio 2020</w:t>
      </w:r>
    </w:p>
    <w:p w:rsidR="001671DB" w:rsidRDefault="001671DB" w:rsidP="001671DB">
      <w:pPr>
        <w:pStyle w:val="Sinespaciado"/>
        <w:jc w:val="center"/>
        <w:rPr>
          <w:rFonts w:ascii="Times New Roman" w:hAnsi="Times New Roman" w:cs="Times New Roman"/>
          <w:sz w:val="18"/>
          <w:szCs w:val="18"/>
          <w:lang w:val="es-MX"/>
        </w:rPr>
      </w:pPr>
      <w:r w:rsidRPr="002B60D4">
        <w:rPr>
          <w:noProof/>
          <w:lang w:eastAsia="es-GT"/>
        </w:rPr>
        <w:drawing>
          <wp:anchor distT="0" distB="0" distL="114300" distR="114300" simplePos="0" relativeHeight="251795456" behindDoc="0" locked="0" layoutInCell="1" allowOverlap="1" wp14:anchorId="287FD061" wp14:editId="4A69E331">
            <wp:simplePos x="0" y="0"/>
            <wp:positionH relativeFrom="column">
              <wp:posOffset>-159385</wp:posOffset>
            </wp:positionH>
            <wp:positionV relativeFrom="paragraph">
              <wp:posOffset>175895</wp:posOffset>
            </wp:positionV>
            <wp:extent cx="3031490" cy="1343660"/>
            <wp:effectExtent l="0" t="0" r="0" b="8890"/>
            <wp:wrapSquare wrapText="bothSides"/>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1490" cy="1343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8"/>
          <w:szCs w:val="18"/>
          <w:lang w:val="es-MX"/>
        </w:rPr>
        <w:t>Cifras en porcentajes y en m</w:t>
      </w:r>
      <w:r w:rsidRPr="009D459C">
        <w:rPr>
          <w:rFonts w:ascii="Times New Roman" w:hAnsi="Times New Roman" w:cs="Times New Roman"/>
          <w:sz w:val="18"/>
          <w:szCs w:val="18"/>
          <w:lang w:val="es-MX"/>
        </w:rPr>
        <w:t>illones de quetzales</w:t>
      </w:r>
    </w:p>
    <w:p w:rsidR="00C5514E" w:rsidRPr="00DC723E" w:rsidRDefault="00C5514E" w:rsidP="00E37543">
      <w:pPr>
        <w:pStyle w:val="Sinespaciado"/>
        <w:jc w:val="both"/>
        <w:rPr>
          <w:rFonts w:ascii="Times New Roman" w:hAnsi="Times New Roman" w:cs="Times New Roman"/>
          <w:b/>
          <w:color w:val="FF0000"/>
          <w:sz w:val="18"/>
          <w:lang w:val="es-MX"/>
        </w:rPr>
      </w:pPr>
    </w:p>
    <w:p w:rsidR="00BA782D" w:rsidRPr="00DC723E" w:rsidRDefault="00BA782D" w:rsidP="00BA782D">
      <w:pPr>
        <w:pStyle w:val="Sinespaciado"/>
        <w:jc w:val="both"/>
        <w:rPr>
          <w:rFonts w:ascii="Times New Roman" w:hAnsi="Times New Roman" w:cs="Times New Roman"/>
          <w:color w:val="FF0000"/>
          <w:sz w:val="14"/>
        </w:rPr>
        <w:sectPr w:rsidR="00BA782D" w:rsidRPr="00DC723E" w:rsidSect="00040C99">
          <w:headerReference w:type="default" r:id="rId25"/>
          <w:footerReference w:type="default" r:id="rId26"/>
          <w:type w:val="continuous"/>
          <w:pgSz w:w="12240" w:h="15840" w:code="1"/>
          <w:pgMar w:top="1418" w:right="1418" w:bottom="1418" w:left="1701" w:header="709" w:footer="709" w:gutter="0"/>
          <w:cols w:num="2" w:space="708"/>
          <w:docGrid w:linePitch="360"/>
        </w:sectPr>
      </w:pPr>
    </w:p>
    <w:p w:rsidR="00BA782D" w:rsidRPr="00DC723E" w:rsidRDefault="00BA782D" w:rsidP="00216605">
      <w:pPr>
        <w:pStyle w:val="Sinespaciado"/>
        <w:jc w:val="both"/>
        <w:rPr>
          <w:rFonts w:ascii="Times New Roman" w:hAnsi="Times New Roman" w:cs="Times New Roman"/>
          <w:color w:val="FF0000"/>
          <w:sz w:val="2"/>
          <w:lang w:val="es-MX"/>
        </w:rPr>
      </w:pPr>
    </w:p>
    <w:p w:rsidR="008316E1" w:rsidRPr="001671DB" w:rsidRDefault="001671DB" w:rsidP="008316E1">
      <w:pPr>
        <w:pStyle w:val="Sinespaciado"/>
        <w:jc w:val="both"/>
        <w:rPr>
          <w:rFonts w:ascii="Times New Roman" w:hAnsi="Times New Roman" w:cs="Times New Roman"/>
          <w:sz w:val="16"/>
          <w:lang w:val="es-MX"/>
        </w:rPr>
      </w:pPr>
      <w:r w:rsidRPr="001671DB">
        <w:rPr>
          <w:rFonts w:ascii="Times New Roman" w:hAnsi="Times New Roman" w:cs="Times New Roman"/>
          <w:sz w:val="16"/>
          <w:lang w:val="es-MX"/>
        </w:rPr>
        <w:t>Fuente: Dirección de Análisis y Política Fiscal.</w:t>
      </w:r>
    </w:p>
    <w:p w:rsidR="001671DB" w:rsidRDefault="001671DB" w:rsidP="008316E1">
      <w:pPr>
        <w:pStyle w:val="Sinespaciado"/>
        <w:jc w:val="both"/>
        <w:rPr>
          <w:rFonts w:ascii="Times New Roman" w:hAnsi="Times New Roman" w:cs="Times New Roman"/>
          <w:color w:val="FF0000"/>
        </w:rPr>
      </w:pPr>
    </w:p>
    <w:p w:rsidR="001671DB" w:rsidRDefault="001671DB" w:rsidP="008316E1">
      <w:pPr>
        <w:pStyle w:val="Sinespaciado"/>
        <w:jc w:val="both"/>
        <w:rPr>
          <w:rFonts w:ascii="Times New Roman" w:hAnsi="Times New Roman" w:cs="Times New Roman"/>
          <w:color w:val="FF0000"/>
        </w:rPr>
      </w:pPr>
    </w:p>
    <w:p w:rsidR="00216B0E" w:rsidRPr="00DC723E" w:rsidRDefault="00216B0E" w:rsidP="000C65AB">
      <w:pPr>
        <w:pStyle w:val="Sinespaciado"/>
        <w:jc w:val="both"/>
        <w:rPr>
          <w:rFonts w:ascii="Times New Roman" w:hAnsi="Times New Roman" w:cs="Times New Roman"/>
          <w:color w:val="FF0000"/>
          <w:sz w:val="12"/>
        </w:rPr>
        <w:sectPr w:rsidR="00216B0E" w:rsidRPr="00DC723E" w:rsidSect="00040C99">
          <w:headerReference w:type="default" r:id="rId27"/>
          <w:footerReference w:type="default" r:id="rId28"/>
          <w:type w:val="continuous"/>
          <w:pgSz w:w="12240" w:h="15840" w:code="1"/>
          <w:pgMar w:top="1418" w:right="1418" w:bottom="1418" w:left="1701" w:header="709" w:footer="709" w:gutter="0"/>
          <w:cols w:num="2" w:space="708"/>
          <w:docGrid w:linePitch="360"/>
        </w:sectPr>
      </w:pPr>
    </w:p>
    <w:p w:rsidR="001E4CD2" w:rsidRPr="00DC723E" w:rsidRDefault="001E4CD2" w:rsidP="00BC7539">
      <w:pPr>
        <w:pStyle w:val="Sinespaciado"/>
        <w:jc w:val="both"/>
        <w:rPr>
          <w:rFonts w:ascii="Times New Roman" w:hAnsi="Times New Roman" w:cs="Times New Roman"/>
          <w:color w:val="FF0000"/>
          <w:sz w:val="24"/>
        </w:rPr>
      </w:pPr>
    </w:p>
    <w:p w:rsidR="00E7442E" w:rsidRPr="00DC723E" w:rsidRDefault="001671DB" w:rsidP="004F72F9">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color w:val="FF0000"/>
          <w:lang w:val="es-MX"/>
        </w:rPr>
        <w:sectPr w:rsidR="00E7442E" w:rsidRPr="00DC723E" w:rsidSect="00FA3B81">
          <w:type w:val="continuous"/>
          <w:pgSz w:w="12240" w:h="15840" w:code="1"/>
          <w:pgMar w:top="1418" w:right="1418" w:bottom="1418" w:left="1418" w:header="709" w:footer="709" w:gutter="0"/>
          <w:cols w:space="708"/>
          <w:docGrid w:linePitch="360"/>
        </w:sectPr>
      </w:pPr>
      <w:r w:rsidRPr="001671DB">
        <w:rPr>
          <w:rFonts w:ascii="Times New Roman" w:hAnsi="Times New Roman" w:cs="Times New Roman"/>
          <w:b/>
        </w:rPr>
        <w:t>Se dinamiza la colocación de Bonos en el mercado interno</w:t>
      </w:r>
      <w:r w:rsidR="008316E1" w:rsidRPr="00DC723E">
        <w:rPr>
          <w:rFonts w:ascii="Times New Roman" w:hAnsi="Times New Roman" w:cs="Times New Roman"/>
          <w:b/>
          <w:color w:val="FF0000"/>
        </w:rPr>
        <w:t xml:space="preserve"> </w:t>
      </w:r>
    </w:p>
    <w:p w:rsidR="00F76491" w:rsidRPr="00DC723E" w:rsidRDefault="00F76491" w:rsidP="00F76491">
      <w:pPr>
        <w:pStyle w:val="Sinespaciado"/>
        <w:rPr>
          <w:rFonts w:ascii="Times New Roman" w:hAnsi="Times New Roman" w:cs="Times New Roman"/>
          <w:b/>
          <w:color w:val="FF0000"/>
          <w:sz w:val="20"/>
          <w:lang w:val="es-MX"/>
        </w:rPr>
      </w:pPr>
    </w:p>
    <w:p w:rsidR="00F76491" w:rsidRPr="00DC723E" w:rsidRDefault="00F76491" w:rsidP="00F76491">
      <w:pPr>
        <w:pStyle w:val="Sinespaciado"/>
        <w:rPr>
          <w:rFonts w:ascii="Times New Roman" w:hAnsi="Times New Roman" w:cs="Times New Roman"/>
          <w:b/>
          <w:color w:val="FF0000"/>
          <w:sz w:val="18"/>
          <w:lang w:val="es-MX"/>
        </w:rPr>
        <w:sectPr w:rsidR="00F76491" w:rsidRPr="00DC723E" w:rsidSect="004E358C">
          <w:type w:val="continuous"/>
          <w:pgSz w:w="12240" w:h="15840"/>
          <w:pgMar w:top="1417" w:right="1701" w:bottom="1417" w:left="1701" w:header="708" w:footer="708" w:gutter="0"/>
          <w:cols w:space="708"/>
          <w:docGrid w:linePitch="360"/>
        </w:sectPr>
      </w:pPr>
    </w:p>
    <w:p w:rsidR="001671DB" w:rsidRDefault="001671DB" w:rsidP="001671DB">
      <w:pPr>
        <w:pStyle w:val="Sinespaciado"/>
        <w:jc w:val="both"/>
        <w:rPr>
          <w:rFonts w:ascii="Times New Roman" w:hAnsi="Times New Roman" w:cs="Times New Roman"/>
        </w:rPr>
      </w:pPr>
      <w:r w:rsidRPr="00851F17">
        <w:rPr>
          <w:rFonts w:ascii="Times New Roman" w:hAnsi="Times New Roman" w:cs="Times New Roman"/>
        </w:rPr>
        <w:lastRenderedPageBreak/>
        <w:t>En cuanto al financiamiento</w:t>
      </w:r>
      <w:r>
        <w:rPr>
          <w:rFonts w:ascii="Times New Roman" w:hAnsi="Times New Roman" w:cs="Times New Roman"/>
        </w:rPr>
        <w:t xml:space="preserve"> del gasto público, al cierre de junio 2020 se obtuvo un flujo positivo</w:t>
      </w:r>
      <w:r w:rsidRPr="00851F17">
        <w:rPr>
          <w:rFonts w:ascii="Times New Roman" w:hAnsi="Times New Roman" w:cs="Times New Roman"/>
        </w:rPr>
        <w:t xml:space="preserve"> en el endeudamiento exter</w:t>
      </w:r>
      <w:r>
        <w:rPr>
          <w:rFonts w:ascii="Times New Roman" w:hAnsi="Times New Roman" w:cs="Times New Roman"/>
        </w:rPr>
        <w:t xml:space="preserve">no neto por el equivalente a Q10,296.4 millones, derivado de la colocación del Eurobono por US$1,200.0 millones y los desembolsos de préstamos que alcanzan los Q2,592.3 millones, los cuales superan las amortizaciones. </w:t>
      </w:r>
    </w:p>
    <w:p w:rsidR="001671DB" w:rsidRPr="00851F17" w:rsidRDefault="001671DB" w:rsidP="001671DB">
      <w:pPr>
        <w:pStyle w:val="Sinespaciado"/>
        <w:jc w:val="both"/>
        <w:rPr>
          <w:rFonts w:ascii="Times New Roman" w:hAnsi="Times New Roman" w:cs="Times New Roman"/>
        </w:rPr>
      </w:pPr>
    </w:p>
    <w:p w:rsidR="001671DB" w:rsidRDefault="001671DB" w:rsidP="001671DB">
      <w:pPr>
        <w:pStyle w:val="Sinespaciado"/>
        <w:jc w:val="both"/>
        <w:rPr>
          <w:rFonts w:ascii="Times New Roman" w:hAnsi="Times New Roman" w:cs="Times New Roman"/>
        </w:rPr>
      </w:pPr>
      <w:r w:rsidRPr="00851F17">
        <w:rPr>
          <w:rFonts w:ascii="Times New Roman" w:hAnsi="Times New Roman" w:cs="Times New Roman"/>
        </w:rPr>
        <w:t xml:space="preserve">Asimismo, las colocaciones de Bonos del Tesoro </w:t>
      </w:r>
      <w:r>
        <w:rPr>
          <w:rFonts w:ascii="Times New Roman" w:hAnsi="Times New Roman" w:cs="Times New Roman"/>
        </w:rPr>
        <w:t xml:space="preserve">se aceleraron en junio. El total </w:t>
      </w:r>
      <w:r w:rsidRPr="00851F17">
        <w:rPr>
          <w:rFonts w:ascii="Times New Roman" w:hAnsi="Times New Roman" w:cs="Times New Roman"/>
        </w:rPr>
        <w:lastRenderedPageBreak/>
        <w:t>adjudicado</w:t>
      </w:r>
      <w:r>
        <w:rPr>
          <w:rFonts w:ascii="Times New Roman" w:hAnsi="Times New Roman" w:cs="Times New Roman"/>
        </w:rPr>
        <w:t xml:space="preserve"> a la fecha asciende a</w:t>
      </w:r>
      <w:r w:rsidRPr="00851F17">
        <w:rPr>
          <w:rFonts w:ascii="Times New Roman" w:hAnsi="Times New Roman" w:cs="Times New Roman"/>
        </w:rPr>
        <w:t xml:space="preserve"> Q</w:t>
      </w:r>
      <w:r>
        <w:rPr>
          <w:rFonts w:ascii="Times New Roman" w:hAnsi="Times New Roman" w:cs="Times New Roman"/>
        </w:rPr>
        <w:t>25,390</w:t>
      </w:r>
      <w:r w:rsidRPr="00851F17">
        <w:rPr>
          <w:rFonts w:ascii="Times New Roman" w:hAnsi="Times New Roman" w:cs="Times New Roman"/>
        </w:rPr>
        <w:t>.</w:t>
      </w:r>
      <w:r>
        <w:rPr>
          <w:rFonts w:ascii="Times New Roman" w:hAnsi="Times New Roman" w:cs="Times New Roman"/>
        </w:rPr>
        <w:t xml:space="preserve">6 millones, de los cuales Q21,653.0 millones corresponden a nuevo endeudamiento y Q3,737.6 millones al roll over.  </w:t>
      </w:r>
    </w:p>
    <w:p w:rsidR="001671DB" w:rsidRPr="00851F17" w:rsidRDefault="001671DB" w:rsidP="001671DB">
      <w:pPr>
        <w:pStyle w:val="Sinespaciado"/>
        <w:jc w:val="both"/>
        <w:rPr>
          <w:rFonts w:ascii="Times New Roman" w:hAnsi="Times New Roman" w:cs="Times New Roman"/>
        </w:rPr>
      </w:pPr>
    </w:p>
    <w:p w:rsidR="00F75F1E" w:rsidRPr="004D1EB1" w:rsidRDefault="001671DB" w:rsidP="004D1EB1">
      <w:pPr>
        <w:pStyle w:val="Sinespaciado"/>
        <w:jc w:val="both"/>
        <w:rPr>
          <w:rFonts w:ascii="Times New Roman" w:hAnsi="Times New Roman" w:cs="Times New Roman"/>
          <w:color w:val="FF0000"/>
          <w:highlight w:val="yellow"/>
        </w:rPr>
      </w:pPr>
      <w:r w:rsidRPr="00851F17">
        <w:rPr>
          <w:rFonts w:ascii="Times New Roman" w:hAnsi="Times New Roman" w:cs="Times New Roman"/>
        </w:rPr>
        <w:t>Derivado de lo anterior, aún está pendiente de colocarse, conforme lo autorizado por el Decreto 25-2018</w:t>
      </w:r>
      <w:r>
        <w:rPr>
          <w:rFonts w:ascii="Times New Roman" w:hAnsi="Times New Roman" w:cs="Times New Roman"/>
        </w:rPr>
        <w:t>, 13-2020 y 20-2020</w:t>
      </w:r>
      <w:r w:rsidRPr="00851F17">
        <w:rPr>
          <w:rFonts w:ascii="Times New Roman" w:hAnsi="Times New Roman" w:cs="Times New Roman"/>
        </w:rPr>
        <w:t>, la cantidad de Q</w:t>
      </w:r>
      <w:r>
        <w:rPr>
          <w:rFonts w:ascii="Times New Roman" w:hAnsi="Times New Roman" w:cs="Times New Roman"/>
        </w:rPr>
        <w:t>10,314.3</w:t>
      </w:r>
      <w:r w:rsidRPr="00851F17">
        <w:rPr>
          <w:rFonts w:ascii="Times New Roman" w:hAnsi="Times New Roman" w:cs="Times New Roman"/>
        </w:rPr>
        <w:t xml:space="preserve"> millones, es decir, el </w:t>
      </w:r>
      <w:r>
        <w:rPr>
          <w:rFonts w:ascii="Times New Roman" w:hAnsi="Times New Roman" w:cs="Times New Roman"/>
        </w:rPr>
        <w:t>29.0</w:t>
      </w:r>
      <w:r w:rsidRPr="00851F17">
        <w:rPr>
          <w:rFonts w:ascii="Times New Roman" w:hAnsi="Times New Roman" w:cs="Times New Roman"/>
        </w:rPr>
        <w:t>% del total de la emisión aprobada para este año</w:t>
      </w:r>
      <w:r>
        <w:rPr>
          <w:rFonts w:ascii="Times New Roman" w:hAnsi="Times New Roman" w:cs="Times New Roman"/>
        </w:rPr>
        <w:t>.</w:t>
      </w:r>
      <w:r w:rsidR="00F94C84" w:rsidRPr="00DC723E">
        <w:rPr>
          <w:rFonts w:ascii="Times New Roman" w:hAnsi="Times New Roman" w:cs="Times New Roman"/>
          <w:color w:val="FF0000"/>
          <w:highlight w:val="yellow"/>
        </w:rPr>
        <w:t xml:space="preserve"> </w:t>
      </w:r>
    </w:p>
    <w:p w:rsidR="00C739AF" w:rsidRPr="00DC723E" w:rsidRDefault="00C739AF" w:rsidP="00F94C84">
      <w:pPr>
        <w:spacing w:after="0" w:line="240" w:lineRule="auto"/>
        <w:jc w:val="center"/>
        <w:rPr>
          <w:rFonts w:ascii="Times New Roman" w:hAnsi="Times New Roman" w:cs="Times New Roman"/>
          <w:b/>
          <w:color w:val="FF0000"/>
          <w:sz w:val="2"/>
        </w:rPr>
      </w:pPr>
    </w:p>
    <w:p w:rsidR="00C739AF" w:rsidRPr="00DC723E" w:rsidRDefault="00C739AF" w:rsidP="00F94C84">
      <w:pPr>
        <w:spacing w:after="0" w:line="240" w:lineRule="auto"/>
        <w:jc w:val="center"/>
        <w:rPr>
          <w:rFonts w:ascii="Times New Roman" w:hAnsi="Times New Roman" w:cs="Times New Roman"/>
          <w:b/>
          <w:color w:val="FF0000"/>
          <w:sz w:val="2"/>
        </w:rPr>
      </w:pPr>
    </w:p>
    <w:p w:rsidR="00F94C84" w:rsidRPr="001671DB" w:rsidRDefault="001671DB" w:rsidP="00F94C84">
      <w:pPr>
        <w:spacing w:after="0" w:line="240" w:lineRule="auto"/>
        <w:jc w:val="center"/>
        <w:rPr>
          <w:rFonts w:ascii="Times New Roman" w:hAnsi="Times New Roman" w:cs="Times New Roman"/>
          <w:b/>
        </w:rPr>
      </w:pPr>
      <w:r w:rsidRPr="001671DB">
        <w:rPr>
          <w:rFonts w:ascii="Times New Roman" w:hAnsi="Times New Roman" w:cs="Times New Roman"/>
          <w:b/>
        </w:rPr>
        <w:lastRenderedPageBreak/>
        <w:t>Colocación de Bonos del Tesoro</w:t>
      </w:r>
    </w:p>
    <w:p w:rsidR="00F94C84" w:rsidRDefault="00F94C84" w:rsidP="00F94C84">
      <w:pPr>
        <w:spacing w:after="0" w:line="240" w:lineRule="auto"/>
        <w:jc w:val="center"/>
        <w:rPr>
          <w:rFonts w:ascii="Times New Roman" w:hAnsi="Times New Roman" w:cs="Times New Roman"/>
          <w:sz w:val="18"/>
        </w:rPr>
      </w:pPr>
      <w:r w:rsidRPr="001671DB">
        <w:rPr>
          <w:rFonts w:ascii="Times New Roman" w:hAnsi="Times New Roman" w:cs="Times New Roman"/>
          <w:sz w:val="18"/>
        </w:rPr>
        <w:t>A</w:t>
      </w:r>
      <w:r w:rsidR="00A04D8E" w:rsidRPr="001671DB">
        <w:rPr>
          <w:rFonts w:ascii="Times New Roman" w:hAnsi="Times New Roman" w:cs="Times New Roman"/>
          <w:sz w:val="18"/>
        </w:rPr>
        <w:t xml:space="preserve"> junio</w:t>
      </w:r>
      <w:r w:rsidR="001671DB" w:rsidRPr="001671DB">
        <w:rPr>
          <w:rFonts w:ascii="Times New Roman" w:hAnsi="Times New Roman" w:cs="Times New Roman"/>
          <w:sz w:val="18"/>
        </w:rPr>
        <w:t xml:space="preserve"> 2020</w:t>
      </w:r>
    </w:p>
    <w:p w:rsidR="00B7015D" w:rsidRDefault="004D1EB1" w:rsidP="004D1EB1">
      <w:pPr>
        <w:spacing w:after="0" w:line="240" w:lineRule="auto"/>
        <w:jc w:val="center"/>
        <w:rPr>
          <w:rFonts w:ascii="Times New Roman" w:hAnsi="Times New Roman" w:cs="Times New Roman"/>
          <w:sz w:val="18"/>
        </w:rPr>
      </w:pPr>
      <w:r>
        <w:rPr>
          <w:rFonts w:ascii="Times New Roman" w:hAnsi="Times New Roman" w:cs="Times New Roman"/>
          <w:sz w:val="18"/>
        </w:rPr>
        <w:t>Millones de quetzales y porcentajes</w:t>
      </w:r>
    </w:p>
    <w:p w:rsidR="004D1EB1" w:rsidRDefault="004D1EB1" w:rsidP="004D1EB1">
      <w:pPr>
        <w:spacing w:after="0" w:line="240" w:lineRule="auto"/>
        <w:jc w:val="center"/>
        <w:rPr>
          <w:rFonts w:ascii="Times New Roman" w:hAnsi="Times New Roman" w:cs="Times New Roman"/>
          <w:sz w:val="18"/>
        </w:rPr>
      </w:pPr>
    </w:p>
    <w:p w:rsidR="004D1EB1" w:rsidRDefault="004D1EB1" w:rsidP="004D1EB1">
      <w:pPr>
        <w:spacing w:after="0" w:line="240" w:lineRule="auto"/>
        <w:jc w:val="center"/>
        <w:rPr>
          <w:rFonts w:ascii="Times New Roman" w:hAnsi="Times New Roman" w:cs="Times New Roman"/>
          <w:sz w:val="18"/>
        </w:rPr>
      </w:pPr>
    </w:p>
    <w:p w:rsidR="004D1EB1" w:rsidRPr="004D1EB1" w:rsidRDefault="004D1EB1" w:rsidP="004D1EB1">
      <w:pPr>
        <w:spacing w:after="0" w:line="240" w:lineRule="auto"/>
        <w:jc w:val="center"/>
        <w:rPr>
          <w:rFonts w:ascii="Times New Roman" w:hAnsi="Times New Roman" w:cs="Times New Roman"/>
          <w:sz w:val="18"/>
        </w:rPr>
      </w:pPr>
    </w:p>
    <w:p w:rsidR="009B76D6" w:rsidRPr="00DC723E" w:rsidRDefault="009B76D6" w:rsidP="00CE75B5">
      <w:pPr>
        <w:pStyle w:val="Sinespaciado"/>
        <w:jc w:val="both"/>
        <w:rPr>
          <w:rFonts w:ascii="Times New Roman" w:hAnsi="Times New Roman" w:cs="Times New Roman"/>
          <w:color w:val="FF0000"/>
          <w:sz w:val="8"/>
        </w:rPr>
        <w:sectPr w:rsidR="009B76D6" w:rsidRPr="00DC723E" w:rsidSect="007C66BE">
          <w:type w:val="continuous"/>
          <w:pgSz w:w="12240" w:h="15840"/>
          <w:pgMar w:top="1417" w:right="1701" w:bottom="1417" w:left="1701" w:header="708" w:footer="708" w:gutter="0"/>
          <w:cols w:num="2" w:space="708"/>
          <w:docGrid w:linePitch="360"/>
        </w:sectPr>
      </w:pPr>
    </w:p>
    <w:p w:rsidR="00B96036" w:rsidRDefault="004D1EB1" w:rsidP="00D4202F">
      <w:pPr>
        <w:spacing w:after="0"/>
        <w:rPr>
          <w:rFonts w:ascii="Times New Roman" w:hAnsi="Times New Roman" w:cs="Times New Roman"/>
          <w:color w:val="FF0000"/>
          <w:sz w:val="18"/>
          <w:lang w:val="es-MX"/>
        </w:rPr>
      </w:pPr>
      <w:r w:rsidRPr="001671DB">
        <w:rPr>
          <w:noProof/>
          <w:lang w:eastAsia="es-GT"/>
        </w:rPr>
        <w:lastRenderedPageBreak/>
        <w:drawing>
          <wp:anchor distT="0" distB="0" distL="114300" distR="114300" simplePos="0" relativeHeight="251799552" behindDoc="0" locked="0" layoutInCell="1" allowOverlap="1" wp14:anchorId="3D43D20B" wp14:editId="6DDDC8B5">
            <wp:simplePos x="0" y="0"/>
            <wp:positionH relativeFrom="column">
              <wp:posOffset>183958</wp:posOffset>
            </wp:positionH>
            <wp:positionV relativeFrom="paragraph">
              <wp:posOffset>42870</wp:posOffset>
            </wp:positionV>
            <wp:extent cx="2961005" cy="1988185"/>
            <wp:effectExtent l="0" t="0" r="0" b="0"/>
            <wp:wrapSquare wrapText="bothSides"/>
            <wp:docPr id="233" name="Gráfico 233">
              <a:extLst xmlns:a="http://schemas.openxmlformats.org/drawingml/2006/main">
                <a:ext uri="{FF2B5EF4-FFF2-40B4-BE49-F238E27FC236}">
                  <a16:creationId xmlns:a16="http://schemas.microsoft.com/office/drawing/2014/main" id="{00000000-0008-0000-1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rsidR="004D1EB1" w:rsidRDefault="004D1EB1" w:rsidP="00D4202F">
      <w:pPr>
        <w:spacing w:after="0"/>
        <w:rPr>
          <w:rFonts w:ascii="Times New Roman" w:hAnsi="Times New Roman" w:cs="Times New Roman"/>
          <w:color w:val="FF0000"/>
          <w:sz w:val="18"/>
          <w:lang w:val="es-MX"/>
        </w:rPr>
      </w:pPr>
    </w:p>
    <w:p w:rsidR="004D1EB1" w:rsidRDefault="004D1EB1" w:rsidP="00D4202F">
      <w:pPr>
        <w:spacing w:after="0"/>
        <w:rPr>
          <w:rFonts w:ascii="Times New Roman" w:hAnsi="Times New Roman" w:cs="Times New Roman"/>
          <w:color w:val="FF0000"/>
          <w:sz w:val="18"/>
          <w:lang w:val="es-MX"/>
        </w:rPr>
      </w:pPr>
    </w:p>
    <w:p w:rsidR="004D1EB1" w:rsidRDefault="004D1EB1" w:rsidP="00D4202F">
      <w:pPr>
        <w:spacing w:after="0"/>
        <w:rPr>
          <w:rFonts w:ascii="Times New Roman" w:hAnsi="Times New Roman" w:cs="Times New Roman"/>
          <w:color w:val="FF0000"/>
          <w:sz w:val="18"/>
          <w:lang w:val="es-MX"/>
        </w:rPr>
      </w:pPr>
    </w:p>
    <w:p w:rsidR="004D1EB1" w:rsidRDefault="004D1EB1" w:rsidP="00D4202F">
      <w:pPr>
        <w:spacing w:after="0"/>
        <w:rPr>
          <w:rFonts w:ascii="Times New Roman" w:hAnsi="Times New Roman" w:cs="Times New Roman"/>
          <w:color w:val="FF0000"/>
          <w:sz w:val="18"/>
          <w:lang w:val="es-MX"/>
        </w:rPr>
      </w:pPr>
    </w:p>
    <w:p w:rsidR="004D1EB1" w:rsidRDefault="004D1EB1" w:rsidP="00D4202F">
      <w:pPr>
        <w:spacing w:after="0"/>
        <w:rPr>
          <w:rFonts w:ascii="Times New Roman" w:hAnsi="Times New Roman" w:cs="Times New Roman"/>
          <w:color w:val="FF0000"/>
          <w:sz w:val="18"/>
          <w:lang w:val="es-MX"/>
        </w:rPr>
      </w:pPr>
    </w:p>
    <w:p w:rsidR="004D1EB1" w:rsidRDefault="004D1EB1" w:rsidP="00D4202F">
      <w:pPr>
        <w:spacing w:after="0"/>
        <w:rPr>
          <w:rFonts w:ascii="Times New Roman" w:hAnsi="Times New Roman" w:cs="Times New Roman"/>
          <w:color w:val="FF0000"/>
          <w:sz w:val="18"/>
          <w:lang w:val="es-MX"/>
        </w:rPr>
      </w:pPr>
    </w:p>
    <w:p w:rsidR="004D1EB1" w:rsidRDefault="004D1EB1" w:rsidP="00D4202F">
      <w:pPr>
        <w:spacing w:after="0"/>
        <w:rPr>
          <w:rFonts w:ascii="Times New Roman" w:hAnsi="Times New Roman" w:cs="Times New Roman"/>
          <w:color w:val="FF0000"/>
          <w:sz w:val="18"/>
          <w:lang w:val="es-MX"/>
        </w:rPr>
      </w:pPr>
    </w:p>
    <w:p w:rsidR="004D1EB1" w:rsidRDefault="004D1EB1" w:rsidP="00D4202F">
      <w:pPr>
        <w:spacing w:after="0"/>
        <w:rPr>
          <w:rFonts w:ascii="Times New Roman" w:hAnsi="Times New Roman" w:cs="Times New Roman"/>
          <w:color w:val="FF0000"/>
          <w:sz w:val="18"/>
          <w:lang w:val="es-MX"/>
        </w:rPr>
      </w:pPr>
    </w:p>
    <w:p w:rsidR="004D1EB1" w:rsidRDefault="004D1EB1" w:rsidP="00D4202F">
      <w:pPr>
        <w:spacing w:after="0"/>
        <w:rPr>
          <w:rFonts w:ascii="Times New Roman" w:hAnsi="Times New Roman" w:cs="Times New Roman"/>
          <w:color w:val="FF0000"/>
          <w:sz w:val="18"/>
          <w:lang w:val="es-MX"/>
        </w:rPr>
      </w:pPr>
    </w:p>
    <w:p w:rsidR="004D1EB1" w:rsidRDefault="004D1EB1" w:rsidP="00D4202F">
      <w:pPr>
        <w:spacing w:after="0"/>
        <w:rPr>
          <w:rFonts w:ascii="Times New Roman" w:hAnsi="Times New Roman" w:cs="Times New Roman"/>
          <w:color w:val="FF0000"/>
          <w:sz w:val="18"/>
          <w:lang w:val="es-MX"/>
        </w:rPr>
      </w:pPr>
    </w:p>
    <w:p w:rsidR="004D1EB1" w:rsidRDefault="004D1EB1" w:rsidP="00D4202F">
      <w:pPr>
        <w:spacing w:after="0"/>
        <w:rPr>
          <w:rFonts w:ascii="Times New Roman" w:hAnsi="Times New Roman" w:cs="Times New Roman"/>
          <w:color w:val="FF0000"/>
          <w:sz w:val="18"/>
          <w:lang w:val="es-MX"/>
        </w:rPr>
      </w:pPr>
    </w:p>
    <w:p w:rsidR="004D1EB1" w:rsidRDefault="004D1EB1" w:rsidP="00D4202F">
      <w:pPr>
        <w:spacing w:after="0"/>
        <w:rPr>
          <w:rFonts w:ascii="Times New Roman" w:hAnsi="Times New Roman" w:cs="Times New Roman"/>
          <w:color w:val="FF0000"/>
          <w:sz w:val="18"/>
          <w:lang w:val="es-MX"/>
        </w:rPr>
      </w:pPr>
    </w:p>
    <w:p w:rsidR="004D1EB1" w:rsidRDefault="004D1EB1" w:rsidP="00D4202F">
      <w:pPr>
        <w:spacing w:after="0"/>
        <w:rPr>
          <w:rFonts w:ascii="Times New Roman" w:hAnsi="Times New Roman" w:cs="Times New Roman"/>
          <w:color w:val="FF0000"/>
          <w:sz w:val="18"/>
          <w:lang w:val="es-MX"/>
        </w:rPr>
      </w:pPr>
    </w:p>
    <w:p w:rsidR="004D1EB1" w:rsidRPr="004D1EB1" w:rsidRDefault="004D1EB1" w:rsidP="00D4202F">
      <w:pPr>
        <w:spacing w:after="0"/>
        <w:rPr>
          <w:rFonts w:ascii="Times New Roman" w:hAnsi="Times New Roman" w:cs="Times New Roman"/>
          <w:sz w:val="18"/>
          <w:lang w:val="es-MX"/>
        </w:rPr>
      </w:pPr>
      <w:r w:rsidRPr="004D1EB1">
        <w:rPr>
          <w:rFonts w:ascii="Times New Roman" w:hAnsi="Times New Roman" w:cs="Times New Roman"/>
          <w:sz w:val="18"/>
          <w:lang w:val="es-MX"/>
        </w:rPr>
        <w:t>Fuente: Dirección de Análisis y Política Fiscal.</w:t>
      </w:r>
    </w:p>
    <w:p w:rsidR="004D1EB1" w:rsidRPr="00DC723E" w:rsidRDefault="004D1EB1" w:rsidP="00D4202F">
      <w:pPr>
        <w:spacing w:after="0"/>
        <w:rPr>
          <w:rFonts w:ascii="Times New Roman" w:hAnsi="Times New Roman" w:cs="Times New Roman"/>
          <w:color w:val="FF0000"/>
          <w:sz w:val="18"/>
          <w:lang w:val="es-MX"/>
        </w:rPr>
      </w:pPr>
    </w:p>
    <w:p w:rsidR="00F75F1E" w:rsidRPr="001C265F" w:rsidRDefault="00F1031E" w:rsidP="00F75F1E">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F75F1E" w:rsidRPr="001C265F" w:rsidSect="00FA3B81">
          <w:type w:val="continuous"/>
          <w:pgSz w:w="12240" w:h="15840" w:code="1"/>
          <w:pgMar w:top="1418" w:right="1418" w:bottom="1418" w:left="1418" w:header="709" w:footer="709" w:gutter="0"/>
          <w:cols w:space="708"/>
          <w:docGrid w:linePitch="360"/>
        </w:sectPr>
      </w:pPr>
      <w:r w:rsidRPr="001C265F">
        <w:rPr>
          <w:rFonts w:ascii="Times New Roman" w:hAnsi="Times New Roman" w:cs="Times New Roman"/>
          <w:b/>
        </w:rPr>
        <w:t>Ejecución de programas en el marco del COVIC-19</w:t>
      </w:r>
    </w:p>
    <w:p w:rsidR="00F75F1E" w:rsidRPr="00DC723E" w:rsidRDefault="00F75F1E" w:rsidP="00F75F1E">
      <w:pPr>
        <w:pStyle w:val="Sinespaciado"/>
        <w:rPr>
          <w:rFonts w:ascii="Times New Roman" w:hAnsi="Times New Roman" w:cs="Times New Roman"/>
          <w:b/>
          <w:color w:val="FF0000"/>
          <w:sz w:val="20"/>
          <w:lang w:val="es-MX"/>
        </w:rPr>
      </w:pPr>
    </w:p>
    <w:p w:rsidR="00F75F1E" w:rsidRPr="00DC723E" w:rsidRDefault="00F75F1E" w:rsidP="00F75F1E">
      <w:pPr>
        <w:pStyle w:val="Sinespaciado"/>
        <w:rPr>
          <w:rFonts w:ascii="Times New Roman" w:hAnsi="Times New Roman" w:cs="Times New Roman"/>
          <w:b/>
          <w:color w:val="FF0000"/>
          <w:sz w:val="18"/>
          <w:lang w:val="es-MX"/>
        </w:rPr>
        <w:sectPr w:rsidR="00F75F1E" w:rsidRPr="00DC723E" w:rsidSect="004E358C">
          <w:type w:val="continuous"/>
          <w:pgSz w:w="12240" w:h="15840"/>
          <w:pgMar w:top="1417" w:right="1701" w:bottom="1417" w:left="1701" w:header="708" w:footer="708" w:gutter="0"/>
          <w:cols w:space="708"/>
          <w:docGrid w:linePitch="360"/>
        </w:sectPr>
      </w:pPr>
    </w:p>
    <w:p w:rsidR="00934DD5" w:rsidRDefault="00934DD5" w:rsidP="00934DD5">
      <w:pPr>
        <w:spacing w:after="0" w:line="240" w:lineRule="auto"/>
        <w:ind w:left="-284"/>
        <w:jc w:val="both"/>
        <w:rPr>
          <w:rFonts w:ascii="Times New Roman" w:hAnsi="Times New Roman" w:cs="Times New Roman"/>
        </w:rPr>
      </w:pPr>
      <w:r>
        <w:rPr>
          <w:rFonts w:ascii="Times New Roman" w:hAnsi="Times New Roman" w:cs="Times New Roman"/>
        </w:rPr>
        <w:lastRenderedPageBreak/>
        <w:t xml:space="preserve">A través del programa </w:t>
      </w:r>
      <w:r w:rsidRPr="00A073EC">
        <w:rPr>
          <w:rFonts w:ascii="Times New Roman" w:hAnsi="Times New Roman" w:cs="Times New Roman"/>
        </w:rPr>
        <w:t>94 “Atención por desastres naturales y calamidades públicas”, subprograma 09 “Estado de Calamidad Pública por emergencia COVID-19 (DG 5-2020)”</w:t>
      </w:r>
      <w:r>
        <w:rPr>
          <w:rFonts w:ascii="Times New Roman" w:hAnsi="Times New Roman" w:cs="Times New Roman"/>
        </w:rPr>
        <w:t xml:space="preserve"> se le da seguimiento continuo a la ejecución de los programas que han sido asignados para la atención de la emergencia. </w:t>
      </w:r>
    </w:p>
    <w:p w:rsidR="00934DD5" w:rsidRDefault="00934DD5" w:rsidP="00934DD5">
      <w:pPr>
        <w:spacing w:after="0" w:line="240" w:lineRule="auto"/>
        <w:ind w:left="-284"/>
        <w:jc w:val="both"/>
        <w:rPr>
          <w:rFonts w:ascii="Times New Roman" w:hAnsi="Times New Roman" w:cs="Times New Roman"/>
        </w:rPr>
      </w:pPr>
    </w:p>
    <w:p w:rsidR="00934DD5" w:rsidRDefault="00934DD5" w:rsidP="00934DD5">
      <w:pPr>
        <w:spacing w:after="0" w:line="240" w:lineRule="auto"/>
        <w:ind w:left="-284"/>
        <w:jc w:val="both"/>
        <w:rPr>
          <w:rFonts w:ascii="Times New Roman" w:hAnsi="Times New Roman" w:cs="Times New Roman"/>
        </w:rPr>
      </w:pPr>
      <w:r>
        <w:rPr>
          <w:rFonts w:ascii="Times New Roman" w:hAnsi="Times New Roman" w:cs="Times New Roman"/>
        </w:rPr>
        <w:t xml:space="preserve">Al mes de junio, el presupuesto de dicho programa sufrió una ampliación y de esa cuenta se ubica en Q14,299.8 millones para entidades de la Administración Central y la entidad virtual de las Obligaciones del Estado a cargo del Tesoro, con una ejecución de Q4,124.2 millones, reportando un avance de Q1,951.0 millones respecto a mayo. Los programas que reportan un mayor dinamismo son: el bono para familias y bono de asistencia para personas afectadas por la crisis a cargo de Desarrollo Social con una ejecución de Q1,685.9 millones y Q65.0 millones respectivamente, seguido del fondo para capital de trabajo, del cual se realizó la transferencia de recursos hacia el Banco Crédito Hipotecario Nacional (CHN) para iniciar con la ejecución de los préstamos correspondientes y el fondo de </w:t>
      </w:r>
      <w:r>
        <w:rPr>
          <w:rFonts w:ascii="Times New Roman" w:hAnsi="Times New Roman" w:cs="Times New Roman"/>
        </w:rPr>
        <w:lastRenderedPageBreak/>
        <w:t xml:space="preserve">protección de empleo a cargo de Economía con una ejecución de Q506.5 millones. </w:t>
      </w:r>
    </w:p>
    <w:p w:rsidR="00934DD5" w:rsidRDefault="00934DD5" w:rsidP="00934DD5">
      <w:pPr>
        <w:spacing w:after="0" w:line="240" w:lineRule="auto"/>
        <w:ind w:left="-284"/>
        <w:jc w:val="both"/>
        <w:rPr>
          <w:rFonts w:ascii="Times New Roman" w:hAnsi="Times New Roman" w:cs="Times New Roman"/>
        </w:rPr>
      </w:pPr>
    </w:p>
    <w:p w:rsidR="00934DD5" w:rsidRDefault="00934DD5" w:rsidP="00934DD5">
      <w:pPr>
        <w:spacing w:after="0" w:line="240" w:lineRule="auto"/>
        <w:ind w:left="-284"/>
        <w:jc w:val="both"/>
        <w:rPr>
          <w:rFonts w:ascii="Times New Roman" w:hAnsi="Times New Roman" w:cs="Times New Roman"/>
        </w:rPr>
      </w:pPr>
      <w:r>
        <w:rPr>
          <w:rFonts w:ascii="Times New Roman" w:hAnsi="Times New Roman" w:cs="Times New Roman"/>
        </w:rPr>
        <w:t xml:space="preserve">Respecto a la compra de insumos médicos diversos a cargo de Salud Pública y Asistencia Social, se reporta una ejecución de Q136.2 millones. Por su parte, fue realizada también la transferencia de recursos hacia el Instituto Nacional de Electrificación (INDE) como parte del subsidio a la energía eléctrica. De la actividad aporte económico adulto mayor únicamente se reporta una ejecución de Q2.6 millones.  </w:t>
      </w:r>
    </w:p>
    <w:p w:rsidR="00934DD5" w:rsidRDefault="00934DD5" w:rsidP="00934DD5">
      <w:pPr>
        <w:spacing w:after="0" w:line="240" w:lineRule="auto"/>
        <w:ind w:left="-284"/>
        <w:jc w:val="both"/>
        <w:rPr>
          <w:rFonts w:ascii="Times New Roman" w:hAnsi="Times New Roman" w:cs="Times New Roman"/>
        </w:rPr>
      </w:pPr>
    </w:p>
    <w:p w:rsidR="00725FE5" w:rsidRPr="00DC723E" w:rsidRDefault="00934DD5" w:rsidP="001C265F">
      <w:pPr>
        <w:spacing w:after="0" w:line="240" w:lineRule="auto"/>
        <w:ind w:left="-142"/>
        <w:jc w:val="both"/>
        <w:rPr>
          <w:rFonts w:ascii="Times New Roman" w:hAnsi="Times New Roman" w:cs="Times New Roman"/>
          <w:color w:val="FF0000"/>
        </w:rPr>
      </w:pPr>
      <w:r>
        <w:rPr>
          <w:rFonts w:ascii="Times New Roman" w:hAnsi="Times New Roman" w:cs="Times New Roman"/>
        </w:rPr>
        <w:t>El resto de las intervenciones a cargo de Trabajo y Previsión Social, Relaciones Exteriores, Secretarias, Educación y Defensa Nacional reportan una ejecución del orden de Q8.0 millones.</w:t>
      </w:r>
      <w:r w:rsidR="00725FE5" w:rsidRPr="00DC723E">
        <w:rPr>
          <w:rFonts w:ascii="Times New Roman" w:hAnsi="Times New Roman" w:cs="Times New Roman"/>
          <w:color w:val="FF0000"/>
        </w:rPr>
        <w:t xml:space="preserve"> </w:t>
      </w:r>
    </w:p>
    <w:p w:rsidR="00725FE5" w:rsidRDefault="00725FE5" w:rsidP="00725FE5">
      <w:pPr>
        <w:spacing w:after="0" w:line="240" w:lineRule="auto"/>
        <w:jc w:val="both"/>
        <w:rPr>
          <w:rFonts w:ascii="Times New Roman" w:hAnsi="Times New Roman" w:cs="Times New Roman"/>
          <w:color w:val="FF0000"/>
        </w:rPr>
      </w:pPr>
    </w:p>
    <w:p w:rsidR="004D1EB1" w:rsidRDefault="004D1EB1" w:rsidP="00725FE5">
      <w:pPr>
        <w:spacing w:after="0" w:line="240" w:lineRule="auto"/>
        <w:jc w:val="both"/>
        <w:rPr>
          <w:rFonts w:ascii="Times New Roman" w:hAnsi="Times New Roman" w:cs="Times New Roman"/>
          <w:color w:val="FF0000"/>
        </w:rPr>
      </w:pPr>
    </w:p>
    <w:p w:rsidR="004D1EB1" w:rsidRDefault="004D1EB1" w:rsidP="00725FE5">
      <w:pPr>
        <w:spacing w:after="0" w:line="240" w:lineRule="auto"/>
        <w:jc w:val="both"/>
        <w:rPr>
          <w:rFonts w:ascii="Times New Roman" w:hAnsi="Times New Roman" w:cs="Times New Roman"/>
          <w:color w:val="FF0000"/>
        </w:rPr>
      </w:pPr>
    </w:p>
    <w:p w:rsidR="004D1EB1" w:rsidRDefault="004D1EB1" w:rsidP="00725FE5">
      <w:pPr>
        <w:spacing w:after="0" w:line="240" w:lineRule="auto"/>
        <w:jc w:val="both"/>
        <w:rPr>
          <w:rFonts w:ascii="Times New Roman" w:hAnsi="Times New Roman" w:cs="Times New Roman"/>
          <w:color w:val="FF0000"/>
        </w:rPr>
      </w:pPr>
    </w:p>
    <w:p w:rsidR="004D1EB1" w:rsidRDefault="004D1EB1" w:rsidP="00725FE5">
      <w:pPr>
        <w:spacing w:after="0" w:line="240" w:lineRule="auto"/>
        <w:jc w:val="both"/>
        <w:rPr>
          <w:rFonts w:ascii="Times New Roman" w:hAnsi="Times New Roman" w:cs="Times New Roman"/>
          <w:color w:val="FF0000"/>
        </w:rPr>
      </w:pPr>
    </w:p>
    <w:p w:rsidR="004D1EB1" w:rsidRDefault="004D1EB1" w:rsidP="00725FE5">
      <w:pPr>
        <w:spacing w:after="0" w:line="240" w:lineRule="auto"/>
        <w:jc w:val="both"/>
        <w:rPr>
          <w:rFonts w:ascii="Times New Roman" w:hAnsi="Times New Roman" w:cs="Times New Roman"/>
          <w:color w:val="FF0000"/>
        </w:rPr>
      </w:pPr>
    </w:p>
    <w:p w:rsidR="004D1EB1" w:rsidRPr="00DC723E" w:rsidRDefault="004D1EB1" w:rsidP="00725FE5">
      <w:pPr>
        <w:spacing w:after="0" w:line="240" w:lineRule="auto"/>
        <w:jc w:val="both"/>
        <w:rPr>
          <w:rFonts w:ascii="Times New Roman" w:hAnsi="Times New Roman" w:cs="Times New Roman"/>
          <w:color w:val="FF0000"/>
        </w:rPr>
      </w:pPr>
    </w:p>
    <w:p w:rsidR="00F1031E" w:rsidRPr="001C265F" w:rsidRDefault="00F1031E" w:rsidP="00F1031E">
      <w:pPr>
        <w:spacing w:after="0" w:line="240" w:lineRule="auto"/>
        <w:jc w:val="center"/>
        <w:rPr>
          <w:rFonts w:ascii="Times New Roman" w:hAnsi="Times New Roman" w:cs="Times New Roman"/>
          <w:b/>
          <w:sz w:val="20"/>
        </w:rPr>
      </w:pPr>
      <w:r w:rsidRPr="001C265F">
        <w:rPr>
          <w:rFonts w:ascii="Times New Roman" w:hAnsi="Times New Roman" w:cs="Times New Roman"/>
          <w:b/>
          <w:sz w:val="20"/>
        </w:rPr>
        <w:lastRenderedPageBreak/>
        <w:t>Ejecución por emergencia COVID-19</w:t>
      </w:r>
    </w:p>
    <w:p w:rsidR="00F1031E" w:rsidRPr="001C265F" w:rsidRDefault="00F1031E" w:rsidP="00F1031E">
      <w:pPr>
        <w:spacing w:after="0" w:line="240" w:lineRule="auto"/>
        <w:jc w:val="center"/>
        <w:rPr>
          <w:rFonts w:ascii="Times New Roman" w:hAnsi="Times New Roman" w:cs="Times New Roman"/>
          <w:sz w:val="18"/>
        </w:rPr>
      </w:pPr>
      <w:r w:rsidRPr="001C265F">
        <w:rPr>
          <w:rFonts w:ascii="Times New Roman" w:hAnsi="Times New Roman" w:cs="Times New Roman"/>
          <w:sz w:val="18"/>
        </w:rPr>
        <w:t>A junio 2020</w:t>
      </w:r>
    </w:p>
    <w:p w:rsidR="00F1031E" w:rsidRPr="001C265F" w:rsidRDefault="001C265F" w:rsidP="00F1031E">
      <w:pPr>
        <w:spacing w:after="0" w:line="240" w:lineRule="auto"/>
        <w:jc w:val="center"/>
        <w:rPr>
          <w:rFonts w:ascii="Times New Roman" w:hAnsi="Times New Roman" w:cs="Times New Roman"/>
          <w:sz w:val="18"/>
        </w:rPr>
      </w:pPr>
      <w:r w:rsidRPr="001C265F">
        <w:rPr>
          <w:noProof/>
          <w:lang w:eastAsia="es-GT"/>
        </w:rPr>
        <w:drawing>
          <wp:anchor distT="0" distB="0" distL="114300" distR="114300" simplePos="0" relativeHeight="251801600" behindDoc="0" locked="0" layoutInCell="1" allowOverlap="1" wp14:anchorId="3D32C14F" wp14:editId="5F2ED88D">
            <wp:simplePos x="0" y="0"/>
            <wp:positionH relativeFrom="column">
              <wp:posOffset>-167640</wp:posOffset>
            </wp:positionH>
            <wp:positionV relativeFrom="paragraph">
              <wp:posOffset>158115</wp:posOffset>
            </wp:positionV>
            <wp:extent cx="2943225" cy="3008630"/>
            <wp:effectExtent l="0" t="0" r="9525" b="1270"/>
            <wp:wrapSquare wrapText="bothSides"/>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95" r="1354"/>
                    <a:stretch/>
                  </pic:blipFill>
                  <pic:spPr bwMode="auto">
                    <a:xfrm>
                      <a:off x="0" y="0"/>
                      <a:ext cx="2943225" cy="3008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031E" w:rsidRPr="001C265F">
        <w:rPr>
          <w:rFonts w:ascii="Times New Roman" w:hAnsi="Times New Roman" w:cs="Times New Roman"/>
          <w:sz w:val="18"/>
        </w:rPr>
        <w:t>Millones de quetzales y porcentajes</w:t>
      </w:r>
    </w:p>
    <w:p w:rsidR="00F1031E" w:rsidRPr="001C265F" w:rsidRDefault="00F1031E" w:rsidP="00F1031E">
      <w:pPr>
        <w:spacing w:after="0" w:line="240" w:lineRule="auto"/>
        <w:jc w:val="both"/>
        <w:rPr>
          <w:rFonts w:ascii="Times New Roman" w:hAnsi="Times New Roman" w:cs="Times New Roman"/>
          <w:sz w:val="14"/>
        </w:rPr>
      </w:pPr>
      <w:r w:rsidRPr="001C265F">
        <w:rPr>
          <w:rFonts w:ascii="Times New Roman" w:hAnsi="Times New Roman" w:cs="Times New Roman"/>
          <w:noProof/>
          <w:sz w:val="16"/>
        </w:rPr>
        <w:t>Fuente: SIGES y SICOIN</w:t>
      </w:r>
    </w:p>
    <w:p w:rsidR="004D1EB1" w:rsidRDefault="004D1EB1" w:rsidP="00F1031E">
      <w:pPr>
        <w:spacing w:after="0" w:line="240" w:lineRule="auto"/>
        <w:jc w:val="center"/>
        <w:rPr>
          <w:rFonts w:ascii="Times New Roman" w:hAnsi="Times New Roman" w:cs="Times New Roman"/>
          <w:color w:val="FF0000"/>
          <w:sz w:val="18"/>
        </w:rPr>
      </w:pPr>
    </w:p>
    <w:p w:rsidR="004D1EB1" w:rsidRDefault="004D1EB1" w:rsidP="00F1031E">
      <w:pPr>
        <w:spacing w:after="0" w:line="240" w:lineRule="auto"/>
        <w:jc w:val="center"/>
        <w:rPr>
          <w:rFonts w:ascii="Times New Roman" w:hAnsi="Times New Roman" w:cs="Times New Roman"/>
          <w:color w:val="FF0000"/>
          <w:sz w:val="18"/>
        </w:rPr>
      </w:pPr>
    </w:p>
    <w:p w:rsidR="004D1EB1" w:rsidRDefault="004D1EB1" w:rsidP="00F1031E">
      <w:pPr>
        <w:spacing w:after="0" w:line="240" w:lineRule="auto"/>
        <w:jc w:val="center"/>
        <w:rPr>
          <w:rFonts w:ascii="Times New Roman" w:hAnsi="Times New Roman" w:cs="Times New Roman"/>
          <w:color w:val="FF0000"/>
          <w:sz w:val="18"/>
        </w:rPr>
      </w:pPr>
    </w:p>
    <w:p w:rsidR="004D1EB1" w:rsidRDefault="004D1EB1" w:rsidP="00F1031E">
      <w:pPr>
        <w:spacing w:after="0" w:line="240" w:lineRule="auto"/>
        <w:jc w:val="center"/>
        <w:rPr>
          <w:rFonts w:ascii="Times New Roman" w:hAnsi="Times New Roman" w:cs="Times New Roman"/>
          <w:color w:val="FF0000"/>
          <w:sz w:val="18"/>
        </w:rPr>
      </w:pPr>
    </w:p>
    <w:p w:rsidR="004D1EB1" w:rsidRDefault="004D1EB1" w:rsidP="00F1031E">
      <w:pPr>
        <w:spacing w:after="0" w:line="240" w:lineRule="auto"/>
        <w:jc w:val="center"/>
        <w:rPr>
          <w:rFonts w:ascii="Times New Roman" w:hAnsi="Times New Roman" w:cs="Times New Roman"/>
          <w:color w:val="FF0000"/>
          <w:sz w:val="18"/>
        </w:rPr>
      </w:pPr>
    </w:p>
    <w:p w:rsidR="004D1EB1" w:rsidRDefault="004D1EB1" w:rsidP="00F1031E">
      <w:pPr>
        <w:spacing w:after="0" w:line="240" w:lineRule="auto"/>
        <w:jc w:val="center"/>
        <w:rPr>
          <w:rFonts w:ascii="Times New Roman" w:hAnsi="Times New Roman" w:cs="Times New Roman"/>
          <w:color w:val="FF0000"/>
          <w:sz w:val="18"/>
        </w:rPr>
      </w:pPr>
    </w:p>
    <w:p w:rsidR="004D1EB1" w:rsidRDefault="004D1EB1" w:rsidP="00F1031E">
      <w:pPr>
        <w:spacing w:after="0" w:line="240" w:lineRule="auto"/>
        <w:jc w:val="center"/>
        <w:rPr>
          <w:rFonts w:ascii="Times New Roman" w:hAnsi="Times New Roman" w:cs="Times New Roman"/>
          <w:color w:val="FF0000"/>
          <w:sz w:val="18"/>
        </w:rPr>
      </w:pPr>
    </w:p>
    <w:p w:rsidR="004D1EB1" w:rsidRDefault="004D1EB1" w:rsidP="00F1031E">
      <w:pPr>
        <w:spacing w:after="0" w:line="240" w:lineRule="auto"/>
        <w:jc w:val="center"/>
        <w:rPr>
          <w:rFonts w:ascii="Times New Roman" w:hAnsi="Times New Roman" w:cs="Times New Roman"/>
          <w:color w:val="FF0000"/>
          <w:sz w:val="18"/>
        </w:rPr>
      </w:pPr>
    </w:p>
    <w:p w:rsidR="004D1EB1" w:rsidRDefault="004D1EB1" w:rsidP="00F1031E">
      <w:pPr>
        <w:spacing w:after="0" w:line="240" w:lineRule="auto"/>
        <w:jc w:val="center"/>
        <w:rPr>
          <w:rFonts w:ascii="Times New Roman" w:hAnsi="Times New Roman" w:cs="Times New Roman"/>
          <w:color w:val="FF0000"/>
          <w:sz w:val="18"/>
        </w:rPr>
      </w:pPr>
    </w:p>
    <w:p w:rsidR="004D1EB1" w:rsidRDefault="004D1EB1" w:rsidP="00F1031E">
      <w:pPr>
        <w:spacing w:after="0" w:line="240" w:lineRule="auto"/>
        <w:jc w:val="center"/>
        <w:rPr>
          <w:rFonts w:ascii="Times New Roman" w:hAnsi="Times New Roman" w:cs="Times New Roman"/>
          <w:color w:val="FF0000"/>
          <w:sz w:val="18"/>
        </w:rPr>
      </w:pPr>
    </w:p>
    <w:p w:rsidR="004D1EB1" w:rsidRDefault="004D1EB1" w:rsidP="00F1031E">
      <w:pPr>
        <w:spacing w:after="0" w:line="240" w:lineRule="auto"/>
        <w:jc w:val="center"/>
        <w:rPr>
          <w:rFonts w:ascii="Times New Roman" w:hAnsi="Times New Roman" w:cs="Times New Roman"/>
          <w:color w:val="FF0000"/>
          <w:sz w:val="18"/>
        </w:rPr>
      </w:pPr>
    </w:p>
    <w:p w:rsidR="004D1EB1" w:rsidRDefault="004D1EB1" w:rsidP="00F1031E">
      <w:pPr>
        <w:spacing w:after="0" w:line="240" w:lineRule="auto"/>
        <w:jc w:val="center"/>
        <w:rPr>
          <w:rFonts w:ascii="Times New Roman" w:hAnsi="Times New Roman" w:cs="Times New Roman"/>
          <w:color w:val="FF0000"/>
          <w:sz w:val="18"/>
        </w:rPr>
      </w:pPr>
    </w:p>
    <w:p w:rsidR="004D1EB1" w:rsidRDefault="004D1EB1" w:rsidP="00F1031E">
      <w:pPr>
        <w:spacing w:after="0" w:line="240" w:lineRule="auto"/>
        <w:jc w:val="center"/>
        <w:rPr>
          <w:rFonts w:ascii="Times New Roman" w:hAnsi="Times New Roman" w:cs="Times New Roman"/>
          <w:color w:val="FF0000"/>
          <w:sz w:val="18"/>
        </w:rPr>
      </w:pPr>
    </w:p>
    <w:p w:rsidR="004D1EB1" w:rsidRDefault="004D1EB1" w:rsidP="00F1031E">
      <w:pPr>
        <w:spacing w:after="0" w:line="240" w:lineRule="auto"/>
        <w:jc w:val="center"/>
        <w:rPr>
          <w:rFonts w:ascii="Times New Roman" w:hAnsi="Times New Roman" w:cs="Times New Roman"/>
          <w:color w:val="FF0000"/>
          <w:sz w:val="18"/>
        </w:rPr>
      </w:pPr>
    </w:p>
    <w:p w:rsidR="004D1EB1" w:rsidRDefault="004D1EB1" w:rsidP="00F1031E">
      <w:pPr>
        <w:spacing w:after="0" w:line="240" w:lineRule="auto"/>
        <w:jc w:val="center"/>
        <w:rPr>
          <w:rFonts w:ascii="Times New Roman" w:hAnsi="Times New Roman" w:cs="Times New Roman"/>
          <w:color w:val="FF0000"/>
          <w:sz w:val="18"/>
        </w:rPr>
      </w:pPr>
    </w:p>
    <w:p w:rsidR="004D1EB1" w:rsidRDefault="004D1EB1" w:rsidP="00F1031E">
      <w:pPr>
        <w:spacing w:after="0" w:line="240" w:lineRule="auto"/>
        <w:jc w:val="center"/>
        <w:rPr>
          <w:rFonts w:ascii="Times New Roman" w:hAnsi="Times New Roman" w:cs="Times New Roman"/>
          <w:color w:val="FF0000"/>
          <w:sz w:val="18"/>
        </w:rPr>
      </w:pPr>
    </w:p>
    <w:p w:rsidR="004D1EB1" w:rsidRDefault="004D1EB1" w:rsidP="00F1031E">
      <w:pPr>
        <w:spacing w:after="0" w:line="240" w:lineRule="auto"/>
        <w:jc w:val="center"/>
        <w:rPr>
          <w:rFonts w:ascii="Times New Roman" w:hAnsi="Times New Roman" w:cs="Times New Roman"/>
          <w:color w:val="FF0000"/>
          <w:sz w:val="18"/>
        </w:rPr>
      </w:pPr>
    </w:p>
    <w:p w:rsidR="004D1EB1" w:rsidRDefault="004D1EB1" w:rsidP="00F1031E">
      <w:pPr>
        <w:spacing w:after="0" w:line="240" w:lineRule="auto"/>
        <w:jc w:val="center"/>
        <w:rPr>
          <w:rFonts w:ascii="Times New Roman" w:hAnsi="Times New Roman" w:cs="Times New Roman"/>
          <w:color w:val="FF0000"/>
          <w:sz w:val="18"/>
        </w:rPr>
      </w:pPr>
    </w:p>
    <w:p w:rsidR="004D1EB1" w:rsidRDefault="004D1EB1" w:rsidP="00F1031E">
      <w:pPr>
        <w:spacing w:after="0" w:line="240" w:lineRule="auto"/>
        <w:jc w:val="center"/>
        <w:rPr>
          <w:rFonts w:ascii="Times New Roman" w:hAnsi="Times New Roman" w:cs="Times New Roman"/>
          <w:color w:val="FF0000"/>
          <w:sz w:val="18"/>
        </w:rPr>
      </w:pPr>
    </w:p>
    <w:p w:rsidR="004D1EB1" w:rsidRDefault="004D1EB1" w:rsidP="00F1031E">
      <w:pPr>
        <w:spacing w:after="0" w:line="240" w:lineRule="auto"/>
        <w:jc w:val="center"/>
        <w:rPr>
          <w:rFonts w:ascii="Times New Roman" w:hAnsi="Times New Roman" w:cs="Times New Roman"/>
          <w:color w:val="FF0000"/>
          <w:sz w:val="18"/>
        </w:rPr>
      </w:pPr>
    </w:p>
    <w:p w:rsidR="004D1EB1" w:rsidRDefault="004D1EB1" w:rsidP="00F1031E">
      <w:pPr>
        <w:spacing w:after="0" w:line="240" w:lineRule="auto"/>
        <w:jc w:val="center"/>
        <w:rPr>
          <w:rFonts w:ascii="Times New Roman" w:hAnsi="Times New Roman" w:cs="Times New Roman"/>
          <w:color w:val="FF0000"/>
          <w:sz w:val="18"/>
        </w:rPr>
      </w:pPr>
    </w:p>
    <w:p w:rsidR="004D1EB1" w:rsidRDefault="004D1EB1" w:rsidP="00F1031E">
      <w:pPr>
        <w:spacing w:after="0" w:line="240" w:lineRule="auto"/>
        <w:jc w:val="center"/>
        <w:rPr>
          <w:rFonts w:ascii="Times New Roman" w:hAnsi="Times New Roman" w:cs="Times New Roman"/>
          <w:color w:val="FF0000"/>
          <w:sz w:val="18"/>
        </w:rPr>
      </w:pPr>
    </w:p>
    <w:p w:rsidR="004D1EB1" w:rsidRDefault="004D1EB1" w:rsidP="00F1031E">
      <w:pPr>
        <w:spacing w:after="0" w:line="240" w:lineRule="auto"/>
        <w:jc w:val="center"/>
        <w:rPr>
          <w:rFonts w:ascii="Times New Roman" w:hAnsi="Times New Roman" w:cs="Times New Roman"/>
          <w:color w:val="FF0000"/>
          <w:sz w:val="18"/>
        </w:rPr>
      </w:pPr>
    </w:p>
    <w:p w:rsidR="004D1EB1" w:rsidRDefault="004D1EB1" w:rsidP="00F1031E">
      <w:pPr>
        <w:spacing w:after="0" w:line="240" w:lineRule="auto"/>
        <w:jc w:val="center"/>
        <w:rPr>
          <w:rFonts w:ascii="Times New Roman" w:hAnsi="Times New Roman" w:cs="Times New Roman"/>
          <w:color w:val="FF0000"/>
          <w:sz w:val="18"/>
        </w:rPr>
      </w:pPr>
    </w:p>
    <w:p w:rsidR="004D1EB1" w:rsidRDefault="004D1EB1" w:rsidP="00F1031E">
      <w:pPr>
        <w:spacing w:after="0" w:line="240" w:lineRule="auto"/>
        <w:jc w:val="center"/>
        <w:rPr>
          <w:rFonts w:ascii="Times New Roman" w:hAnsi="Times New Roman" w:cs="Times New Roman"/>
          <w:color w:val="FF0000"/>
          <w:sz w:val="18"/>
        </w:rPr>
      </w:pPr>
    </w:p>
    <w:p w:rsidR="004D1EB1" w:rsidRDefault="004D1EB1" w:rsidP="00F1031E">
      <w:pPr>
        <w:spacing w:after="0" w:line="240" w:lineRule="auto"/>
        <w:jc w:val="center"/>
        <w:rPr>
          <w:rFonts w:ascii="Times New Roman" w:hAnsi="Times New Roman" w:cs="Times New Roman"/>
          <w:color w:val="FF0000"/>
          <w:sz w:val="18"/>
        </w:rPr>
      </w:pPr>
    </w:p>
    <w:p w:rsidR="004D1EB1" w:rsidRDefault="004D1EB1" w:rsidP="00F1031E">
      <w:pPr>
        <w:spacing w:after="0" w:line="240" w:lineRule="auto"/>
        <w:jc w:val="center"/>
        <w:rPr>
          <w:rFonts w:ascii="Times New Roman" w:hAnsi="Times New Roman" w:cs="Times New Roman"/>
          <w:color w:val="FF0000"/>
          <w:sz w:val="18"/>
        </w:rPr>
      </w:pPr>
    </w:p>
    <w:p w:rsidR="004D1EB1" w:rsidRPr="00DC723E" w:rsidRDefault="004D1EB1" w:rsidP="00F1031E">
      <w:pPr>
        <w:spacing w:after="0" w:line="240" w:lineRule="auto"/>
        <w:jc w:val="center"/>
        <w:rPr>
          <w:rFonts w:ascii="Times New Roman" w:hAnsi="Times New Roman" w:cs="Times New Roman"/>
          <w:color w:val="FF0000"/>
          <w:sz w:val="18"/>
        </w:rPr>
      </w:pPr>
    </w:p>
    <w:p w:rsidR="009B76D6" w:rsidRPr="00DC723E" w:rsidRDefault="009B76D6" w:rsidP="00D4202F">
      <w:pPr>
        <w:spacing w:after="0"/>
        <w:rPr>
          <w:rFonts w:ascii="Times New Roman" w:hAnsi="Times New Roman" w:cs="Times New Roman"/>
          <w:color w:val="FF0000"/>
          <w:sz w:val="6"/>
          <w:lang w:val="es-MX"/>
        </w:rPr>
      </w:pPr>
    </w:p>
    <w:p w:rsidR="00F75F1E" w:rsidRPr="00DC723E" w:rsidRDefault="00F75F1E" w:rsidP="00D4202F">
      <w:pPr>
        <w:spacing w:after="0"/>
        <w:rPr>
          <w:rFonts w:ascii="Times New Roman" w:hAnsi="Times New Roman" w:cs="Times New Roman"/>
          <w:color w:val="FF0000"/>
          <w:sz w:val="6"/>
          <w:lang w:val="es-MX"/>
        </w:rPr>
        <w:sectPr w:rsidR="00F75F1E" w:rsidRPr="00DC723E" w:rsidSect="004E358C">
          <w:type w:val="continuous"/>
          <w:pgSz w:w="12240" w:h="15840"/>
          <w:pgMar w:top="1417" w:right="1701" w:bottom="1417" w:left="1701" w:header="708" w:footer="708" w:gutter="0"/>
          <w:cols w:num="2" w:space="708"/>
          <w:docGrid w:linePitch="360"/>
        </w:sectPr>
      </w:pPr>
    </w:p>
    <w:p w:rsidR="00494D1D" w:rsidRPr="007051EA" w:rsidRDefault="0042387A" w:rsidP="00BB4C28">
      <w:pPr>
        <w:pBdr>
          <w:top w:val="single" w:sz="4" w:space="0"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494D1D" w:rsidRPr="007051EA" w:rsidSect="00FA3B81">
          <w:headerReference w:type="default" r:id="rId31"/>
          <w:footerReference w:type="default" r:id="rId32"/>
          <w:type w:val="continuous"/>
          <w:pgSz w:w="12240" w:h="15840" w:code="1"/>
          <w:pgMar w:top="1418" w:right="1418" w:bottom="1418" w:left="1418" w:header="709" w:footer="709" w:gutter="0"/>
          <w:cols w:space="708"/>
          <w:docGrid w:linePitch="360"/>
        </w:sectPr>
      </w:pPr>
      <w:r w:rsidRPr="007051EA">
        <w:rPr>
          <w:rFonts w:ascii="Times New Roman" w:hAnsi="Times New Roman" w:cs="Times New Roman"/>
          <w:b/>
          <w:lang w:val="es-MX"/>
        </w:rPr>
        <w:lastRenderedPageBreak/>
        <w:t>Ambientes macroeconómicos (externo e interno)</w:t>
      </w:r>
    </w:p>
    <w:p w:rsidR="00494D1D" w:rsidRPr="007051EA" w:rsidRDefault="00494D1D" w:rsidP="00494D1D">
      <w:pPr>
        <w:pStyle w:val="Sinespaciado"/>
        <w:rPr>
          <w:rFonts w:ascii="Times New Roman" w:hAnsi="Times New Roman" w:cs="Times New Roman"/>
          <w:b/>
          <w:sz w:val="18"/>
          <w:lang w:val="es-MX"/>
        </w:rPr>
      </w:pPr>
    </w:p>
    <w:p w:rsidR="00494D1D" w:rsidRPr="007051EA" w:rsidRDefault="00494D1D" w:rsidP="00494D1D">
      <w:pPr>
        <w:pStyle w:val="Sinespaciado"/>
        <w:rPr>
          <w:rFonts w:ascii="Times New Roman" w:hAnsi="Times New Roman" w:cs="Times New Roman"/>
          <w:b/>
          <w:sz w:val="28"/>
          <w:lang w:val="es-MX"/>
        </w:rPr>
        <w:sectPr w:rsidR="00494D1D" w:rsidRPr="007051EA" w:rsidSect="004E358C">
          <w:type w:val="continuous"/>
          <w:pgSz w:w="12240" w:h="15840"/>
          <w:pgMar w:top="1417" w:right="1701" w:bottom="1417" w:left="1701" w:header="708" w:footer="708" w:gutter="0"/>
          <w:cols w:space="708"/>
          <w:docGrid w:linePitch="360"/>
        </w:sectPr>
      </w:pPr>
    </w:p>
    <w:p w:rsidR="0022010B" w:rsidRPr="007051EA" w:rsidRDefault="0022010B" w:rsidP="0022010B">
      <w:pPr>
        <w:pStyle w:val="Textodeglobo"/>
        <w:jc w:val="both"/>
        <w:rPr>
          <w:rFonts w:ascii="Times New Roman" w:hAnsi="Times New Roman" w:cs="Times New Roman"/>
          <w:sz w:val="22"/>
          <w:szCs w:val="22"/>
        </w:rPr>
      </w:pPr>
      <w:r w:rsidRPr="007051EA">
        <w:rPr>
          <w:rFonts w:ascii="Times New Roman" w:hAnsi="Times New Roman" w:cs="Times New Roman"/>
          <w:sz w:val="22"/>
          <w:szCs w:val="22"/>
        </w:rPr>
        <w:lastRenderedPageBreak/>
        <w:t>Entre lo más relevante acontecido en junio se destaca el más reciente informe del Banco Mundial, en donde advirtió que la pandemia del covid-19 causará la mayor crisis económica mundial desde por lo menos 1870 y amenaza con provocar un aumento drástico en los niveles de pobreza en todo el mundo.  De las regiones del mundo, solo Asia oriental y el Pacífico mostrarán crecimiento (0.5%), principalmente debido a China. Sin embargo, se espera que el gigante asiático crezca solo un 1%, una tasa pequeña en comparación con años anteriores.  A pesar de esto, el Banco Mundial espera que el PIB mundial se reduzca un 5.2% este año, más del doble que el registrado en la crisis financiera de 2008.</w:t>
      </w:r>
    </w:p>
    <w:p w:rsidR="0022010B" w:rsidRPr="007051EA" w:rsidRDefault="0022010B" w:rsidP="0040580B">
      <w:pPr>
        <w:pStyle w:val="Textodeglobo"/>
        <w:jc w:val="both"/>
        <w:rPr>
          <w:rFonts w:ascii="Times New Roman" w:hAnsi="Times New Roman" w:cs="Times New Roman"/>
          <w:sz w:val="22"/>
          <w:szCs w:val="22"/>
        </w:rPr>
      </w:pPr>
    </w:p>
    <w:p w:rsidR="0022010B" w:rsidRPr="007051EA" w:rsidRDefault="0022010B" w:rsidP="0040580B">
      <w:pPr>
        <w:pStyle w:val="Textodeglobo"/>
        <w:jc w:val="both"/>
        <w:rPr>
          <w:rFonts w:ascii="Times New Roman" w:hAnsi="Times New Roman" w:cs="Times New Roman"/>
          <w:sz w:val="22"/>
          <w:szCs w:val="22"/>
        </w:rPr>
      </w:pPr>
      <w:r w:rsidRPr="007051EA">
        <w:rPr>
          <w:rFonts w:ascii="Times New Roman" w:hAnsi="Times New Roman" w:cs="Times New Roman"/>
          <w:sz w:val="22"/>
          <w:szCs w:val="22"/>
        </w:rPr>
        <w:t xml:space="preserve">El Fondo Monetario Internacional actualizó este mes sus perspectivas de la economía mundial, resaltando que existe un grado de incertidumbre </w:t>
      </w:r>
      <w:r w:rsidRPr="007051EA">
        <w:rPr>
          <w:rFonts w:ascii="Times New Roman" w:hAnsi="Times New Roman" w:cs="Times New Roman"/>
          <w:sz w:val="22"/>
          <w:szCs w:val="22"/>
        </w:rPr>
        <w:lastRenderedPageBreak/>
        <w:t>increíblemente elevado en torno a dichas proyecciones.  El informe señala que en las economías con tasas de infección decrecientes, la ralentización de la trayectoria de recuperación contemplada en los pronósticos actualizados refleja un distanciamiento social persistente a medida que nos adentremos en el segundo semestre de 2020; mayores cicatrices (daño al potencial de oferta) debido al hecho de que la actividad sufriría más de lo previsto durante el confinamiento instituido en el primer y segundo semestres de 2020, y un golpe a la productividad a medida que las empresas que sobrevivan incrementen las necesarias prácticas de seguridad e higiene en los lugares de trabajo.</w:t>
      </w:r>
    </w:p>
    <w:p w:rsidR="0022010B" w:rsidRPr="007051EA" w:rsidRDefault="0022010B" w:rsidP="0040580B">
      <w:pPr>
        <w:pStyle w:val="Textodeglobo"/>
        <w:jc w:val="both"/>
        <w:rPr>
          <w:rFonts w:ascii="Times New Roman" w:hAnsi="Times New Roman" w:cs="Times New Roman"/>
          <w:sz w:val="22"/>
          <w:szCs w:val="22"/>
        </w:rPr>
      </w:pPr>
    </w:p>
    <w:p w:rsidR="0022010B" w:rsidRPr="007051EA" w:rsidRDefault="0022010B" w:rsidP="0022010B">
      <w:pPr>
        <w:pStyle w:val="Sinespaciado"/>
        <w:jc w:val="both"/>
        <w:rPr>
          <w:rFonts w:ascii="Times New Roman" w:hAnsi="Times New Roman" w:cs="Times New Roman"/>
        </w:rPr>
      </w:pPr>
      <w:r w:rsidRPr="007051EA">
        <w:rPr>
          <w:rFonts w:ascii="Times New Roman" w:hAnsi="Times New Roman" w:cs="Times New Roman"/>
        </w:rPr>
        <w:t xml:space="preserve">El FMI precisa que más de 75% de los países están reabriendo al mismo tiempo que la pandemia se recrudece en muchas economías de mercados emergentes y en desarrollo. Sin </w:t>
      </w:r>
      <w:r w:rsidRPr="007051EA">
        <w:rPr>
          <w:rFonts w:ascii="Times New Roman" w:hAnsi="Times New Roman" w:cs="Times New Roman"/>
        </w:rPr>
        <w:lastRenderedPageBreak/>
        <w:t>embargo, a falta de una solución médica, la solidez de la recuperación es sumamente incierta, y el impacto en sectores y países, desigual. Según el Fondo, la pérdida acumulada para la economía mundial por el llamado Gran Confinamiento a lo largo de 2020 y 2021 superará los USD 12 billones.</w:t>
      </w:r>
    </w:p>
    <w:p w:rsidR="0022010B" w:rsidRPr="007051EA" w:rsidRDefault="0022010B" w:rsidP="0040580B">
      <w:pPr>
        <w:pStyle w:val="Textodeglobo"/>
        <w:jc w:val="both"/>
        <w:rPr>
          <w:rFonts w:ascii="Times New Roman" w:hAnsi="Times New Roman" w:cs="Times New Roman"/>
          <w:sz w:val="22"/>
          <w:szCs w:val="22"/>
        </w:rPr>
      </w:pPr>
    </w:p>
    <w:p w:rsidR="0022010B" w:rsidRPr="007051EA" w:rsidRDefault="0022010B" w:rsidP="0022010B">
      <w:pPr>
        <w:pStyle w:val="Sinespaciado"/>
        <w:ind w:left="567"/>
        <w:jc w:val="center"/>
        <w:rPr>
          <w:rFonts w:ascii="Times New Roman" w:hAnsi="Times New Roman" w:cs="Times New Roman"/>
          <w:b/>
        </w:rPr>
      </w:pPr>
      <w:r w:rsidRPr="007051EA">
        <w:rPr>
          <w:rFonts w:ascii="Times New Roman" w:hAnsi="Times New Roman" w:cs="Times New Roman"/>
          <w:b/>
        </w:rPr>
        <w:t>Perspectivas de la economía mundial, actualización junio 2020</w:t>
      </w:r>
    </w:p>
    <w:p w:rsidR="0022010B" w:rsidRPr="007051EA" w:rsidRDefault="0022010B" w:rsidP="0022010B">
      <w:pPr>
        <w:pStyle w:val="Sinespaciado"/>
        <w:ind w:left="567"/>
        <w:jc w:val="center"/>
        <w:rPr>
          <w:rFonts w:ascii="Times New Roman" w:hAnsi="Times New Roman" w:cs="Times New Roman"/>
          <w:sz w:val="20"/>
        </w:rPr>
      </w:pPr>
      <w:r w:rsidRPr="007051EA">
        <w:rPr>
          <w:rFonts w:ascii="Times New Roman" w:hAnsi="Times New Roman" w:cs="Times New Roman"/>
          <w:sz w:val="20"/>
        </w:rPr>
        <w:t>Variación porcentual anual</w:t>
      </w:r>
    </w:p>
    <w:p w:rsidR="0022010B" w:rsidRPr="007051EA" w:rsidRDefault="0022010B" w:rsidP="0022010B">
      <w:pPr>
        <w:pStyle w:val="Sinespaciado"/>
        <w:rPr>
          <w:rFonts w:ascii="Times New Roman" w:hAnsi="Times New Roman" w:cs="Times New Roman"/>
          <w:sz w:val="20"/>
          <w:lang w:val="es-MX"/>
        </w:rPr>
      </w:pPr>
      <w:r w:rsidRPr="007051EA">
        <w:rPr>
          <w:noProof/>
          <w:lang w:eastAsia="es-GT"/>
        </w:rPr>
        <w:drawing>
          <wp:inline distT="0" distB="0" distL="0" distR="0" wp14:anchorId="6A4861B3" wp14:editId="75D90417">
            <wp:extent cx="2764790" cy="18573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4577" cy="1870668"/>
                    </a:xfrm>
                    <a:prstGeom prst="rect">
                      <a:avLst/>
                    </a:prstGeom>
                    <a:noFill/>
                    <a:ln>
                      <a:noFill/>
                    </a:ln>
                  </pic:spPr>
                </pic:pic>
              </a:graphicData>
            </a:graphic>
          </wp:inline>
        </w:drawing>
      </w:r>
    </w:p>
    <w:p w:rsidR="0022010B" w:rsidRPr="007051EA" w:rsidRDefault="0022010B" w:rsidP="0022010B">
      <w:pPr>
        <w:pStyle w:val="Sinespaciado"/>
        <w:rPr>
          <w:rFonts w:ascii="Times New Roman" w:hAnsi="Times New Roman" w:cs="Times New Roman"/>
          <w:sz w:val="16"/>
          <w:lang w:val="es-MX"/>
        </w:rPr>
      </w:pPr>
      <w:r w:rsidRPr="007051EA">
        <w:rPr>
          <w:rFonts w:ascii="Times New Roman" w:hAnsi="Times New Roman" w:cs="Times New Roman"/>
          <w:sz w:val="16"/>
          <w:lang w:val="es-MX"/>
        </w:rPr>
        <w:t>Fuente: FMI.</w:t>
      </w:r>
    </w:p>
    <w:p w:rsidR="00725FE5" w:rsidRPr="007051EA" w:rsidRDefault="00725FE5" w:rsidP="0022010B">
      <w:pPr>
        <w:pStyle w:val="Sinespaciado"/>
        <w:rPr>
          <w:rFonts w:ascii="Times New Roman" w:hAnsi="Times New Roman" w:cs="Times New Roman"/>
          <w:sz w:val="16"/>
          <w:lang w:val="es-MX"/>
        </w:rPr>
      </w:pPr>
    </w:p>
    <w:p w:rsidR="002166C6" w:rsidRPr="007051EA" w:rsidRDefault="002166C6" w:rsidP="002166C6">
      <w:pPr>
        <w:pStyle w:val="Textodeglobo"/>
        <w:jc w:val="both"/>
        <w:rPr>
          <w:rFonts w:ascii="Times New Roman" w:hAnsi="Times New Roman" w:cs="Times New Roman"/>
          <w:sz w:val="22"/>
          <w:szCs w:val="22"/>
        </w:rPr>
      </w:pPr>
      <w:r w:rsidRPr="007051EA">
        <w:rPr>
          <w:rFonts w:ascii="Times New Roman" w:hAnsi="Times New Roman" w:cs="Times New Roman"/>
          <w:sz w:val="22"/>
          <w:szCs w:val="22"/>
          <w:lang w:val="es-MX"/>
        </w:rPr>
        <w:t>El deterioro de la</w:t>
      </w:r>
      <w:r w:rsidRPr="007051EA">
        <w:rPr>
          <w:rFonts w:ascii="Times New Roman" w:hAnsi="Times New Roman" w:cs="Times New Roman"/>
          <w:sz w:val="22"/>
          <w:szCs w:val="22"/>
        </w:rPr>
        <w:t xml:space="preserve"> actividad económica en la zona euro se frenó significativamente en el mes de junio, gracias al levantamiento de las restricciones impuestas para contener la pandemia de covid-19 en los meses anteriores. Sin embargo, se sigue destruyendo empleo. En concreto, el Índice Compuesto de Gestores de Compras (PMI) se situó en 48.5 puntos desde los 31.9 del mes anterior, aunque las empresas continuaron recortando empleo por la debilidad de la demanda y la incertidumbre.  La actividad del sector servicios mejoró en junio hasta los 48.3 puntos, frente a los 30.5 de mayo, mientras que el PMI manufacturero subió hasta los 39.4 enteros desde los 33.4 del mes anterior.</w:t>
      </w:r>
    </w:p>
    <w:p w:rsidR="002166C6" w:rsidRPr="007051EA" w:rsidRDefault="002166C6" w:rsidP="0040580B">
      <w:pPr>
        <w:pStyle w:val="Textodeglobo"/>
        <w:jc w:val="both"/>
        <w:rPr>
          <w:rFonts w:ascii="Times New Roman" w:hAnsi="Times New Roman" w:cs="Times New Roman"/>
          <w:sz w:val="22"/>
          <w:szCs w:val="22"/>
        </w:rPr>
      </w:pPr>
    </w:p>
    <w:p w:rsidR="00F81BD3" w:rsidRPr="007051EA" w:rsidRDefault="00F81BD3" w:rsidP="008D72B1">
      <w:pPr>
        <w:pStyle w:val="Textodeglobo"/>
        <w:jc w:val="both"/>
        <w:rPr>
          <w:rFonts w:ascii="Times New Roman" w:hAnsi="Times New Roman" w:cs="Times New Roman"/>
          <w:sz w:val="22"/>
          <w:szCs w:val="22"/>
        </w:rPr>
      </w:pPr>
      <w:r w:rsidRPr="007051EA">
        <w:rPr>
          <w:rFonts w:ascii="Times New Roman" w:hAnsi="Times New Roman" w:cs="Times New Roman"/>
          <w:sz w:val="22"/>
          <w:szCs w:val="22"/>
        </w:rPr>
        <w:t xml:space="preserve">La actividad del sector servicios de China aceleró su recuperación en junio, cuando el Índice de Gestores de Compras (PMI) alcanzó los 58.4 puntos desde los 55.0 del mes anterior, lo que representa la mejor lectura del dato desde </w:t>
      </w:r>
      <w:r w:rsidRPr="007051EA">
        <w:rPr>
          <w:rFonts w:ascii="Times New Roman" w:hAnsi="Times New Roman" w:cs="Times New Roman"/>
          <w:sz w:val="22"/>
          <w:szCs w:val="22"/>
        </w:rPr>
        <w:lastRenderedPageBreak/>
        <w:t xml:space="preserve">abril de 2010, a medida que las economías internacionales han levantado sus restricciones y retoman su actividad económica, según el indicador de la consultora </w:t>
      </w:r>
      <w:proofErr w:type="spellStart"/>
      <w:r w:rsidRPr="007051EA">
        <w:rPr>
          <w:rFonts w:ascii="Times New Roman" w:hAnsi="Times New Roman" w:cs="Times New Roman"/>
          <w:sz w:val="22"/>
          <w:szCs w:val="22"/>
        </w:rPr>
        <w:t>Caixin</w:t>
      </w:r>
      <w:proofErr w:type="spellEnd"/>
      <w:r w:rsidRPr="007051EA">
        <w:rPr>
          <w:rFonts w:ascii="Times New Roman" w:hAnsi="Times New Roman" w:cs="Times New Roman"/>
          <w:sz w:val="22"/>
          <w:szCs w:val="22"/>
        </w:rPr>
        <w:t>/IHS Markit.</w:t>
      </w:r>
    </w:p>
    <w:p w:rsidR="00F81BD3" w:rsidRPr="007051EA" w:rsidRDefault="00F81BD3" w:rsidP="008D72B1">
      <w:pPr>
        <w:pStyle w:val="Textodeglobo"/>
        <w:jc w:val="both"/>
        <w:rPr>
          <w:rFonts w:ascii="Times New Roman" w:hAnsi="Times New Roman" w:cs="Times New Roman"/>
          <w:sz w:val="22"/>
          <w:szCs w:val="22"/>
        </w:rPr>
      </w:pPr>
      <w:r w:rsidRPr="007051EA">
        <w:rPr>
          <w:rFonts w:ascii="Times New Roman" w:hAnsi="Times New Roman" w:cs="Times New Roman"/>
          <w:sz w:val="22"/>
          <w:szCs w:val="22"/>
        </w:rPr>
        <w:t>La producción industrial de Japón cayó por cuarto mes consecutivo en mayo al nivel más bajo desde la crisis financiera mundial y la tasa de desempleo alcanzó su nivel más alto en tres años, poniendo de relieve el amplio castigo económico causado por el coronavirus. Los datos del Ministerio de Economía, Comercio e Industria (METI) mostraron que la producción de las fábricas cayó un 8.4% intermensual en mayo hasta 79.1, un nivel no visto desde marzo de 2009, cuando la crisis financiera hundió la demanda mundial.</w:t>
      </w:r>
    </w:p>
    <w:p w:rsidR="00147E43" w:rsidRPr="007051EA" w:rsidRDefault="00147E43" w:rsidP="00147E43">
      <w:pPr>
        <w:spacing w:after="0" w:line="240" w:lineRule="auto"/>
        <w:jc w:val="both"/>
        <w:rPr>
          <w:rFonts w:ascii="Times New Roman" w:hAnsi="Times New Roman" w:cs="Times New Roman"/>
        </w:rPr>
      </w:pPr>
    </w:p>
    <w:p w:rsidR="00B06BC2" w:rsidRPr="007051EA" w:rsidRDefault="002166C6" w:rsidP="00B06BC2">
      <w:pPr>
        <w:spacing w:after="0" w:line="240" w:lineRule="auto"/>
        <w:jc w:val="both"/>
        <w:rPr>
          <w:rFonts w:ascii="Times New Roman" w:hAnsi="Times New Roman" w:cs="Times New Roman"/>
          <w:lang w:val="es-MX"/>
        </w:rPr>
      </w:pPr>
      <w:r w:rsidRPr="007051EA">
        <w:rPr>
          <w:rFonts w:ascii="Times New Roman" w:hAnsi="Times New Roman" w:cs="Times New Roman"/>
          <w:lang w:val="es-MX"/>
        </w:rPr>
        <w:t>La mayoría de organismos internacionales coinciden en que América Latina sufrirá FMI disminuyó sus perspectivas de crecimiento para América Latina y el Caribe al pronosticar que su actividad económica caerá un 9.4 % este año por el impacto de la pandemia del coronavirus. Para ayudar a los gobiernos el FMI aprobó un préstamo adicional de US$5,500 millones a 17 países en de Latinoamérica y el caribe, además de líneas de crédito flexibles para Chile y Perú, y se renovó el acceso de Colombia, ampliando los préstamos precautorios en la región a USD $107.000 millones. Por parte del Banco mundial los pronósticos para la región arrojan una caída en el Producto Interno Bruto (PIB) del 9%. La CEPAL ha señalado que la pandemia provocará en 2020 la mayor crisis económica que América Latina y el Caribe hayan experimentado en toda su historia desde que hay registros estadísticos.</w:t>
      </w:r>
    </w:p>
    <w:p w:rsidR="000C73C8" w:rsidRPr="007051EA" w:rsidRDefault="000C73C8" w:rsidP="00D61F8E">
      <w:pPr>
        <w:pStyle w:val="Sinespaciado"/>
        <w:jc w:val="both"/>
        <w:rPr>
          <w:rFonts w:ascii="Times New Roman" w:eastAsia="Times New Roman" w:hAnsi="Times New Roman" w:cs="Times New Roman"/>
          <w:lang w:val="es-MX"/>
        </w:rPr>
      </w:pPr>
    </w:p>
    <w:p w:rsidR="00492967" w:rsidRPr="007051EA" w:rsidRDefault="00B06BC2" w:rsidP="00D61F8E">
      <w:pPr>
        <w:pStyle w:val="Sinespaciado"/>
        <w:jc w:val="both"/>
        <w:rPr>
          <w:rFonts w:ascii="Times New Roman" w:eastAsia="Times New Roman" w:hAnsi="Times New Roman" w:cs="Times New Roman"/>
          <w:lang w:val="es-MX"/>
        </w:rPr>
      </w:pPr>
      <w:r w:rsidRPr="007051EA">
        <w:rPr>
          <w:rFonts w:ascii="Times New Roman" w:eastAsia="Times New Roman" w:hAnsi="Times New Roman" w:cs="Times New Roman"/>
          <w:lang w:val="es-MX"/>
        </w:rPr>
        <w:t xml:space="preserve">En el entorno interno, este mes, la Junta Monetaria decidió </w:t>
      </w:r>
      <w:r w:rsidR="00E652D9" w:rsidRPr="007051EA">
        <w:rPr>
          <w:rFonts w:ascii="Times New Roman" w:eastAsia="Times New Roman" w:hAnsi="Times New Roman" w:cs="Times New Roman"/>
          <w:lang w:val="es-MX"/>
        </w:rPr>
        <w:t>reducir el nivel de la</w:t>
      </w:r>
      <w:r w:rsidRPr="007051EA">
        <w:rPr>
          <w:rFonts w:ascii="Times New Roman" w:eastAsia="Times New Roman" w:hAnsi="Times New Roman" w:cs="Times New Roman"/>
          <w:lang w:val="es-MX"/>
        </w:rPr>
        <w:t xml:space="preserve"> tasa de interés líder de política monetaria</w:t>
      </w:r>
      <w:r w:rsidR="00E652D9" w:rsidRPr="007051EA">
        <w:rPr>
          <w:rFonts w:ascii="Times New Roman" w:eastAsia="Times New Roman" w:hAnsi="Times New Roman" w:cs="Times New Roman"/>
          <w:lang w:val="es-MX"/>
        </w:rPr>
        <w:t xml:space="preserve"> en 25 puntos básicos</w:t>
      </w:r>
      <w:r w:rsidRPr="007051EA">
        <w:rPr>
          <w:rFonts w:ascii="Times New Roman" w:eastAsia="Times New Roman" w:hAnsi="Times New Roman" w:cs="Times New Roman"/>
          <w:lang w:val="es-MX"/>
        </w:rPr>
        <w:t>,</w:t>
      </w:r>
      <w:r w:rsidR="00E652D9" w:rsidRPr="007051EA">
        <w:rPr>
          <w:rFonts w:ascii="Times New Roman" w:eastAsia="Times New Roman" w:hAnsi="Times New Roman" w:cs="Times New Roman"/>
          <w:lang w:val="es-MX"/>
        </w:rPr>
        <w:t xml:space="preserve"> de 2.00% a 1.75%,</w:t>
      </w:r>
      <w:r w:rsidRPr="007051EA">
        <w:rPr>
          <w:rFonts w:ascii="Times New Roman" w:eastAsia="Times New Roman" w:hAnsi="Times New Roman" w:cs="Times New Roman"/>
          <w:lang w:val="es-MX"/>
        </w:rPr>
        <w:t xml:space="preserve"> en base al análisis integral de la coyuntura económica externa e interna; la junta destacó que las perspectivas de la actividad económica mundial siguen expuestas a una elevada incertidumbre y riesgos </w:t>
      </w:r>
      <w:r w:rsidRPr="007051EA">
        <w:rPr>
          <w:rFonts w:ascii="Times New Roman" w:eastAsia="Times New Roman" w:hAnsi="Times New Roman" w:cs="Times New Roman"/>
          <w:lang w:val="es-MX"/>
        </w:rPr>
        <w:lastRenderedPageBreak/>
        <w:t xml:space="preserve">a la baja.  </w:t>
      </w:r>
      <w:r w:rsidR="00E652D9" w:rsidRPr="007051EA">
        <w:rPr>
          <w:rFonts w:ascii="Times New Roman" w:eastAsia="Times New Roman" w:hAnsi="Times New Roman" w:cs="Times New Roman"/>
          <w:lang w:val="es-MX"/>
        </w:rPr>
        <w:t>En ese contexto, la Junta Monetaria revisó el crecimiento económico anual previsto para 2020 a un rango entre -3.5% y -1.5%, el cual se estaría recuperando en 2021 (entre 2.0% y 4.0%). En adición, la Junta Monetaria señaló que, en este nuevo escenario, los pronósticos de inflación para 2020 y 2021 reflejan una moderación y que las expectativas inflacionarias se mantienen ancladas a la meta.</w:t>
      </w:r>
      <w:r w:rsidR="00E652D9" w:rsidRPr="007051EA">
        <w:rPr>
          <w:rFonts w:ascii="Times New Roman" w:eastAsia="Times New Roman" w:hAnsi="Times New Roman" w:cs="Times New Roman"/>
          <w:lang w:val="es-MX"/>
        </w:rPr>
        <w:cr/>
      </w:r>
    </w:p>
    <w:p w:rsidR="00B06BC2" w:rsidRPr="007051EA" w:rsidRDefault="00B06BC2" w:rsidP="00D61F8E">
      <w:pPr>
        <w:pStyle w:val="Sinespaciado"/>
        <w:jc w:val="both"/>
        <w:rPr>
          <w:rFonts w:ascii="Times New Roman" w:hAnsi="Times New Roman" w:cs="Times New Roman"/>
          <w:lang w:val="es-MX"/>
        </w:rPr>
      </w:pPr>
      <w:r w:rsidRPr="007051EA">
        <w:rPr>
          <w:rFonts w:ascii="Times New Roman" w:hAnsi="Times New Roman" w:cs="Times New Roman"/>
          <w:lang w:val="es-MX"/>
        </w:rPr>
        <w:t>El Banco de Guatemala indicó que</w:t>
      </w:r>
      <w:r w:rsidR="00E652D9" w:rsidRPr="007051EA">
        <w:rPr>
          <w:rFonts w:ascii="Times New Roman" w:hAnsi="Times New Roman" w:cs="Times New Roman"/>
          <w:lang w:val="es-MX"/>
        </w:rPr>
        <w:t xml:space="preserve"> la actividad económica en abril</w:t>
      </w:r>
      <w:r w:rsidRPr="007051EA">
        <w:rPr>
          <w:rFonts w:ascii="Times New Roman" w:hAnsi="Times New Roman" w:cs="Times New Roman"/>
          <w:lang w:val="es-MX"/>
        </w:rPr>
        <w:t xml:space="preserve"> de 2020 regi</w:t>
      </w:r>
      <w:r w:rsidR="00E652D9" w:rsidRPr="007051EA">
        <w:rPr>
          <w:rFonts w:ascii="Times New Roman" w:hAnsi="Times New Roman" w:cs="Times New Roman"/>
          <w:lang w:val="es-MX"/>
        </w:rPr>
        <w:t>stró una tasa de variación de -10.2</w:t>
      </w:r>
      <w:r w:rsidRPr="007051EA">
        <w:rPr>
          <w:rFonts w:ascii="Times New Roman" w:hAnsi="Times New Roman" w:cs="Times New Roman"/>
          <w:lang w:val="es-MX"/>
        </w:rPr>
        <w:t xml:space="preserve">% </w:t>
      </w:r>
      <w:r w:rsidR="00E652D9" w:rsidRPr="007051EA">
        <w:rPr>
          <w:rFonts w:ascii="Times New Roman" w:hAnsi="Times New Roman" w:cs="Times New Roman"/>
          <w:lang w:val="es-MX"/>
        </w:rPr>
        <w:t>respecto a los 3.9</w:t>
      </w:r>
      <w:r w:rsidRPr="007051EA">
        <w:rPr>
          <w:rFonts w:ascii="Times New Roman" w:hAnsi="Times New Roman" w:cs="Times New Roman"/>
          <w:lang w:val="es-MX"/>
        </w:rPr>
        <w:t xml:space="preserve">% </w:t>
      </w:r>
      <w:r w:rsidR="00E652D9" w:rsidRPr="007051EA">
        <w:rPr>
          <w:rFonts w:ascii="Times New Roman" w:hAnsi="Times New Roman" w:cs="Times New Roman"/>
          <w:lang w:val="es-MX"/>
        </w:rPr>
        <w:t>de abril</w:t>
      </w:r>
      <w:r w:rsidRPr="007051EA">
        <w:rPr>
          <w:rFonts w:ascii="Times New Roman" w:hAnsi="Times New Roman" w:cs="Times New Roman"/>
          <w:lang w:val="es-MX"/>
        </w:rPr>
        <w:t xml:space="preserve"> de 2019), de acuerdo a la estimación del IMAE </w:t>
      </w:r>
      <w:r w:rsidRPr="007051EA">
        <w:rPr>
          <w:rFonts w:ascii="Times New Roman" w:hAnsi="Times New Roman" w:cs="Times New Roman"/>
          <w:lang w:val="es-MX"/>
        </w:rPr>
        <w:lastRenderedPageBreak/>
        <w:t xml:space="preserve">publicada en </w:t>
      </w:r>
      <w:r w:rsidR="00E652D9" w:rsidRPr="007051EA">
        <w:rPr>
          <w:rFonts w:ascii="Times New Roman" w:hAnsi="Times New Roman" w:cs="Times New Roman"/>
          <w:lang w:val="es-MX"/>
        </w:rPr>
        <w:t>junio</w:t>
      </w:r>
      <w:r w:rsidRPr="007051EA">
        <w:rPr>
          <w:rFonts w:ascii="Times New Roman" w:hAnsi="Times New Roman" w:cs="Times New Roman"/>
          <w:lang w:val="es-MX"/>
        </w:rPr>
        <w:t>. Dicho resultado estuvo influenciado, principalmente, por el comportamiento negativo de las actividades económicas siguientes: Industrias manufactureras; Enseñanza; Actividades de alojamiento y de servicio de comidas; Comercio y reparación de vehículos; Construcción; y, Otras actividades de servicios como las deportivas y recreativas, las artísticas y de entretenimiento y los servicios personales (lavanderías, peluquerías, salones de belleza, entre otros).</w:t>
      </w:r>
    </w:p>
    <w:p w:rsidR="00B06BC2" w:rsidRPr="00DC723E" w:rsidRDefault="00B06BC2" w:rsidP="00D61F8E">
      <w:pPr>
        <w:pStyle w:val="Sinespaciado"/>
        <w:jc w:val="both"/>
        <w:rPr>
          <w:rFonts w:ascii="Times New Roman" w:hAnsi="Times New Roman" w:cs="Times New Roman"/>
          <w:color w:val="FF0000"/>
          <w:lang w:val="es-MX"/>
        </w:rPr>
      </w:pPr>
    </w:p>
    <w:p w:rsidR="00F062BF" w:rsidRPr="00DC723E" w:rsidRDefault="00F062BF" w:rsidP="00975E49">
      <w:pPr>
        <w:pStyle w:val="Sinespaciado"/>
        <w:ind w:right="-188"/>
        <w:jc w:val="both"/>
        <w:rPr>
          <w:rFonts w:ascii="Times New Roman" w:hAnsi="Times New Roman" w:cs="Times New Roman"/>
          <w:color w:val="FF0000"/>
          <w:sz w:val="16"/>
        </w:rPr>
        <w:sectPr w:rsidR="00F062BF" w:rsidRPr="00DC723E" w:rsidSect="00040C99">
          <w:headerReference w:type="default" r:id="rId34"/>
          <w:footerReference w:type="default" r:id="rId35"/>
          <w:type w:val="continuous"/>
          <w:pgSz w:w="12240" w:h="15840" w:code="1"/>
          <w:pgMar w:top="1418" w:right="1467" w:bottom="1418" w:left="1560" w:header="709" w:footer="709" w:gutter="0"/>
          <w:cols w:num="2" w:space="802"/>
          <w:docGrid w:linePitch="360"/>
        </w:sectPr>
      </w:pPr>
    </w:p>
    <w:p w:rsidR="00F062BF" w:rsidRPr="00DC723E" w:rsidRDefault="00F062BF" w:rsidP="00F062BF">
      <w:pPr>
        <w:spacing w:after="0" w:line="240" w:lineRule="auto"/>
        <w:rPr>
          <w:rFonts w:ascii="Times New Roman" w:hAnsi="Times New Roman" w:cs="Times New Roman"/>
          <w:noProof/>
          <w:color w:val="FF0000"/>
          <w:sz w:val="16"/>
          <w:lang w:val="es-MX" w:eastAsia="es-GT"/>
        </w:rPr>
        <w:sectPr w:rsidR="00F062BF" w:rsidRPr="00DC723E" w:rsidSect="00986297">
          <w:headerReference w:type="default" r:id="rId36"/>
          <w:footerReference w:type="default" r:id="rId37"/>
          <w:type w:val="continuous"/>
          <w:pgSz w:w="12240" w:h="15840" w:code="1"/>
          <w:pgMar w:top="1418" w:right="1418" w:bottom="1418" w:left="1418" w:header="709" w:footer="709" w:gutter="0"/>
          <w:cols w:num="2" w:space="708"/>
          <w:docGrid w:linePitch="360"/>
        </w:sectPr>
      </w:pPr>
    </w:p>
    <w:p w:rsidR="003D557F" w:rsidRPr="00DC723E" w:rsidRDefault="003D557F" w:rsidP="00AD5816">
      <w:pPr>
        <w:spacing w:after="0" w:line="240" w:lineRule="auto"/>
        <w:rPr>
          <w:rFonts w:ascii="Times New Roman" w:hAnsi="Times New Roman" w:cs="Times New Roman"/>
          <w:noProof/>
          <w:color w:val="FF0000"/>
          <w:sz w:val="16"/>
          <w:lang w:eastAsia="es-GT"/>
        </w:rPr>
      </w:pPr>
    </w:p>
    <w:p w:rsidR="001A6038" w:rsidRPr="00DC723E" w:rsidRDefault="001A6038" w:rsidP="00AD5816">
      <w:pPr>
        <w:spacing w:after="0" w:line="240" w:lineRule="auto"/>
        <w:rPr>
          <w:rFonts w:ascii="Times New Roman" w:hAnsi="Times New Roman" w:cs="Times New Roman"/>
          <w:noProof/>
          <w:color w:val="FF0000"/>
          <w:sz w:val="16"/>
          <w:lang w:eastAsia="es-GT"/>
        </w:rPr>
      </w:pPr>
    </w:p>
    <w:p w:rsidR="000C73C8" w:rsidRPr="00DC723E" w:rsidRDefault="000C73C8" w:rsidP="00AD5816">
      <w:pPr>
        <w:spacing w:after="0" w:line="240" w:lineRule="auto"/>
        <w:rPr>
          <w:rFonts w:ascii="Times New Roman" w:hAnsi="Times New Roman" w:cs="Times New Roman"/>
          <w:noProof/>
          <w:color w:val="FF0000"/>
          <w:sz w:val="16"/>
          <w:lang w:eastAsia="es-GT"/>
        </w:rPr>
      </w:pPr>
    </w:p>
    <w:p w:rsidR="00C739AF" w:rsidRDefault="00C739AF" w:rsidP="00AD5816">
      <w:pPr>
        <w:spacing w:after="0" w:line="240" w:lineRule="auto"/>
        <w:rPr>
          <w:rFonts w:ascii="Times New Roman" w:hAnsi="Times New Roman" w:cs="Times New Roman"/>
          <w:noProof/>
          <w:color w:val="FF0000"/>
          <w:sz w:val="16"/>
          <w:lang w:eastAsia="es-GT"/>
        </w:rPr>
      </w:pPr>
    </w:p>
    <w:p w:rsidR="007051EA" w:rsidRDefault="007051EA" w:rsidP="00AD5816">
      <w:pPr>
        <w:spacing w:after="0" w:line="240" w:lineRule="auto"/>
        <w:rPr>
          <w:rFonts w:ascii="Times New Roman" w:hAnsi="Times New Roman" w:cs="Times New Roman"/>
          <w:noProof/>
          <w:color w:val="FF0000"/>
          <w:sz w:val="16"/>
          <w:lang w:eastAsia="es-GT"/>
        </w:rPr>
      </w:pPr>
    </w:p>
    <w:p w:rsidR="007051EA" w:rsidRDefault="007051EA" w:rsidP="00AD5816">
      <w:pPr>
        <w:spacing w:after="0" w:line="240" w:lineRule="auto"/>
        <w:rPr>
          <w:rFonts w:ascii="Times New Roman" w:hAnsi="Times New Roman" w:cs="Times New Roman"/>
          <w:noProof/>
          <w:color w:val="FF0000"/>
          <w:sz w:val="16"/>
          <w:lang w:eastAsia="es-GT"/>
        </w:rPr>
      </w:pPr>
    </w:p>
    <w:p w:rsidR="007051EA" w:rsidRDefault="007051EA" w:rsidP="00AD5816">
      <w:pPr>
        <w:spacing w:after="0" w:line="240" w:lineRule="auto"/>
        <w:rPr>
          <w:rFonts w:ascii="Times New Roman" w:hAnsi="Times New Roman" w:cs="Times New Roman"/>
          <w:noProof/>
          <w:color w:val="FF0000"/>
          <w:sz w:val="16"/>
          <w:lang w:eastAsia="es-GT"/>
        </w:rPr>
      </w:pPr>
    </w:p>
    <w:p w:rsidR="007051EA" w:rsidRDefault="007051EA" w:rsidP="00AD5816">
      <w:pPr>
        <w:spacing w:after="0" w:line="240" w:lineRule="auto"/>
        <w:rPr>
          <w:rFonts w:ascii="Times New Roman" w:hAnsi="Times New Roman" w:cs="Times New Roman"/>
          <w:noProof/>
          <w:color w:val="FF0000"/>
          <w:sz w:val="16"/>
          <w:lang w:eastAsia="es-GT"/>
        </w:rPr>
      </w:pPr>
    </w:p>
    <w:p w:rsidR="007051EA" w:rsidRDefault="007051EA" w:rsidP="00AD5816">
      <w:pPr>
        <w:spacing w:after="0" w:line="240" w:lineRule="auto"/>
        <w:rPr>
          <w:rFonts w:ascii="Times New Roman" w:hAnsi="Times New Roman" w:cs="Times New Roman"/>
          <w:noProof/>
          <w:color w:val="FF0000"/>
          <w:sz w:val="16"/>
          <w:lang w:eastAsia="es-GT"/>
        </w:rPr>
      </w:pPr>
    </w:p>
    <w:p w:rsidR="007051EA" w:rsidRDefault="007051EA" w:rsidP="00AD5816">
      <w:pPr>
        <w:spacing w:after="0" w:line="240" w:lineRule="auto"/>
        <w:rPr>
          <w:rFonts w:ascii="Times New Roman" w:hAnsi="Times New Roman" w:cs="Times New Roman"/>
          <w:noProof/>
          <w:color w:val="FF0000"/>
          <w:sz w:val="16"/>
          <w:lang w:eastAsia="es-GT"/>
        </w:rPr>
      </w:pPr>
    </w:p>
    <w:p w:rsidR="007051EA" w:rsidRDefault="007051EA" w:rsidP="00AD5816">
      <w:pPr>
        <w:spacing w:after="0" w:line="240" w:lineRule="auto"/>
        <w:rPr>
          <w:rFonts w:ascii="Times New Roman" w:hAnsi="Times New Roman" w:cs="Times New Roman"/>
          <w:noProof/>
          <w:color w:val="FF0000"/>
          <w:sz w:val="16"/>
          <w:lang w:eastAsia="es-GT"/>
        </w:rPr>
      </w:pPr>
    </w:p>
    <w:p w:rsidR="007051EA" w:rsidRDefault="007051EA" w:rsidP="00AD5816">
      <w:pPr>
        <w:spacing w:after="0" w:line="240" w:lineRule="auto"/>
        <w:rPr>
          <w:rFonts w:ascii="Times New Roman" w:hAnsi="Times New Roman" w:cs="Times New Roman"/>
          <w:noProof/>
          <w:color w:val="FF0000"/>
          <w:sz w:val="16"/>
          <w:lang w:eastAsia="es-GT"/>
        </w:rPr>
      </w:pPr>
    </w:p>
    <w:p w:rsidR="007051EA" w:rsidRDefault="007051EA" w:rsidP="00AD5816">
      <w:pPr>
        <w:spacing w:after="0" w:line="240" w:lineRule="auto"/>
        <w:rPr>
          <w:rFonts w:ascii="Times New Roman" w:hAnsi="Times New Roman" w:cs="Times New Roman"/>
          <w:noProof/>
          <w:color w:val="FF0000"/>
          <w:sz w:val="16"/>
          <w:lang w:eastAsia="es-GT"/>
        </w:rPr>
      </w:pPr>
    </w:p>
    <w:p w:rsidR="007051EA" w:rsidRDefault="007051EA" w:rsidP="00AD5816">
      <w:pPr>
        <w:spacing w:after="0" w:line="240" w:lineRule="auto"/>
        <w:rPr>
          <w:rFonts w:ascii="Times New Roman" w:hAnsi="Times New Roman" w:cs="Times New Roman"/>
          <w:noProof/>
          <w:color w:val="FF0000"/>
          <w:sz w:val="16"/>
          <w:lang w:eastAsia="es-GT"/>
        </w:rPr>
      </w:pPr>
    </w:p>
    <w:p w:rsidR="007051EA" w:rsidRDefault="007051EA" w:rsidP="00AD5816">
      <w:pPr>
        <w:spacing w:after="0" w:line="240" w:lineRule="auto"/>
        <w:rPr>
          <w:rFonts w:ascii="Times New Roman" w:hAnsi="Times New Roman" w:cs="Times New Roman"/>
          <w:noProof/>
          <w:color w:val="FF0000"/>
          <w:sz w:val="16"/>
          <w:lang w:eastAsia="es-GT"/>
        </w:rPr>
      </w:pPr>
    </w:p>
    <w:p w:rsidR="007051EA" w:rsidRDefault="007051EA" w:rsidP="00AD5816">
      <w:pPr>
        <w:spacing w:after="0" w:line="240" w:lineRule="auto"/>
        <w:rPr>
          <w:rFonts w:ascii="Times New Roman" w:hAnsi="Times New Roman" w:cs="Times New Roman"/>
          <w:noProof/>
          <w:color w:val="FF0000"/>
          <w:sz w:val="16"/>
          <w:lang w:eastAsia="es-GT"/>
        </w:rPr>
      </w:pPr>
    </w:p>
    <w:p w:rsidR="007051EA" w:rsidRDefault="007051EA" w:rsidP="00AD5816">
      <w:pPr>
        <w:spacing w:after="0" w:line="240" w:lineRule="auto"/>
        <w:rPr>
          <w:rFonts w:ascii="Times New Roman" w:hAnsi="Times New Roman" w:cs="Times New Roman"/>
          <w:noProof/>
          <w:color w:val="FF0000"/>
          <w:sz w:val="16"/>
          <w:lang w:eastAsia="es-GT"/>
        </w:rPr>
      </w:pPr>
    </w:p>
    <w:p w:rsidR="007051EA" w:rsidRDefault="007051EA" w:rsidP="00AD5816">
      <w:pPr>
        <w:spacing w:after="0" w:line="240" w:lineRule="auto"/>
        <w:rPr>
          <w:rFonts w:ascii="Times New Roman" w:hAnsi="Times New Roman" w:cs="Times New Roman"/>
          <w:noProof/>
          <w:color w:val="FF0000"/>
          <w:sz w:val="16"/>
          <w:lang w:eastAsia="es-GT"/>
        </w:rPr>
      </w:pPr>
    </w:p>
    <w:p w:rsidR="007051EA" w:rsidRDefault="007051EA" w:rsidP="00AD5816">
      <w:pPr>
        <w:spacing w:after="0" w:line="240" w:lineRule="auto"/>
        <w:rPr>
          <w:rFonts w:ascii="Times New Roman" w:hAnsi="Times New Roman" w:cs="Times New Roman"/>
          <w:noProof/>
          <w:color w:val="FF0000"/>
          <w:sz w:val="16"/>
          <w:lang w:eastAsia="es-GT"/>
        </w:rPr>
      </w:pPr>
    </w:p>
    <w:p w:rsidR="007051EA" w:rsidRDefault="007051EA" w:rsidP="00AD5816">
      <w:pPr>
        <w:spacing w:after="0" w:line="240" w:lineRule="auto"/>
        <w:rPr>
          <w:rFonts w:ascii="Times New Roman" w:hAnsi="Times New Roman" w:cs="Times New Roman"/>
          <w:noProof/>
          <w:color w:val="FF0000"/>
          <w:sz w:val="16"/>
          <w:lang w:eastAsia="es-GT"/>
        </w:rPr>
      </w:pPr>
    </w:p>
    <w:p w:rsidR="007051EA" w:rsidRDefault="007051EA" w:rsidP="00AD5816">
      <w:pPr>
        <w:spacing w:after="0" w:line="240" w:lineRule="auto"/>
        <w:rPr>
          <w:rFonts w:ascii="Times New Roman" w:hAnsi="Times New Roman" w:cs="Times New Roman"/>
          <w:noProof/>
          <w:color w:val="FF0000"/>
          <w:sz w:val="16"/>
          <w:lang w:eastAsia="es-GT"/>
        </w:rPr>
      </w:pPr>
    </w:p>
    <w:p w:rsidR="007051EA" w:rsidRDefault="007051EA" w:rsidP="00AD5816">
      <w:pPr>
        <w:spacing w:after="0" w:line="240" w:lineRule="auto"/>
        <w:rPr>
          <w:rFonts w:ascii="Times New Roman" w:hAnsi="Times New Roman" w:cs="Times New Roman"/>
          <w:noProof/>
          <w:color w:val="FF0000"/>
          <w:sz w:val="16"/>
          <w:lang w:eastAsia="es-GT"/>
        </w:rPr>
      </w:pPr>
    </w:p>
    <w:p w:rsidR="007051EA" w:rsidRDefault="007051EA" w:rsidP="00AD5816">
      <w:pPr>
        <w:spacing w:after="0" w:line="240" w:lineRule="auto"/>
        <w:rPr>
          <w:rFonts w:ascii="Times New Roman" w:hAnsi="Times New Roman" w:cs="Times New Roman"/>
          <w:noProof/>
          <w:color w:val="FF0000"/>
          <w:sz w:val="16"/>
          <w:lang w:eastAsia="es-GT"/>
        </w:rPr>
      </w:pPr>
    </w:p>
    <w:p w:rsidR="007051EA" w:rsidRDefault="007051EA" w:rsidP="00AD5816">
      <w:pPr>
        <w:spacing w:after="0" w:line="240" w:lineRule="auto"/>
        <w:rPr>
          <w:rFonts w:ascii="Times New Roman" w:hAnsi="Times New Roman" w:cs="Times New Roman"/>
          <w:noProof/>
          <w:color w:val="FF0000"/>
          <w:sz w:val="16"/>
          <w:lang w:eastAsia="es-GT"/>
        </w:rPr>
      </w:pPr>
    </w:p>
    <w:p w:rsidR="007051EA" w:rsidRDefault="007051EA" w:rsidP="00AD5816">
      <w:pPr>
        <w:spacing w:after="0" w:line="240" w:lineRule="auto"/>
        <w:rPr>
          <w:rFonts w:ascii="Times New Roman" w:hAnsi="Times New Roman" w:cs="Times New Roman"/>
          <w:noProof/>
          <w:color w:val="FF0000"/>
          <w:sz w:val="16"/>
          <w:lang w:eastAsia="es-GT"/>
        </w:rPr>
      </w:pPr>
    </w:p>
    <w:p w:rsidR="007051EA" w:rsidRDefault="007051EA" w:rsidP="00AD5816">
      <w:pPr>
        <w:spacing w:after="0" w:line="240" w:lineRule="auto"/>
        <w:rPr>
          <w:rFonts w:ascii="Times New Roman" w:hAnsi="Times New Roman" w:cs="Times New Roman"/>
          <w:noProof/>
          <w:color w:val="FF0000"/>
          <w:sz w:val="16"/>
          <w:lang w:eastAsia="es-GT"/>
        </w:rPr>
      </w:pPr>
    </w:p>
    <w:p w:rsidR="007051EA" w:rsidRDefault="007051EA" w:rsidP="00AD5816">
      <w:pPr>
        <w:spacing w:after="0" w:line="240" w:lineRule="auto"/>
        <w:rPr>
          <w:rFonts w:ascii="Times New Roman" w:hAnsi="Times New Roman" w:cs="Times New Roman"/>
          <w:noProof/>
          <w:color w:val="FF0000"/>
          <w:sz w:val="16"/>
          <w:lang w:eastAsia="es-GT"/>
        </w:rPr>
      </w:pPr>
    </w:p>
    <w:p w:rsidR="007051EA" w:rsidRDefault="007051EA" w:rsidP="00AD5816">
      <w:pPr>
        <w:spacing w:after="0" w:line="240" w:lineRule="auto"/>
        <w:rPr>
          <w:rFonts w:ascii="Times New Roman" w:hAnsi="Times New Roman" w:cs="Times New Roman"/>
          <w:noProof/>
          <w:color w:val="FF0000"/>
          <w:sz w:val="16"/>
          <w:lang w:eastAsia="es-GT"/>
        </w:rPr>
      </w:pPr>
    </w:p>
    <w:p w:rsidR="004D1EB1" w:rsidRDefault="004D1EB1" w:rsidP="00AD5816">
      <w:pPr>
        <w:spacing w:after="0" w:line="240" w:lineRule="auto"/>
        <w:rPr>
          <w:rFonts w:ascii="Times New Roman" w:hAnsi="Times New Roman" w:cs="Times New Roman"/>
          <w:noProof/>
          <w:color w:val="FF0000"/>
          <w:sz w:val="16"/>
          <w:lang w:eastAsia="es-GT"/>
        </w:rPr>
      </w:pPr>
    </w:p>
    <w:p w:rsidR="004D1EB1" w:rsidRDefault="004D1EB1" w:rsidP="00AD5816">
      <w:pPr>
        <w:spacing w:after="0" w:line="240" w:lineRule="auto"/>
        <w:rPr>
          <w:rFonts w:ascii="Times New Roman" w:hAnsi="Times New Roman" w:cs="Times New Roman"/>
          <w:noProof/>
          <w:color w:val="FF0000"/>
          <w:sz w:val="16"/>
          <w:lang w:eastAsia="es-GT"/>
        </w:rPr>
      </w:pPr>
    </w:p>
    <w:p w:rsidR="004D1EB1" w:rsidRDefault="004D1EB1" w:rsidP="00AD5816">
      <w:pPr>
        <w:spacing w:after="0" w:line="240" w:lineRule="auto"/>
        <w:rPr>
          <w:rFonts w:ascii="Times New Roman" w:hAnsi="Times New Roman" w:cs="Times New Roman"/>
          <w:noProof/>
          <w:color w:val="FF0000"/>
          <w:sz w:val="16"/>
          <w:lang w:eastAsia="es-GT"/>
        </w:rPr>
      </w:pPr>
    </w:p>
    <w:p w:rsidR="004D1EB1" w:rsidRDefault="004D1EB1" w:rsidP="00AD5816">
      <w:pPr>
        <w:spacing w:after="0" w:line="240" w:lineRule="auto"/>
        <w:rPr>
          <w:rFonts w:ascii="Times New Roman" w:hAnsi="Times New Roman" w:cs="Times New Roman"/>
          <w:noProof/>
          <w:color w:val="FF0000"/>
          <w:sz w:val="16"/>
          <w:lang w:eastAsia="es-GT"/>
        </w:rPr>
      </w:pPr>
    </w:p>
    <w:p w:rsidR="004D1EB1" w:rsidRDefault="004D1EB1" w:rsidP="00AD5816">
      <w:pPr>
        <w:spacing w:after="0" w:line="240" w:lineRule="auto"/>
        <w:rPr>
          <w:rFonts w:ascii="Times New Roman" w:hAnsi="Times New Roman" w:cs="Times New Roman"/>
          <w:noProof/>
          <w:color w:val="FF0000"/>
          <w:sz w:val="16"/>
          <w:lang w:eastAsia="es-GT"/>
        </w:rPr>
      </w:pPr>
    </w:p>
    <w:p w:rsidR="004D1EB1" w:rsidRDefault="004D1EB1" w:rsidP="00AD5816">
      <w:pPr>
        <w:spacing w:after="0" w:line="240" w:lineRule="auto"/>
        <w:rPr>
          <w:rFonts w:ascii="Times New Roman" w:hAnsi="Times New Roman" w:cs="Times New Roman"/>
          <w:noProof/>
          <w:color w:val="FF0000"/>
          <w:sz w:val="16"/>
          <w:lang w:eastAsia="es-GT"/>
        </w:rPr>
      </w:pPr>
    </w:p>
    <w:p w:rsidR="004D1EB1" w:rsidRDefault="004D1EB1" w:rsidP="00AD5816">
      <w:pPr>
        <w:spacing w:after="0" w:line="240" w:lineRule="auto"/>
        <w:rPr>
          <w:rFonts w:ascii="Times New Roman" w:hAnsi="Times New Roman" w:cs="Times New Roman"/>
          <w:noProof/>
          <w:color w:val="FF0000"/>
          <w:sz w:val="16"/>
          <w:lang w:eastAsia="es-GT"/>
        </w:rPr>
      </w:pPr>
    </w:p>
    <w:p w:rsidR="004D1EB1" w:rsidRDefault="004D1EB1" w:rsidP="00AD5816">
      <w:pPr>
        <w:spacing w:after="0" w:line="240" w:lineRule="auto"/>
        <w:rPr>
          <w:rFonts w:ascii="Times New Roman" w:hAnsi="Times New Roman" w:cs="Times New Roman"/>
          <w:noProof/>
          <w:color w:val="FF0000"/>
          <w:sz w:val="16"/>
          <w:lang w:eastAsia="es-GT"/>
        </w:rPr>
      </w:pPr>
    </w:p>
    <w:p w:rsidR="007051EA" w:rsidRDefault="007051EA" w:rsidP="00AD5816">
      <w:pPr>
        <w:spacing w:after="0" w:line="240" w:lineRule="auto"/>
        <w:rPr>
          <w:rFonts w:ascii="Times New Roman" w:hAnsi="Times New Roman" w:cs="Times New Roman"/>
          <w:noProof/>
          <w:color w:val="FF0000"/>
          <w:sz w:val="16"/>
          <w:lang w:eastAsia="es-GT"/>
        </w:rPr>
      </w:pPr>
    </w:p>
    <w:p w:rsidR="007051EA" w:rsidRDefault="007051EA" w:rsidP="00AD5816">
      <w:pPr>
        <w:spacing w:after="0" w:line="240" w:lineRule="auto"/>
        <w:rPr>
          <w:rFonts w:ascii="Times New Roman" w:hAnsi="Times New Roman" w:cs="Times New Roman"/>
          <w:noProof/>
          <w:color w:val="FF0000"/>
          <w:sz w:val="16"/>
          <w:lang w:eastAsia="es-GT"/>
        </w:rPr>
      </w:pPr>
    </w:p>
    <w:p w:rsidR="007051EA" w:rsidRDefault="007051EA" w:rsidP="00AD5816">
      <w:pPr>
        <w:spacing w:after="0" w:line="240" w:lineRule="auto"/>
        <w:rPr>
          <w:rFonts w:ascii="Times New Roman" w:hAnsi="Times New Roman" w:cs="Times New Roman"/>
          <w:noProof/>
          <w:color w:val="FF0000"/>
          <w:sz w:val="16"/>
          <w:lang w:eastAsia="es-GT"/>
        </w:rPr>
      </w:pPr>
    </w:p>
    <w:p w:rsidR="007051EA" w:rsidRPr="00DC723E" w:rsidRDefault="007051EA" w:rsidP="00AD5816">
      <w:pPr>
        <w:spacing w:after="0" w:line="240" w:lineRule="auto"/>
        <w:rPr>
          <w:rFonts w:ascii="Times New Roman" w:hAnsi="Times New Roman" w:cs="Times New Roman"/>
          <w:noProof/>
          <w:color w:val="FF0000"/>
          <w:sz w:val="16"/>
          <w:lang w:eastAsia="es-GT"/>
        </w:rPr>
      </w:pPr>
    </w:p>
    <w:p w:rsidR="00C739AF" w:rsidRPr="00DC723E" w:rsidRDefault="00C739AF" w:rsidP="00AD5816">
      <w:pPr>
        <w:spacing w:after="0" w:line="240" w:lineRule="auto"/>
        <w:rPr>
          <w:rFonts w:ascii="Times New Roman" w:hAnsi="Times New Roman" w:cs="Times New Roman"/>
          <w:noProof/>
          <w:color w:val="FF0000"/>
          <w:sz w:val="16"/>
          <w:lang w:eastAsia="es-GT"/>
        </w:rPr>
      </w:pPr>
    </w:p>
    <w:p w:rsidR="001F5581" w:rsidRPr="007051EA" w:rsidRDefault="001F5581" w:rsidP="001F5581">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1F5581" w:rsidRPr="007051EA" w:rsidSect="00FA3B81">
          <w:headerReference w:type="default" r:id="rId38"/>
          <w:footerReference w:type="default" r:id="rId39"/>
          <w:type w:val="continuous"/>
          <w:pgSz w:w="12240" w:h="15840" w:code="1"/>
          <w:pgMar w:top="1418" w:right="1418" w:bottom="1418" w:left="1418" w:header="709" w:footer="709" w:gutter="0"/>
          <w:cols w:space="708"/>
          <w:docGrid w:linePitch="360"/>
        </w:sectPr>
      </w:pPr>
      <w:r w:rsidRPr="007051EA">
        <w:rPr>
          <w:rFonts w:ascii="Times New Roman" w:hAnsi="Times New Roman" w:cs="Times New Roman"/>
          <w:b/>
          <w:lang w:val="es-MX"/>
        </w:rPr>
        <w:lastRenderedPageBreak/>
        <w:t>Anexo</w:t>
      </w:r>
      <w:r w:rsidR="0008320B" w:rsidRPr="007051EA">
        <w:rPr>
          <w:rFonts w:ascii="Times New Roman" w:hAnsi="Times New Roman" w:cs="Times New Roman"/>
          <w:b/>
          <w:lang w:val="es-MX"/>
        </w:rPr>
        <w:t>s</w:t>
      </w:r>
    </w:p>
    <w:p w:rsidR="001F5581" w:rsidRPr="00DC723E" w:rsidRDefault="001F5581" w:rsidP="00AD5816">
      <w:pPr>
        <w:spacing w:after="0" w:line="240" w:lineRule="auto"/>
        <w:rPr>
          <w:rFonts w:ascii="Times New Roman" w:hAnsi="Times New Roman" w:cs="Times New Roman"/>
          <w:noProof/>
          <w:color w:val="FF0000"/>
          <w:sz w:val="16"/>
          <w:lang w:val="es-MX" w:eastAsia="es-GT"/>
        </w:rPr>
        <w:sectPr w:rsidR="001F5581" w:rsidRPr="00DC723E" w:rsidSect="00986297">
          <w:headerReference w:type="default" r:id="rId40"/>
          <w:footerReference w:type="default" r:id="rId41"/>
          <w:type w:val="continuous"/>
          <w:pgSz w:w="12240" w:h="15840" w:code="1"/>
          <w:pgMar w:top="1418" w:right="1418" w:bottom="1418" w:left="1418" w:header="709" w:footer="709" w:gutter="0"/>
          <w:cols w:num="2" w:space="708"/>
          <w:docGrid w:linePitch="360"/>
        </w:sectPr>
      </w:pPr>
    </w:p>
    <w:p w:rsidR="0008320B" w:rsidRPr="00DC723E" w:rsidRDefault="007051EA" w:rsidP="007E6BCF">
      <w:pPr>
        <w:spacing w:after="0" w:line="240" w:lineRule="auto"/>
        <w:rPr>
          <w:noProof/>
          <w:color w:val="FF0000"/>
          <w:lang w:eastAsia="es-GT"/>
        </w:rPr>
      </w:pPr>
      <w:r w:rsidRPr="0067650A">
        <w:rPr>
          <w:noProof/>
          <w:lang w:eastAsia="es-GT"/>
        </w:rPr>
        <w:lastRenderedPageBreak/>
        <w:drawing>
          <wp:anchor distT="0" distB="0" distL="114300" distR="114300" simplePos="0" relativeHeight="251803648" behindDoc="0" locked="0" layoutInCell="1" allowOverlap="1" wp14:anchorId="4050F28A" wp14:editId="7C757CE8">
            <wp:simplePos x="0" y="0"/>
            <wp:positionH relativeFrom="column">
              <wp:posOffset>-167005</wp:posOffset>
            </wp:positionH>
            <wp:positionV relativeFrom="paragraph">
              <wp:posOffset>202565</wp:posOffset>
            </wp:positionV>
            <wp:extent cx="6324600" cy="5688330"/>
            <wp:effectExtent l="0" t="0" r="0" b="7620"/>
            <wp:wrapSquare wrapText="bothSides"/>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324600" cy="5688330"/>
                    </a:xfrm>
                    <a:prstGeom prst="rect">
                      <a:avLst/>
                    </a:prstGeom>
                  </pic:spPr>
                </pic:pic>
              </a:graphicData>
            </a:graphic>
            <wp14:sizeRelH relativeFrom="page">
              <wp14:pctWidth>0</wp14:pctWidth>
            </wp14:sizeRelH>
            <wp14:sizeRelV relativeFrom="page">
              <wp14:pctHeight>0</wp14:pctHeight>
            </wp14:sizeRelV>
          </wp:anchor>
        </w:drawing>
      </w:r>
    </w:p>
    <w:p w:rsidR="005834A0" w:rsidRPr="00DC723E" w:rsidRDefault="005834A0" w:rsidP="007E6BCF">
      <w:pPr>
        <w:spacing w:after="0" w:line="240" w:lineRule="auto"/>
        <w:rPr>
          <w:noProof/>
          <w:color w:val="FF0000"/>
          <w:lang w:eastAsia="es-GT"/>
        </w:rPr>
      </w:pPr>
    </w:p>
    <w:p w:rsidR="005834A0" w:rsidRPr="00DC723E" w:rsidRDefault="005834A0" w:rsidP="007E6BCF">
      <w:pPr>
        <w:spacing w:after="0" w:line="240" w:lineRule="auto"/>
        <w:rPr>
          <w:noProof/>
          <w:color w:val="FF0000"/>
          <w:lang w:eastAsia="es-GT"/>
        </w:rPr>
      </w:pPr>
    </w:p>
    <w:p w:rsidR="005834A0" w:rsidRPr="00DC723E" w:rsidRDefault="005834A0" w:rsidP="007E6BCF">
      <w:pPr>
        <w:spacing w:after="0" w:line="240" w:lineRule="auto"/>
        <w:rPr>
          <w:noProof/>
          <w:color w:val="FF0000"/>
          <w:lang w:eastAsia="es-GT"/>
        </w:rPr>
      </w:pPr>
    </w:p>
    <w:p w:rsidR="005834A0" w:rsidRPr="00DC723E" w:rsidRDefault="005834A0" w:rsidP="007E6BCF">
      <w:pPr>
        <w:spacing w:after="0" w:line="240" w:lineRule="auto"/>
        <w:rPr>
          <w:noProof/>
          <w:color w:val="FF0000"/>
          <w:lang w:eastAsia="es-GT"/>
        </w:rPr>
      </w:pPr>
    </w:p>
    <w:p w:rsidR="005834A0" w:rsidRPr="00DC723E" w:rsidRDefault="005834A0" w:rsidP="007E6BCF">
      <w:pPr>
        <w:spacing w:after="0" w:line="240" w:lineRule="auto"/>
        <w:rPr>
          <w:noProof/>
          <w:color w:val="FF0000"/>
          <w:lang w:eastAsia="es-GT"/>
        </w:rPr>
      </w:pPr>
      <w:bookmarkStart w:id="0" w:name="_GoBack"/>
      <w:bookmarkEnd w:id="0"/>
    </w:p>
    <w:p w:rsidR="005834A0" w:rsidRPr="00DC723E" w:rsidRDefault="005834A0" w:rsidP="007E6BCF">
      <w:pPr>
        <w:spacing w:after="0" w:line="240" w:lineRule="auto"/>
        <w:rPr>
          <w:noProof/>
          <w:color w:val="FF0000"/>
          <w:lang w:eastAsia="es-GT"/>
        </w:rPr>
      </w:pPr>
    </w:p>
    <w:p w:rsidR="00F1031E" w:rsidRPr="00DC723E" w:rsidRDefault="00F1031E" w:rsidP="007E6BCF">
      <w:pPr>
        <w:spacing w:after="0" w:line="240" w:lineRule="auto"/>
        <w:rPr>
          <w:noProof/>
          <w:color w:val="FF0000"/>
          <w:lang w:eastAsia="es-GT"/>
        </w:rPr>
      </w:pPr>
    </w:p>
    <w:p w:rsidR="00F1031E" w:rsidRPr="00DC723E" w:rsidRDefault="007051EA" w:rsidP="007E6BCF">
      <w:pPr>
        <w:spacing w:after="0" w:line="240" w:lineRule="auto"/>
        <w:rPr>
          <w:noProof/>
          <w:color w:val="FF0000"/>
          <w:lang w:eastAsia="es-GT"/>
        </w:rPr>
      </w:pPr>
      <w:r w:rsidRPr="00023E14">
        <w:rPr>
          <w:noProof/>
          <w:lang w:eastAsia="es-GT"/>
        </w:rPr>
        <w:drawing>
          <wp:anchor distT="0" distB="0" distL="114300" distR="114300" simplePos="0" relativeHeight="251805696" behindDoc="0" locked="0" layoutInCell="1" allowOverlap="1" wp14:anchorId="34C2F5B8" wp14:editId="36595269">
            <wp:simplePos x="0" y="0"/>
            <wp:positionH relativeFrom="column">
              <wp:posOffset>-135255</wp:posOffset>
            </wp:positionH>
            <wp:positionV relativeFrom="paragraph">
              <wp:posOffset>337185</wp:posOffset>
            </wp:positionV>
            <wp:extent cx="6210300" cy="517779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10300" cy="5177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031E" w:rsidRPr="00DC723E" w:rsidRDefault="00F1031E" w:rsidP="007E6BCF">
      <w:pPr>
        <w:spacing w:after="0" w:line="240" w:lineRule="auto"/>
        <w:rPr>
          <w:noProof/>
          <w:color w:val="FF0000"/>
          <w:lang w:eastAsia="es-GT"/>
        </w:rPr>
      </w:pPr>
    </w:p>
    <w:p w:rsidR="001F5581" w:rsidRPr="00DC723E" w:rsidRDefault="001F5581" w:rsidP="007E6BCF">
      <w:pPr>
        <w:spacing w:after="0" w:line="240" w:lineRule="auto"/>
        <w:rPr>
          <w:rFonts w:ascii="Times New Roman" w:hAnsi="Times New Roman" w:cs="Times New Roman"/>
          <w:noProof/>
          <w:color w:val="FF0000"/>
          <w:sz w:val="16"/>
          <w:lang w:val="es-MX" w:eastAsia="es-GT"/>
        </w:rPr>
        <w:sectPr w:rsidR="001F5581" w:rsidRPr="00DC723E" w:rsidSect="001F5581">
          <w:type w:val="continuous"/>
          <w:pgSz w:w="12240" w:h="15840" w:code="1"/>
          <w:pgMar w:top="1418" w:right="1418" w:bottom="1418" w:left="1418" w:header="709" w:footer="709" w:gutter="0"/>
          <w:cols w:space="708"/>
          <w:docGrid w:linePitch="360"/>
        </w:sectPr>
      </w:pPr>
    </w:p>
    <w:p w:rsidR="00AD5816" w:rsidRPr="00DC723E" w:rsidRDefault="00AD5816" w:rsidP="00AD5816">
      <w:pPr>
        <w:spacing w:after="0" w:line="240" w:lineRule="auto"/>
        <w:rPr>
          <w:rFonts w:ascii="Times New Roman" w:hAnsi="Times New Roman" w:cs="Times New Roman"/>
          <w:noProof/>
          <w:color w:val="FF0000"/>
          <w:sz w:val="16"/>
          <w:lang w:eastAsia="es-GT"/>
        </w:rPr>
      </w:pPr>
    </w:p>
    <w:p w:rsidR="00AD5816" w:rsidRPr="00DC723E" w:rsidRDefault="00AD5816" w:rsidP="00AD5816">
      <w:pPr>
        <w:spacing w:after="0" w:line="240" w:lineRule="auto"/>
        <w:rPr>
          <w:rFonts w:ascii="Times New Roman" w:hAnsi="Times New Roman" w:cs="Times New Roman"/>
          <w:noProof/>
          <w:color w:val="FF0000"/>
          <w:sz w:val="16"/>
          <w:lang w:eastAsia="es-GT"/>
        </w:rPr>
      </w:pPr>
    </w:p>
    <w:p w:rsidR="007703A2" w:rsidRPr="00DC723E" w:rsidRDefault="007703A2" w:rsidP="00940C2E">
      <w:pPr>
        <w:pStyle w:val="Sinespaciado"/>
        <w:jc w:val="center"/>
        <w:rPr>
          <w:rFonts w:ascii="Times New Roman" w:hAnsi="Times New Roman" w:cs="Times New Roman"/>
          <w:color w:val="FF0000"/>
        </w:rPr>
      </w:pPr>
    </w:p>
    <w:sectPr w:rsidR="007703A2" w:rsidRPr="00DC723E" w:rsidSect="00986297">
      <w:type w:val="continuous"/>
      <w:pgSz w:w="12240" w:h="15840" w:code="1"/>
      <w:pgMar w:top="1418" w:right="1418" w:bottom="1418" w:left="1418"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5375" w:rsidRDefault="00645375" w:rsidP="007D4651">
      <w:pPr>
        <w:spacing w:after="0" w:line="240" w:lineRule="auto"/>
      </w:pPr>
      <w:r>
        <w:separator/>
      </w:r>
    </w:p>
  </w:endnote>
  <w:endnote w:type="continuationSeparator" w:id="0">
    <w:p w:rsidR="00645375" w:rsidRDefault="00645375" w:rsidP="007D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737366140"/>
      <w:docPartObj>
        <w:docPartGallery w:val="Page Numbers (Bottom of Page)"/>
        <w:docPartUnique/>
      </w:docPartObj>
    </w:sdtPr>
    <w:sdtEndPr/>
    <w:sdtContent>
      <w:p w:rsidR="007C66BE" w:rsidRDefault="007C66BE">
        <w:pPr>
          <w:pStyle w:val="Piedepgina"/>
          <w:jc w:val="right"/>
          <w:rPr>
            <w:lang w:val="es-ES"/>
          </w:rPr>
        </w:pPr>
      </w:p>
      <w:p w:rsidR="007C66BE" w:rsidRDefault="007C66BE"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3360" behindDoc="0" locked="0" layoutInCell="1" allowOverlap="1" wp14:anchorId="35010E58" wp14:editId="049005F6">
                  <wp:simplePos x="0" y="0"/>
                  <wp:positionH relativeFrom="column">
                    <wp:posOffset>1755792</wp:posOffset>
                  </wp:positionH>
                  <wp:positionV relativeFrom="paragraph">
                    <wp:posOffset>70485</wp:posOffset>
                  </wp:positionV>
                  <wp:extent cx="5155565" cy="45719"/>
                  <wp:effectExtent l="38100" t="38100" r="64135" b="88265"/>
                  <wp:wrapNone/>
                  <wp:docPr id="3" name="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19BD47" id="3 Rectángulo" o:spid="_x0000_s1026" style="position:absolute;margin-left:138.25pt;margin-top:5.55pt;width:405.95pt;height:3.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rtYPAMAAKU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QQjQVpI0QQ9AG2/f4mq49IR1CszA9xS3ethZUB0t92UunV/uAfaeFK3I6lsYxGFzSzJsuw4&#10;w4jC2TQ7Sc6czehZWWljPzPZIifkWINzTyVZ3xgboDvIwHBx3XDuZQOQICAlgZZJmsWp1/YVxC65&#10;RmsCuSeUMmGTwXVl9pVO0rM4PqS0qoIt3rVfZREMARTAIazRh7/PS6Pp1OGcmxEVDDijQf2lwkHw&#10;W2FnPpIDHt5SSpzSO11BjqodwbwRiLiehiYylHAGFTOyqcmYES5cQEK6DIVbhh3me3HIluws08u6&#10;6NGKd/qBgK0sPoWwUNG4EpicQphuAY2anoSIEeEVTBjLMdLSPjW29t3hAnIeXYWMyV5xQr/7bcJV&#10;TQLvLh+7xA1on7YxGL/aizNydR8q3Ut2y5lzxcUDK6FloLbfLDWfmZoULPgP6TpUON6gQ5dA2mg7&#10;OVQ8L1M74J1qiHtUfkeGRw3vWQo7KreNkPqQdz42UBnwQNkeNU5cyWILAwVSFEpF0esGUnNDjL0n&#10;GkYr5BWeC3sHn5LLPsdykDCqpf55aN/hYeLBKUY9jOocmx8d0Qwj/kVA058l0ymYtX4BEyaFhd4/&#10;We2fiK69lDAREihkRb3o8JbvxFLL9glelYXzCkdEUPCdY2r1bnFpwxMC7xJli4WHwTxXxN6IpaLO&#10;uGPVldnj5oloNcw2C0PxVu7GOpm9GnEB6zSFXHRWlo2ff8+8DnzDW+CLdXi33GOzv/ao59d1/gcA&#10;AP//AwBQSwMEFAAGAAgAAAAhAKbxeE3gAAAACgEAAA8AAABkcnMvZG93bnJldi54bWxMj8FOwzAQ&#10;RO9I/IO1SFwQtVOgRCFOVSGhHkAICh/gxtskqr0OsdMGvp7tCW67mtnZN+Vy8k4ccIhdIA3ZTIFA&#10;qoPtqNHw+fF0nYOIyZA1LhBq+MYIy+r8rDSFDUd6x8MmNYJDKBZGQ5tSX0gZ6xa9ibPQI7G2C4M3&#10;idehkXYwRw73Ts6VWkhvOuIPrenxscV6vxk9Y7w6uV6ts58v9Rxf9s3bqLrdldaXF9PqAUTCKf2Z&#10;4YTPN1Ax0zaMZKNwGub3izu2spBlIE4Glee3ILY85Tcgq1L+r1D9AgAA//8DAFBLAQItABQABgAI&#10;AAAAIQC2gziS/gAAAOEBAAATAAAAAAAAAAAAAAAAAAAAAABbQ29udGVudF9UeXBlc10ueG1sUEsB&#10;Ai0AFAAGAAgAAAAhADj9If/WAAAAlAEAAAsAAAAAAAAAAAAAAAAALwEAAF9yZWxzLy5yZWxzUEsB&#10;Ai0AFAAGAAgAAAAhADziu1g8AwAApQcAAA4AAAAAAAAAAAAAAAAALgIAAGRycy9lMm9Eb2MueG1s&#10;UEsBAi0AFAAGAAgAAAAhAKbxeE3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7C66BE" w:rsidRDefault="007C66B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896009" w:rsidRPr="00896009">
          <w:rPr>
            <w:rFonts w:ascii="Times New Roman" w:hAnsi="Times New Roman" w:cs="Times New Roman"/>
            <w:b/>
            <w:noProof/>
            <w:color w:val="1F497D" w:themeColor="text2"/>
            <w:lang w:val="es-ES"/>
          </w:rPr>
          <w:t>2</w:t>
        </w:r>
        <w:r w:rsidRPr="007D4651">
          <w:rPr>
            <w:rFonts w:ascii="Times New Roman" w:hAnsi="Times New Roman" w:cs="Times New Roman"/>
            <w:b/>
            <w:color w:val="1F497D" w:themeColor="text2"/>
          </w:rPr>
          <w:fldChar w:fldCharType="end"/>
        </w:r>
        <w:r>
          <w:rPr>
            <w:lang w:val="es-ES"/>
          </w:rPr>
          <w:t xml:space="preserve"> </w:t>
        </w:r>
      </w:p>
    </w:sdtContent>
  </w:sdt>
  <w:p w:rsidR="007C66BE" w:rsidRDefault="007C66BE" w:rsidP="007D4651">
    <w:pPr>
      <w:pStyle w:val="Piedepgina"/>
      <w:tabs>
        <w:tab w:val="clear" w:pos="4419"/>
        <w:tab w:val="clear" w:pos="8838"/>
        <w:tab w:val="left" w:pos="5777"/>
      </w:tabs>
    </w:pPr>
  </w:p>
  <w:p w:rsidR="007C66BE" w:rsidRDefault="007C66BE"/>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093235116"/>
      <w:docPartObj>
        <w:docPartGallery w:val="Page Numbers (Bottom of Page)"/>
        <w:docPartUnique/>
      </w:docPartObj>
    </w:sdtPr>
    <w:sdtEndPr/>
    <w:sdtContent>
      <w:p w:rsidR="007C66BE" w:rsidRDefault="007C66BE">
        <w:pPr>
          <w:pStyle w:val="Piedepgina"/>
          <w:jc w:val="right"/>
          <w:rPr>
            <w:lang w:val="es-ES"/>
          </w:rPr>
        </w:pPr>
      </w:p>
      <w:p w:rsidR="007C66BE" w:rsidRDefault="007C66BE"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30944" behindDoc="0" locked="0" layoutInCell="1" allowOverlap="1" wp14:anchorId="142A3309" wp14:editId="31F49565">
                  <wp:simplePos x="0" y="0"/>
                  <wp:positionH relativeFrom="column">
                    <wp:posOffset>1759602</wp:posOffset>
                  </wp:positionH>
                  <wp:positionV relativeFrom="paragraph">
                    <wp:posOffset>70485</wp:posOffset>
                  </wp:positionV>
                  <wp:extent cx="5155565" cy="45719"/>
                  <wp:effectExtent l="38100" t="38100" r="64135" b="88265"/>
                  <wp:wrapNone/>
                  <wp:docPr id="48"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9BF271" id="26 Rectángulo" o:spid="_x0000_s1026" style="position:absolute;margin-left:138.55pt;margin-top:5.55pt;width:405.95pt;height:3.6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W6PgMAAKcHAAAOAAAAZHJzL2Uyb0RvYy54bWysVdlO3DAUfa/Uf7D8XrIwYRmRQSMQVSUK&#10;iKHi+Y7jTKI6tmt7Fvo3/Zb+WK/tTBjoCKGqL4mXcxefc319dr7pBFlxY1slS5odpJRwyVTVykVJ&#10;vz1cfTqhxDqQFQgleUmfuKXnk48fztZ6zHPVKFFxQ9CJtOO1LmnjnB4niWUN78AeKM0lbtbKdOBw&#10;ahZJZWCN3juR5Gl6lKyVqbRRjFuLq5dxk06C/7rmzN3WteWOiJJibi58TfjO/TeZnMF4YUA3LevT&#10;gH/IooNWYtDB1SU4IEvT/uWqa5lRVtXugKkuUXXdMh7OgKfJ0lenmTWgeTgLkmP1QJP9f27ZzerO&#10;kLYq6QiVktChRvkRuUfifv+Si6VQnqK1tmNEzvSd6WcWh/68m9p0/o8nIZtA69NAK984wnCxyIqi&#10;OCooYbg3Ko6zU+8zeTbWxrrPXHXED0pqMHggE1bX1kXoFtJzXF21QoSxRUgcEK2QmMO8SPNgHWqI&#10;XwhDVoDqA2NcuqwPvbC7Rsf5aZruM5ovoi+x7L6qKjpCKIJjWkOMcJ6XTvORx/kwAyo68E6j+UuD&#10;veC30i5CJnsivGWUeaN3hkKNFluCRSsJ+FuN18gyEBxrZmDTwKCIkD4hqbxC8ZRxhYfb2Kullo6b&#10;WVOtyVwszT2gryI9wbRI1foSODzBNP0Er2p+HDMmIBbYY5ygxCj32Lom3A+fkI/oK2QQey6AfQ/L&#10;IHQDkXevx1a4Hh1kG5IJs508E1/3sdLDyD0J7kMJec9rvDRY22+WWlCmgYrH+FGufYUTHHp0jaQN&#10;vrN9xfNS2h7vTWPeg/E7FB4sQmQl3WDctVKZfdHFcIHqiEfKdqjxw7mqnrCloESxVDS7alGaa7Du&#10;Dgw2V9QVHwx3i59aqHVJVT+ipFHm5751j8eeh7uUrLFZl9T+WILhlIgvEi/9aTYaoVsXJthhcpyY&#10;3Z357o5cdhcKO0KGhaxZGHq8E9thbVT3iO/K1EfFLZAMY5eUObOdXLj4iODLxPh0GmDY0TW4aznT&#10;zDv3rPoye9g8gtF9b3PYFG/UtrHD+FWLi1hvKdV06VTdhv73zGvPN74GoVj7l8s/N7vzgHp+Xy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HYBxbo+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7C66BE" w:rsidRDefault="007C66B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896009" w:rsidRPr="00896009">
          <w:rPr>
            <w:rFonts w:ascii="Times New Roman" w:hAnsi="Times New Roman" w:cs="Times New Roman"/>
            <w:b/>
            <w:noProof/>
            <w:color w:val="1F497D" w:themeColor="text2"/>
            <w:lang w:val="es-ES"/>
          </w:rPr>
          <w:t>11</w:t>
        </w:r>
        <w:r w:rsidRPr="007D4651">
          <w:rPr>
            <w:rFonts w:ascii="Times New Roman" w:hAnsi="Times New Roman" w:cs="Times New Roman"/>
            <w:b/>
            <w:color w:val="1F497D" w:themeColor="text2"/>
          </w:rPr>
          <w:fldChar w:fldCharType="end"/>
        </w:r>
        <w:r>
          <w:rPr>
            <w:lang w:val="es-ES"/>
          </w:rPr>
          <w:t xml:space="preserve"> </w:t>
        </w:r>
      </w:p>
    </w:sdtContent>
  </w:sdt>
  <w:p w:rsidR="007C66BE" w:rsidRDefault="007C66BE" w:rsidP="007D4651">
    <w:pPr>
      <w:pStyle w:val="Piedepgina"/>
      <w:tabs>
        <w:tab w:val="clear" w:pos="4419"/>
        <w:tab w:val="clear" w:pos="8838"/>
        <w:tab w:val="left" w:pos="5777"/>
      </w:tabs>
    </w:pPr>
  </w:p>
  <w:p w:rsidR="007C66BE" w:rsidRDefault="007C66BE"/>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390385153"/>
      <w:docPartObj>
        <w:docPartGallery w:val="Page Numbers (Bottom of Page)"/>
        <w:docPartUnique/>
      </w:docPartObj>
    </w:sdtPr>
    <w:sdtEndPr/>
    <w:sdtContent>
      <w:p w:rsidR="007C66BE" w:rsidRDefault="007C66BE">
        <w:pPr>
          <w:pStyle w:val="Piedepgina"/>
          <w:jc w:val="right"/>
          <w:rPr>
            <w:lang w:val="es-ES"/>
          </w:rPr>
        </w:pPr>
      </w:p>
      <w:p w:rsidR="007C66BE" w:rsidRDefault="007C66BE"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83840" behindDoc="0" locked="0" layoutInCell="1" allowOverlap="1" wp14:anchorId="5CE4C0C5" wp14:editId="4EC4294C">
                  <wp:simplePos x="0" y="0"/>
                  <wp:positionH relativeFrom="column">
                    <wp:posOffset>1776669</wp:posOffset>
                  </wp:positionH>
                  <wp:positionV relativeFrom="paragraph">
                    <wp:posOffset>70516</wp:posOffset>
                  </wp:positionV>
                  <wp:extent cx="5155565" cy="45719"/>
                  <wp:effectExtent l="38100" t="38100" r="64135" b="88265"/>
                  <wp:wrapNone/>
                  <wp:docPr id="39"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3C0B72" id="39 Rectángulo" o:spid="_x0000_s1026" style="position:absolute;margin-left:139.9pt;margin-top:5.55pt;width:405.95pt;height:3.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Y7PgMAAKcHAAAOAAAAZHJzL2Uyb0RvYy54bWysVdtO2zAYvp+0d7B8P3JoA7QiRRWIaRID&#10;RJm4dh3noDm2ZztN2dvsWfZi+22nobAKoWk3yW/7+w/+/oPPzrctRxumTSNFjpOjGCMmqCwaUeX4&#10;28PVp1OMjCWiIFwKluMnZvD54uOHs17NWSpryQumERgRZt6rHNfWqnkUGVqzlpgjqZiAw1LqllhY&#10;6ioqNOnBesujNI6Po17qQmlJmTGwexkO8cLbL0tG7W1ZGmYRzzHEZv1X++/afaPFGZlXmqi6oUMY&#10;5B+iaEkjwOlo6pJYgjrd/GWqbaiWRpb2iMo2kmXZUObvALdJ4le3WdVEMX8XIMeokSbz/8zSm82d&#10;Rk2R48kMI0FayNFkhu6BuN+/RNVx6SjqlZkDcqXu9LAyILr7bkvduj/cBG09rU8jrWxrEYXNLMmy&#10;7DjDiMLZNDtJZs5m9KystLGfmWyRE3Kswbknk2yujQ3QHWTguLhqOPeyAUgQkJJAzCTN4tRr+xpi&#10;F1yjDYHsE0qZsMngujL7SifpLI4PKa2rYIt37VdZBEMABXAIa/Th7/PSaDp1OOdmRAUDzmhQf6lw&#10;EPxW2JmP5ICHt5QSp/ROV5CjakcwbwQirquhjQwlnEHNjGxqMmaECxeQkC5D4ZZhh/luHLIlO8v0&#10;qi56tOadvidgK4tPISxUNK4EJqcQpltAq6YnIWJEeAUzxnKMtLSPja19f7iAnEdXIWOy15zQ736b&#10;cFWTwLvLxy5xA9qnbQzGr/bijFzdh0r3kn3izLni4p6V0DRQ22+Wms9MTQoW/Id0HSocb9ChSyBt&#10;tJ0cKp6XqR3wTjXEPSq/I8OjhvcshR2V20ZIfcg7HxuoDHigbI8aJ65l8QQjBVIUSkXRqwZSc02M&#10;vSMahivkFR4Mewufkss+x3KQMKql/nlo3+Fh5sEpRj0M6xybHx3RDCP+RUDTz5LpFMxav4AJk8JC&#10;75+s909E115ImAgJFLKiXnR4y3diqWX7CO/K0nmFIyIo+M4xtXq3uLDhEYGXibLl0sNgoitir8VK&#10;UWfcserK7GH7SLQaZpuFoXgjd4OdzF+NuIB1mkIuOyvLxs+/Z14HvuE18MU6vFzuudlfe9Tz+7r4&#10;Aw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2T2O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7C66BE" w:rsidRDefault="007C66B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896009" w:rsidRPr="00896009">
          <w:rPr>
            <w:rFonts w:ascii="Times New Roman" w:hAnsi="Times New Roman" w:cs="Times New Roman"/>
            <w:b/>
            <w:noProof/>
            <w:color w:val="1F497D" w:themeColor="text2"/>
            <w:lang w:val="es-ES"/>
          </w:rPr>
          <w:t>12</w:t>
        </w:r>
        <w:r w:rsidRPr="007D4651">
          <w:rPr>
            <w:rFonts w:ascii="Times New Roman" w:hAnsi="Times New Roman" w:cs="Times New Roman"/>
            <w:b/>
            <w:color w:val="1F497D" w:themeColor="text2"/>
          </w:rPr>
          <w:fldChar w:fldCharType="end"/>
        </w:r>
        <w:r>
          <w:rPr>
            <w:lang w:val="es-ES"/>
          </w:rPr>
          <w:t xml:space="preserve"> </w:t>
        </w:r>
      </w:p>
    </w:sdtContent>
  </w:sdt>
  <w:p w:rsidR="007C66BE" w:rsidRDefault="007C66BE" w:rsidP="007D4651">
    <w:pPr>
      <w:pStyle w:val="Piedepgina"/>
      <w:tabs>
        <w:tab w:val="clear" w:pos="4419"/>
        <w:tab w:val="clear" w:pos="8838"/>
        <w:tab w:val="left" w:pos="5777"/>
      </w:tabs>
    </w:pPr>
  </w:p>
  <w:p w:rsidR="007C66BE" w:rsidRDefault="007C66BE"/>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759977768"/>
      <w:docPartObj>
        <w:docPartGallery w:val="Page Numbers (Bottom of Page)"/>
        <w:docPartUnique/>
      </w:docPartObj>
    </w:sdtPr>
    <w:sdtEndPr/>
    <w:sdtContent>
      <w:p w:rsidR="007C66BE" w:rsidRDefault="007C66BE">
        <w:pPr>
          <w:pStyle w:val="Piedepgina"/>
          <w:jc w:val="right"/>
          <w:rPr>
            <w:lang w:val="es-ES"/>
          </w:rPr>
        </w:pPr>
      </w:p>
      <w:p w:rsidR="007C66BE" w:rsidRDefault="007C66BE"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7456" behindDoc="0" locked="0" layoutInCell="1" allowOverlap="1" wp14:anchorId="0A0A20DE" wp14:editId="419BA7EF">
                  <wp:simplePos x="0" y="0"/>
                  <wp:positionH relativeFrom="column">
                    <wp:posOffset>1776669</wp:posOffset>
                  </wp:positionH>
                  <wp:positionV relativeFrom="paragraph">
                    <wp:posOffset>70516</wp:posOffset>
                  </wp:positionV>
                  <wp:extent cx="5155565" cy="45719"/>
                  <wp:effectExtent l="38100" t="38100" r="64135" b="88265"/>
                  <wp:wrapNone/>
                  <wp:docPr id="8" name="8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580437" id="8 Rectángulo" o:spid="_x0000_s1026" style="position:absolute;margin-left:139.9pt;margin-top:5.55pt;width:405.95pt;height: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VkPAMAAKUHAAAOAAAAZHJzL2Uyb0RvYy54bWysVdtO2zAYvp+0d7B8P3KggVKRogrENIkB&#10;okxcu45z0Bzbs52m3dvsWfZi+22nobAKoWk3iQ/ff/D3/f59frFpOVozbRopcpwcxRgxQWXRiCrH&#10;3x6vP00xMpaIgnApWI63zOCL+ccP572asVTWkhdMI3AizKxXOa6tVbMoMrRmLTFHUjEBm6XULbEw&#10;1VVUaNKD95ZHaRyfRL3UhdKSMmNg9Sps4rn3X5aM2ruyNMwinmPIzfqv9t+V+0bzczKrNFF1Q4c0&#10;yD9k0ZJGQNDR1RWxBHW6+ctV21AtjSztEZVtJMuyocyfAU6TxK9Os6yJYv4sQI5RI03m/7mlt+t7&#10;jZoixyCUIC1INEUPQNvvX6LquHQE9crMALdU93qYGRi6025K3bo/nANtPKnbkVS2sYjCYpZkWXaS&#10;YURhb5KdJmfOZ/RsrLSxn5lskRvkWENwTyVZ3xgboDvIwHBx3XDuxwYgYYCUBFqO0yxOvbWvIHbJ&#10;NVoT0J5QyoRNhtCV2Tc6Tc/i+JDRqgq+eNd+lUVwBFAAh7TGGP48L52mE4dzYUZUcOCcBvOXBgfB&#10;b6Wd+UwORHjLKHFG7wwFGlU7gnkjEHF3Gi6RoYQzqJiRTU1GRbhwCQnpFAqnDCvM38VBLdlZppd1&#10;0aMV7/QDAV9ZPIW0UNG4EjieQppuAhc1PQ0ZI8Ir6DCWY6SlfWps7W+HS8hFdBUyir3ihH73y4Sr&#10;mgTenR474Qa0l21Mxs/28oxc3YdK9yO75cyF4uKBlXBloLbfLDWvTE0KFuIHuQ4Vjnfo0CWQNvpO&#10;DhXPS2kHvDMNeY/G71B4tPCRpbCjcdsIqQ9F5+MFKgMeKNujxg1XsthCQwGJQqkoet2ANDfE2Hui&#10;obWCrvBc2Dv4lFz2OZbDCKNa6p+H1h0eOh7sYtRDq86x+dERzTDiXwRc+rNkMgG31k+gw6Qw0fs7&#10;q/0d0bWXEjpCAoWsqB86vOW7Yall+wSvysJFhS0iKMTOMbV6N7m04QmBd4myxcLDoJ8rYm/EUlHn&#10;3LHqyuxx80S0GnqbhaZ4K3dtncxetbiAdZZCLjory8b3v2deB77hLfDFOrxb7rHZn3vU8+s6/wMA&#10;AP//AwBQSwMEFAAGAAgAAAAhAA7W6SHgAAAACgEAAA8AAABkcnMvZG93bnJldi54bWxMj8FOwzAQ&#10;RO9I/IO1SFxQa7tItA1xqgoJ9QBCUPoBbrxNosbrEDtt4OvZnuC2q5mdfZOvRt+KE/axCWRATxUI&#10;pDK4hioDu8/nyQJETJacbQOhgW+MsCqur3KbuXCmDzxtUyU4hGJmDdQpdZmUsazR2zgNHRJrh9B7&#10;m3jtK+l6e+Zw38qZUg/S24b4Q207fKqxPG4HzxhvrdysN/rnS73E12P1PqjmcGfM7c24fgSRcEx/&#10;Zrjg8w0UzLQPA7koWgOz+ZLREwtag7gY1FLPQex5WtyDLHL5v0LxCwAA//8DAFBLAQItABQABgAI&#10;AAAAIQC2gziS/gAAAOEBAAATAAAAAAAAAAAAAAAAAAAAAABbQ29udGVudF9UeXBlc10ueG1sUEsB&#10;Ai0AFAAGAAgAAAAhADj9If/WAAAAlAEAAAsAAAAAAAAAAAAAAAAALwEAAF9yZWxzLy5yZWxzUEsB&#10;Ai0AFAAGAAgAAAAhAGekpWQ8AwAApQcAAA4AAAAAAAAAAAAAAAAALgIAAGRycy9lMm9Eb2MueG1s&#10;UEsBAi0AFAAGAAgAAAAhAA7W6SH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7C66BE" w:rsidRDefault="007C66B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896009" w:rsidRPr="00896009">
          <w:rPr>
            <w:rFonts w:ascii="Times New Roman" w:hAnsi="Times New Roman" w:cs="Times New Roman"/>
            <w:b/>
            <w:noProof/>
            <w:color w:val="1F497D" w:themeColor="text2"/>
            <w:lang w:val="es-ES"/>
          </w:rPr>
          <w:t>3</w:t>
        </w:r>
        <w:r w:rsidRPr="007D4651">
          <w:rPr>
            <w:rFonts w:ascii="Times New Roman" w:hAnsi="Times New Roman" w:cs="Times New Roman"/>
            <w:b/>
            <w:color w:val="1F497D" w:themeColor="text2"/>
          </w:rPr>
          <w:fldChar w:fldCharType="end"/>
        </w:r>
        <w:r>
          <w:rPr>
            <w:lang w:val="es-ES"/>
          </w:rPr>
          <w:t xml:space="preserve"> </w:t>
        </w:r>
      </w:p>
    </w:sdtContent>
  </w:sdt>
  <w:p w:rsidR="007C66BE" w:rsidRDefault="007C66BE" w:rsidP="007D4651">
    <w:pPr>
      <w:pStyle w:val="Piedepgina"/>
      <w:tabs>
        <w:tab w:val="clear" w:pos="4419"/>
        <w:tab w:val="clear" w:pos="8838"/>
        <w:tab w:val="left" w:pos="5777"/>
      </w:tabs>
    </w:pPr>
  </w:p>
  <w:p w:rsidR="007C66BE" w:rsidRDefault="007C66BE"/>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358082904"/>
      <w:docPartObj>
        <w:docPartGallery w:val="Page Numbers (Bottom of Page)"/>
        <w:docPartUnique/>
      </w:docPartObj>
    </w:sdtPr>
    <w:sdtEndPr/>
    <w:sdtContent>
      <w:p w:rsidR="007C66BE" w:rsidRDefault="007C66BE">
        <w:pPr>
          <w:pStyle w:val="Piedepgina"/>
          <w:jc w:val="right"/>
          <w:rPr>
            <w:lang w:val="es-ES"/>
          </w:rPr>
        </w:pPr>
      </w:p>
      <w:p w:rsidR="007C66BE" w:rsidRDefault="007C66BE"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08416" behindDoc="0" locked="0" layoutInCell="1" allowOverlap="1" wp14:anchorId="10286FE4" wp14:editId="7A5943F5">
                  <wp:simplePos x="0" y="0"/>
                  <wp:positionH relativeFrom="column">
                    <wp:posOffset>1759602</wp:posOffset>
                  </wp:positionH>
                  <wp:positionV relativeFrom="paragraph">
                    <wp:posOffset>70485</wp:posOffset>
                  </wp:positionV>
                  <wp:extent cx="5155565" cy="45719"/>
                  <wp:effectExtent l="38100" t="38100" r="64135" b="88265"/>
                  <wp:wrapNone/>
                  <wp:docPr id="32" name="32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2E13D4" id="32 Rectángulo" o:spid="_x0000_s1026" style="position:absolute;margin-left:138.55pt;margin-top:5.55pt;width:405.95pt;height:3.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tG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STFSJAWcjRJ0Q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A9YC0Y+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7C66BE" w:rsidRDefault="007C66B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725FE5" w:rsidRPr="00725FE5">
          <w:rPr>
            <w:rFonts w:ascii="Times New Roman" w:hAnsi="Times New Roman" w:cs="Times New Roman"/>
            <w:b/>
            <w:noProof/>
            <w:color w:val="1F497D" w:themeColor="text2"/>
            <w:lang w:val="es-ES"/>
          </w:rPr>
          <w:t>4</w:t>
        </w:r>
        <w:r w:rsidRPr="007D4651">
          <w:rPr>
            <w:rFonts w:ascii="Times New Roman" w:hAnsi="Times New Roman" w:cs="Times New Roman"/>
            <w:b/>
            <w:color w:val="1F497D" w:themeColor="text2"/>
          </w:rPr>
          <w:fldChar w:fldCharType="end"/>
        </w:r>
        <w:r>
          <w:rPr>
            <w:lang w:val="es-ES"/>
          </w:rPr>
          <w:t xml:space="preserve"> </w:t>
        </w:r>
      </w:p>
    </w:sdtContent>
  </w:sdt>
  <w:p w:rsidR="007C66BE" w:rsidRDefault="007C66BE" w:rsidP="007D4651">
    <w:pPr>
      <w:pStyle w:val="Piedepgina"/>
      <w:tabs>
        <w:tab w:val="clear" w:pos="4419"/>
        <w:tab w:val="clear" w:pos="8838"/>
        <w:tab w:val="left" w:pos="5777"/>
      </w:tabs>
    </w:pPr>
  </w:p>
  <w:p w:rsidR="007C66BE" w:rsidRDefault="007C66BE"/>
  <w:p w:rsidR="007C66BE" w:rsidRDefault="007C66BE"/>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057080796"/>
      <w:docPartObj>
        <w:docPartGallery w:val="Page Numbers (Bottom of Page)"/>
        <w:docPartUnique/>
      </w:docPartObj>
    </w:sdtPr>
    <w:sdtEndPr/>
    <w:sdtContent>
      <w:p w:rsidR="007C66BE" w:rsidRDefault="007C66BE">
        <w:pPr>
          <w:pStyle w:val="Piedepgina"/>
          <w:jc w:val="right"/>
          <w:rPr>
            <w:lang w:val="es-ES"/>
          </w:rPr>
        </w:pPr>
      </w:p>
      <w:p w:rsidR="007C66BE" w:rsidRDefault="007C66BE"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1552" behindDoc="0" locked="0" layoutInCell="1" allowOverlap="1" wp14:anchorId="61EB461F" wp14:editId="19EDF6B2">
                  <wp:simplePos x="0" y="0"/>
                  <wp:positionH relativeFrom="column">
                    <wp:posOffset>1776669</wp:posOffset>
                  </wp:positionH>
                  <wp:positionV relativeFrom="paragraph">
                    <wp:posOffset>70516</wp:posOffset>
                  </wp:positionV>
                  <wp:extent cx="5155565" cy="45719"/>
                  <wp:effectExtent l="38100" t="38100" r="64135" b="88265"/>
                  <wp:wrapNone/>
                  <wp:docPr id="16" name="1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2D1E99" id="16 Rectángulo" o:spid="_x0000_s1026" style="position:absolute;margin-left:139.9pt;margin-top:5.55pt;width:405.95pt;height:3.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3GPQMAAKcHAAAOAAAAZHJzL2Uyb0RvYy54bWysVd1O2zAUvp+0d7B8P5KUpkBFiioQ0yQG&#10;iDJx7TpOE82xPdv929vsWfZiO8dOQ2EVQtNukmP7O7/f8fH5xaaVZCWsa7QqaHaUUiIU12WjFgX9&#10;9nj96ZQS55kqmdRKFHQrHL2YfPxwvjZjMdC1lqWwBIwoN16bgtbem3GSOF6LlrkjbYSCw0rblnlY&#10;2kVSWrYG661MBmk6StbalsZqLpyD3at4SCfBflUJ7u+qyglPZEEhNh++Nnzn+E0m52y8sMzUDe/C&#10;YP8QRcsaBU57U1fMM7K0zV+m2oZb7XTlj7huE11VDRchB8gmS19lM6uZESEXKI4zfZnc/zPLb1f3&#10;ljQlcDeiRLEWOMpG5AEK9/uXWiylxhKtjRsDcmbubbdyIGK+m8q2+IdMyCaUdduXVWw84bCZZ3me&#10;j3JKOJwN85PsDG0mz8rGOv9Z6JagUFALzkMx2erG+QjdQboal9eNlEF2AIkCMRoKczzI00HQDj0k&#10;LqUlKwbsM86F8lnneuH2lU4GZ2l6SGm+iLbksv2qy2gIoACOYfU+Qj4vjQ6GiEM3PSoaQKNR/aXC&#10;QfBbYechkgMe3lLKUOmdroCjxa7AslGE4a2Ga+Q4kwJ7ZpeHZT0jUmFASiNDMcu4I8Jt7NjSSy/s&#10;rC7XZC6X9oGBrTw9hbBI2WALHJ9CmLiAqzo4iRETJhcwY7ykxGr/1Pg63A8MCD1ih/RkzyXj38M2&#10;k6Zmse7Ix464Dh1o64MJq704E+z72OlB8lsp0JVUD6KCSwO9/WarBWZqVoroP9J1qHGCQURXULTe&#10;dnaoeV5S2+FRNcbdK7+D4V4jeNbK98pto7Q95F32F6iKeCjZXmlQnOtyCyMFKIqtYvh1A9TcMOfv&#10;mYXhCrzCg+Hv4FNJvS6o7iRKam1/HtpHPMw8OKVkDcO6oO7HkllBifyi4NKfZcMhmPVhARNmAAu7&#10;fzLfP1HL9lLDRMigkQ0PIuK93ImV1e0TvCtT9ApHTHHwXVDu7W5x6eMjAi8TF9NpgMFEN8zfqJnh&#10;aByrim32uHli1nSzzcNQvNW7wc7Gr0ZcxKKm0tOl11UT5t9zXbt6w2sQmrV7ufC52V8H1PP7OvkD&#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DkCE3GPQMAAKc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7C66BE" w:rsidRDefault="007C66B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3E7CA7" w:rsidRPr="003E7CA7">
          <w:rPr>
            <w:rFonts w:ascii="Times New Roman" w:hAnsi="Times New Roman" w:cs="Times New Roman"/>
            <w:b/>
            <w:noProof/>
            <w:color w:val="1F497D" w:themeColor="text2"/>
            <w:lang w:val="es-ES"/>
          </w:rPr>
          <w:t>4</w:t>
        </w:r>
        <w:r w:rsidRPr="007D4651">
          <w:rPr>
            <w:rFonts w:ascii="Times New Roman" w:hAnsi="Times New Roman" w:cs="Times New Roman"/>
            <w:b/>
            <w:color w:val="1F497D" w:themeColor="text2"/>
          </w:rPr>
          <w:fldChar w:fldCharType="end"/>
        </w:r>
        <w:r>
          <w:rPr>
            <w:lang w:val="es-ES"/>
          </w:rPr>
          <w:t xml:space="preserve"> </w:t>
        </w:r>
      </w:p>
    </w:sdtContent>
  </w:sdt>
  <w:p w:rsidR="007C66BE" w:rsidRDefault="007C66BE" w:rsidP="007D4651">
    <w:pPr>
      <w:pStyle w:val="Piedepgina"/>
      <w:tabs>
        <w:tab w:val="clear" w:pos="4419"/>
        <w:tab w:val="clear" w:pos="8838"/>
        <w:tab w:val="left" w:pos="5777"/>
      </w:tabs>
    </w:pPr>
  </w:p>
  <w:p w:rsidR="007C66BE" w:rsidRDefault="007C66BE"/>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2100707382"/>
      <w:docPartObj>
        <w:docPartGallery w:val="Page Numbers (Bottom of Page)"/>
        <w:docPartUnique/>
      </w:docPartObj>
    </w:sdtPr>
    <w:sdtEndPr/>
    <w:sdtContent>
      <w:p w:rsidR="007C66BE" w:rsidRDefault="007C66BE">
        <w:pPr>
          <w:pStyle w:val="Piedepgina"/>
          <w:jc w:val="right"/>
          <w:rPr>
            <w:lang w:val="es-ES"/>
          </w:rPr>
        </w:pPr>
      </w:p>
      <w:p w:rsidR="007C66BE" w:rsidRDefault="007C66BE"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28896" behindDoc="0" locked="0" layoutInCell="1" allowOverlap="1" wp14:anchorId="0D8D021A" wp14:editId="759663B4">
                  <wp:simplePos x="0" y="0"/>
                  <wp:positionH relativeFrom="column">
                    <wp:posOffset>1751347</wp:posOffset>
                  </wp:positionH>
                  <wp:positionV relativeFrom="paragraph">
                    <wp:posOffset>72390</wp:posOffset>
                  </wp:positionV>
                  <wp:extent cx="5155565" cy="45719"/>
                  <wp:effectExtent l="38100" t="38100" r="64135" b="88265"/>
                  <wp:wrapNone/>
                  <wp:docPr id="55"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BC3373" id="23 Rectángulo" o:spid="_x0000_s1026" style="position:absolute;margin-left:137.9pt;margin-top:5.7pt;width:405.95pt;height:3.6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PQPQMAAKcHAAAOAAAAZHJzL2Uyb0RvYy54bWysVdlO3DAUfa/Uf7D8XrIwYRmRQSMQVSUK&#10;iKHi2eM4k6iO7dqehf5Nv6U/1nvtTBjoCKGqL8m1fe7icxefnW86SVbCularkmYHKSVCcV21alHS&#10;bw9Xn04ocZ6pikmtREmfhKPnk48fztZmLHLdaFkJS8CIcuO1KWnjvRknieON6Jg70EYoOKy17ZiH&#10;pV0klWVrsN7JJE/To2StbWWs5sI52L2Mh3QS7Ne14P62rp3wRJYUYvPha8N3jt9kcsbGC8tM0/I+&#10;DPYPUXSsVeB0MHXJPCNL2/5lqmu51U7X/oDrLtF13XIR7gC3ydJXt5k1zIhwFyDHmYEm9//M8pvV&#10;nSVtVdKioESxDnKUH5J7IO73L7VYSo0UrY0bA3Jm7my/ciDifTe17fAPNyGbQOvTQKvYeMJhs8iK&#10;ojgC8xzORsVxdoo2k2dlY53/LHRHUCipBeeBTLa6dj5Ct5Ce4+qqlTLIDiBRIEYDMYd5keZBO9SQ&#10;uJCWrBhkn3EulM961wu3q3Scn6bpPqX5ItqSy+6rrqIhgAI4hjX4CPd5aTQfIQ7dDKhoAI1G9ZcK&#10;e8FvhV2ESPZ4eEspQ6V3uoIcLbYEy1YRhl0NbeQ4kwJqZmDTsiEjUmFASmOG4i3jjgjd2GdLL72w&#10;s6Zak7lc2nuG9ZeeQFikarEEDk8gTFxAq+bHMWLC5AJmjJeUWO0fW9+E/sCA0CNWyJDsuWT8e9hm&#10;0jQs8o752CauR4e0DcGE1U6cCdZ9rPQg+Scp0JVU96KGpoHafrPUQmYaVonoP6ZrX+EEg4iugbTB&#10;draveF6mtsejaox7UH5HhgeN4FkrPyh3rdJ2n3c5NFAd8UDZDjUoznX1BCMFUhRLxfCrFlJzzZy/&#10;YxaGK+QVHgx/C59a6nVJdS9R0mj7c98+4mHmwSklaxjWJXU/lswKSuQXBU1/mo1GYNaHBUyYHBZ2&#10;92S+e6KW3YWGiZBBIRseRMR7uRVrq7tHeFem6BWOmOLgu6Tc2+3iwsdHBF4mLqbTAIOJbpi/VjPD&#10;0TiyimX2sHlk1vSzzcNQvNHbwc7Gr0ZcxKKm0tOl13Ub5t8zrz3f8BqEYu1fLnxudtcB9fy+Tv4A&#10;AAD//wMAUEsDBBQABgAIAAAAIQBpdYL74AAAAAoBAAAPAAAAZHJzL2Rvd25yZXYueG1sTI/BTsMw&#10;EETvSPyDtUhcUGungiYKcaoKCfUAQlD6AW68TaLG6xA7beDr2Z7gtquZnX1TrCbXiRMOofWkIZkr&#10;EEiVty3VGnafz7MMRIiGrOk8oYZvDLAqr68Kk1t/pg88bWMtOIRCbjQ0Mfa5lKFq0Jkw9z0Sawc/&#10;OBN5HWppB3PmcNfJhVJL6UxL/KExPT41WB23o2OMt05u1pvk50u9hNdj/T6q9nCn9e3NtH4EEXGK&#10;f2a44PMNlMy09yPZIDoNi/SB0SMLyT2Ii0FlaQpiz1O2BFkW8n+F8hcAAP//AwBQSwECLQAUAAYA&#10;CAAAACEAtoM4kv4AAADhAQAAEwAAAAAAAAAAAAAAAAAAAAAAW0NvbnRlbnRfVHlwZXNdLnhtbFBL&#10;AQItABQABgAIAAAAIQA4/SH/1gAAAJQBAAALAAAAAAAAAAAAAAAAAC8BAABfcmVscy8ucmVsc1BL&#10;AQItABQABgAIAAAAIQCNsmPQPQMAAKcHAAAOAAAAAAAAAAAAAAAAAC4CAABkcnMvZTJvRG9jLnht&#10;bFBLAQItABQABgAIAAAAIQBpdYL7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7C66BE" w:rsidRDefault="007C66B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896009" w:rsidRPr="00896009">
          <w:rPr>
            <w:rFonts w:ascii="Times New Roman" w:hAnsi="Times New Roman" w:cs="Times New Roman"/>
            <w:b/>
            <w:noProof/>
            <w:color w:val="1F497D" w:themeColor="text2"/>
            <w:lang w:val="es-ES"/>
          </w:rPr>
          <w:t>6</w:t>
        </w:r>
        <w:r w:rsidRPr="007D4651">
          <w:rPr>
            <w:rFonts w:ascii="Times New Roman" w:hAnsi="Times New Roman" w:cs="Times New Roman"/>
            <w:b/>
            <w:color w:val="1F497D" w:themeColor="text2"/>
          </w:rPr>
          <w:fldChar w:fldCharType="end"/>
        </w:r>
        <w:r>
          <w:rPr>
            <w:lang w:val="es-ES"/>
          </w:rPr>
          <w:t xml:space="preserve"> </w:t>
        </w:r>
      </w:p>
    </w:sdtContent>
  </w:sdt>
  <w:p w:rsidR="007C66BE" w:rsidRDefault="007C66BE" w:rsidP="007D4651">
    <w:pPr>
      <w:pStyle w:val="Piedepgina"/>
      <w:tabs>
        <w:tab w:val="clear" w:pos="4419"/>
        <w:tab w:val="clear" w:pos="8838"/>
        <w:tab w:val="left" w:pos="5777"/>
      </w:tabs>
    </w:pPr>
  </w:p>
  <w:p w:rsidR="007C66BE" w:rsidRDefault="007C66BE"/>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2025312370"/>
      <w:docPartObj>
        <w:docPartGallery w:val="Page Numbers (Bottom of Page)"/>
        <w:docPartUnique/>
      </w:docPartObj>
    </w:sdtPr>
    <w:sdtEndPr/>
    <w:sdtContent>
      <w:p w:rsidR="007C66BE" w:rsidRDefault="007C66BE">
        <w:pPr>
          <w:pStyle w:val="Piedepgina"/>
          <w:jc w:val="right"/>
          <w:rPr>
            <w:lang w:val="es-ES"/>
          </w:rPr>
        </w:pPr>
      </w:p>
      <w:p w:rsidR="007C66BE" w:rsidRDefault="007C66BE"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5648" behindDoc="0" locked="0" layoutInCell="1" allowOverlap="1" wp14:anchorId="46E734F0" wp14:editId="2EE6B2A1">
                  <wp:simplePos x="0" y="0"/>
                  <wp:positionH relativeFrom="column">
                    <wp:posOffset>1751347</wp:posOffset>
                  </wp:positionH>
                  <wp:positionV relativeFrom="paragraph">
                    <wp:posOffset>72390</wp:posOffset>
                  </wp:positionV>
                  <wp:extent cx="5155565" cy="45719"/>
                  <wp:effectExtent l="38100" t="38100" r="64135" b="88265"/>
                  <wp:wrapNone/>
                  <wp:docPr id="23"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CE973B" id="23 Rectángulo" o:spid="_x0000_s1026" style="position:absolute;margin-left:137.9pt;margin-top:5.7pt;width:405.95pt;height: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Ke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cTrBSJAWcpRO0A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aXWC++AAAAAKAQAADwAAAGRycy9kb3ducmV2LnhtbEyPwU7D&#10;MBBE70j8g7VIXFBrp4ImCnGqCgn1AEJQ+gFuvE2ixusQO23g69me4LarmZ19U6wm14kTDqH1pCGZ&#10;KxBIlbct1Rp2n8+zDESIhqzpPKGGbwywKq+vCpNbf6YPPG1jLTiEQm40NDH2uZShatCZMPc9EmsH&#10;PzgTeR1qaQdz5nDXyYVSS+lMS/yhMT0+NVgdt6NjjLdObtab5OdLvYTXY/0+qvZwp/XtzbR+BBFx&#10;in9muODzDZTMtPcj2SA6DYv0gdEjC8k9iItBZWkKYs9TtgRZFvJ/hfIXAAD//wMAUEsBAi0AFAAG&#10;AAgAAAAhALaDOJL+AAAA4QEAABMAAAAAAAAAAAAAAAAAAAAAAFtDb250ZW50X1R5cGVzXS54bWxQ&#10;SwECLQAUAAYACAAAACEAOP0h/9YAAACUAQAACwAAAAAAAAAAAAAAAAAvAQAAX3JlbHMvLnJlbHNQ&#10;SwECLQAUAAYACAAAACEAYItCnj4DAACnBwAADgAAAAAAAAAAAAAAAAAuAgAAZHJzL2Uyb0RvYy54&#10;bWxQSwECLQAUAAYACAAAACEAaXWC++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7C66BE" w:rsidRDefault="007C66B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896009" w:rsidRPr="00896009">
          <w:rPr>
            <w:rFonts w:ascii="Times New Roman" w:hAnsi="Times New Roman" w:cs="Times New Roman"/>
            <w:b/>
            <w:noProof/>
            <w:color w:val="1F497D" w:themeColor="text2"/>
            <w:lang w:val="es-ES"/>
          </w:rPr>
          <w:t>8</w:t>
        </w:r>
        <w:r w:rsidRPr="007D4651">
          <w:rPr>
            <w:rFonts w:ascii="Times New Roman" w:hAnsi="Times New Roman" w:cs="Times New Roman"/>
            <w:b/>
            <w:color w:val="1F497D" w:themeColor="text2"/>
          </w:rPr>
          <w:fldChar w:fldCharType="end"/>
        </w:r>
        <w:r>
          <w:rPr>
            <w:lang w:val="es-ES"/>
          </w:rPr>
          <w:t xml:space="preserve"> </w:t>
        </w:r>
      </w:p>
    </w:sdtContent>
  </w:sdt>
  <w:p w:rsidR="007C66BE" w:rsidRDefault="007C66BE" w:rsidP="007D4651">
    <w:pPr>
      <w:pStyle w:val="Piedepgina"/>
      <w:tabs>
        <w:tab w:val="clear" w:pos="4419"/>
        <w:tab w:val="clear" w:pos="8838"/>
        <w:tab w:val="left" w:pos="5777"/>
      </w:tabs>
    </w:pPr>
  </w:p>
  <w:p w:rsidR="007C66BE" w:rsidRDefault="007C66BE"/>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567338240"/>
      <w:docPartObj>
        <w:docPartGallery w:val="Page Numbers (Bottom of Page)"/>
        <w:docPartUnique/>
      </w:docPartObj>
    </w:sdtPr>
    <w:sdtEndPr/>
    <w:sdtContent>
      <w:p w:rsidR="007C66BE" w:rsidRDefault="007C66BE">
        <w:pPr>
          <w:pStyle w:val="Piedepgina"/>
          <w:jc w:val="right"/>
          <w:rPr>
            <w:lang w:val="es-ES"/>
          </w:rPr>
        </w:pPr>
      </w:p>
      <w:p w:rsidR="007C66BE" w:rsidRDefault="007C66BE"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9744" behindDoc="0" locked="0" layoutInCell="1" allowOverlap="1" wp14:anchorId="7CB2AAEF" wp14:editId="6D549B44">
                  <wp:simplePos x="0" y="0"/>
                  <wp:positionH relativeFrom="column">
                    <wp:posOffset>1759602</wp:posOffset>
                  </wp:positionH>
                  <wp:positionV relativeFrom="paragraph">
                    <wp:posOffset>70485</wp:posOffset>
                  </wp:positionV>
                  <wp:extent cx="5155565" cy="45719"/>
                  <wp:effectExtent l="38100" t="38100" r="64135" b="88265"/>
                  <wp:wrapNone/>
                  <wp:docPr id="26"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723F3E" id="26 Rectángulo" o:spid="_x0000_s1026" style="position:absolute;margin-left:138.55pt;margin-top:5.55pt;width:405.95pt;height:3.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QAPgMAAKcHAAAOAAAAZHJzL2Uyb0RvYy54bWysVdtO2zAYvp+0d7B8P3KgKVCRogrENIkB&#10;okxcu45z0Bzbs52m3dvsWfZi+22nobAKoWk3yW/7+w/+/oPPLzYtR2umTSNFjpOjGCMmqCwaUeX4&#10;2+P1p1OMjCWiIFwKluMtM/hi/vHDea9mLJW15AXTCIwIM+tVjmtr1SyKDK1ZS8yRVEzAYSl1Syws&#10;dRUVmvRgveVRGsfTqJe6UFpSZgzsXoVDPPf2y5JRe1eWhlnEcwyxWf/V/rty32h+TmaVJqpu6BAG&#10;+YcoWtIIcDqauiKWoE43f5lqG6qlkaU9orKNZFk2lPk7wG2S+NVtljVRzN8FyDFqpMn8P7P0dn2v&#10;UVPkOJ1iJEgLOUqn6AGI+/1LVB2XjqJemRkgl+peDysDorvvptSt+8NN0MbTuh1pZRuLKGxmSZZl&#10;0wwjCmeT7CQ5czajZ2Wljf3MZIuckGMNzj2ZZH1jbIDuIAPHxXXDuZcNQIKAlARijtMsTr22ryF2&#10;yTVaE8g+oZQJmwyuK7OvdJKexfEhpVUVbPGu/SqLYAigAA5hjT78fV4aTScO59yMqGDAGQ3qLxUO&#10;gt8KO/ORHPDwllLilN7pCnJU7QjmjUDEdTW0kaGEM6iZkU1Nxoxw4QIS0mUo3DLsMN+NQ7ZkZ5le&#10;1kWPVrzTDwRsZfEphIWKxpXA8SmE6RbQqulJiBgRXsGMsRwjLe1TY2vfHy4g59FVyJjsFSf0u98m&#10;XNUk8O7ysUvcgPZpG4Pxq704I1f3odK9ZLecOVdcPLASmgZq+81S85mpScGC/5CuQ4XjDTp0CaSN&#10;tpNDxfMytQPeqYa4R+V3ZHjU8J6lsKNy2wipD3nnYwOVAQ+U7VHjxJUstjBSIEWhVBS9biA1N8TY&#10;e6JhuEJe4cGwd/ApuexzLAcJo1rqn4f2HR5mHpxi1MOwzrH50RHNMOJfBDT9WTKZgF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C4DNAA+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7C66BE" w:rsidRDefault="007C66B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725FE5" w:rsidRPr="00725FE5">
          <w:rPr>
            <w:rFonts w:ascii="Times New Roman" w:hAnsi="Times New Roman" w:cs="Times New Roman"/>
            <w:b/>
            <w:noProof/>
            <w:color w:val="1F497D" w:themeColor="text2"/>
            <w:lang w:val="es-ES"/>
          </w:rPr>
          <w:t>10</w:t>
        </w:r>
        <w:r w:rsidRPr="007D4651">
          <w:rPr>
            <w:rFonts w:ascii="Times New Roman" w:hAnsi="Times New Roman" w:cs="Times New Roman"/>
            <w:b/>
            <w:color w:val="1F497D" w:themeColor="text2"/>
          </w:rPr>
          <w:fldChar w:fldCharType="end"/>
        </w:r>
        <w:r>
          <w:rPr>
            <w:lang w:val="es-ES"/>
          </w:rPr>
          <w:t xml:space="preserve"> </w:t>
        </w:r>
      </w:p>
    </w:sdtContent>
  </w:sdt>
  <w:p w:rsidR="007C66BE" w:rsidRDefault="007C66BE" w:rsidP="007D4651">
    <w:pPr>
      <w:pStyle w:val="Piedepgina"/>
      <w:tabs>
        <w:tab w:val="clear" w:pos="4419"/>
        <w:tab w:val="clear" w:pos="8838"/>
        <w:tab w:val="left" w:pos="5777"/>
      </w:tabs>
    </w:pPr>
  </w:p>
  <w:p w:rsidR="007C66BE" w:rsidRDefault="007C66BE"/>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247607362"/>
      <w:docPartObj>
        <w:docPartGallery w:val="Page Numbers (Bottom of Page)"/>
        <w:docPartUnique/>
      </w:docPartObj>
    </w:sdtPr>
    <w:sdtEndPr/>
    <w:sdtContent>
      <w:p w:rsidR="007C66BE" w:rsidRDefault="007C66BE">
        <w:pPr>
          <w:pStyle w:val="Piedepgina"/>
          <w:jc w:val="right"/>
          <w:rPr>
            <w:lang w:val="es-ES"/>
          </w:rPr>
        </w:pPr>
      </w:p>
      <w:p w:rsidR="007C66BE" w:rsidRDefault="007C66BE" w:rsidP="00AF4290">
        <w:pPr>
          <w:pStyle w:val="Piedepgina"/>
          <w:tabs>
            <w:tab w:val="left" w:pos="2694"/>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24800" behindDoc="0" locked="0" layoutInCell="1" allowOverlap="1" wp14:anchorId="120B0FC9" wp14:editId="4D6948A4">
                  <wp:simplePos x="0" y="0"/>
                  <wp:positionH relativeFrom="column">
                    <wp:posOffset>1776669</wp:posOffset>
                  </wp:positionH>
                  <wp:positionV relativeFrom="paragraph">
                    <wp:posOffset>70516</wp:posOffset>
                  </wp:positionV>
                  <wp:extent cx="5155565" cy="45719"/>
                  <wp:effectExtent l="38100" t="38100" r="64135" b="88265"/>
                  <wp:wrapNone/>
                  <wp:docPr id="7" name="24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9FA443" id="24 Rectángulo" o:spid="_x0000_s1026" style="position:absolute;margin-left:139.9pt;margin-top:5.55pt;width:405.95pt;height:3.6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NYPQMAAKYHAAAOAAAAZHJzL2Uyb0RvYy54bWysVdtO2zAYvp+0d7B8P3KgoVCRogrENIkB&#10;okxcu45z0Bzbs52m3dvsWfZi+22nobAKoWk3yW/7+w/+/oPPLzYtR2umTSNFjpOjGCMmqCwaUeX4&#10;2+P1p1OMjCWiIFwKluMtM/hi/vHDea9mLJW15AXTCIwIM+tVjmtr1SyKDK1ZS8yRVEzAYSl1Syws&#10;dRUVmvRgveVRGscnUS91obSkzBjYvQqHeO7tlyWj9q4sDbOI5xhis/6r/XflvtH8nMwqTVTd0CEM&#10;8g9RtKQR4HQ0dUUsQZ1u/jLVNlRLI0t7RGUbybJsKPN3gNsk8avbLGuimL8LkGPUSJP5f2bp7fpe&#10;o6bI8RQjQVpIUTpBD8Db71+i6rh0DPXKzAC4VPd6WBkQ3XU3pW7dHy6CNp7V7cgq21hEYTNLsiw7&#10;yTCicDbJpsmZsxk9Kytt7GcmW+SEHGtw7rkk6xtjA3QHGSgurhvOvWwAEgSkJPBynGZx6rV9CbFL&#10;rtGaQPIJpUzYZHBdmX2laXoWx4eUVlWwxbv2qyyCIYACOIQ1+vD3eWk0nTicczOiggFnNKi/VDgI&#10;fivszEdywMNbSolTeqcryFG1I5g3AhHX1NBFhhLOoGRGNjUZM8KFC0hIl6Fwy7DDfDMO2ZKdZXpZ&#10;Fz1a8U4/ELCVxacQFioaVwLHpxCmW0CnptMQMSK8ghFjOUZa2qfG1r49XEDOo6uQMdkrTuh3v024&#10;qkng3eVjl7gB7dM2BuNXe3FGru5DpXvJbjlzrrh4YCX0DNT2m6XmM1OTggX/IV2HCscbdOgSSBtt&#10;J4eK52VqB7xTDXGPyu/I8KjhPUthR+W2EVIf8s7HBioDHijbo8aJK1lsYaJAikKpKHrdQGpuiLH3&#10;RMNshbzCe2Hv4FNy2edYDhJGtdQ/D+07PIw8OMWoh1mdY/OjI5phxL8IaPqzZDIBs9YvYMKksND7&#10;J6v9E9G1lxImQgKFrKgXHd7ynVhq2T7Bs7JwXuGICAq+c0yt3i0ubXhD4GGibLHwMBjoitgbsVTU&#10;GXesujJ73DwRrYbZZmEo3srdXCezVyMuYJ2mkIvOyrLx8++Z14FveAx8sQ4Pl3tt9tce9fy8zv8A&#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CTfsNYPQMAAKY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7C66BE" w:rsidRDefault="007C66B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896009" w:rsidRPr="00896009">
          <w:rPr>
            <w:rFonts w:ascii="Times New Roman" w:hAnsi="Times New Roman" w:cs="Times New Roman"/>
            <w:b/>
            <w:noProof/>
            <w:color w:val="1F497D" w:themeColor="text2"/>
            <w:lang w:val="es-ES"/>
          </w:rPr>
          <w:t>10</w:t>
        </w:r>
        <w:r w:rsidRPr="007D4651">
          <w:rPr>
            <w:rFonts w:ascii="Times New Roman" w:hAnsi="Times New Roman" w:cs="Times New Roman"/>
            <w:b/>
            <w:color w:val="1F497D" w:themeColor="text2"/>
          </w:rPr>
          <w:fldChar w:fldCharType="end"/>
        </w:r>
        <w:r>
          <w:rPr>
            <w:lang w:val="es-ES"/>
          </w:rPr>
          <w:t xml:space="preserve"> </w:t>
        </w:r>
      </w:p>
    </w:sdtContent>
  </w:sdt>
  <w:p w:rsidR="007C66BE" w:rsidRDefault="007C66BE" w:rsidP="007D4651">
    <w:pPr>
      <w:pStyle w:val="Piedepgina"/>
      <w:tabs>
        <w:tab w:val="clear" w:pos="4419"/>
        <w:tab w:val="clear" w:pos="8838"/>
        <w:tab w:val="left" w:pos="5777"/>
      </w:tabs>
    </w:pPr>
  </w:p>
  <w:p w:rsidR="007C66BE" w:rsidRDefault="007C66BE"/>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476265944"/>
      <w:docPartObj>
        <w:docPartGallery w:val="Page Numbers (Bottom of Page)"/>
        <w:docPartUnique/>
      </w:docPartObj>
    </w:sdtPr>
    <w:sdtEndPr/>
    <w:sdtContent>
      <w:p w:rsidR="007C66BE" w:rsidRDefault="007C66BE">
        <w:pPr>
          <w:pStyle w:val="Piedepgina"/>
          <w:jc w:val="right"/>
          <w:rPr>
            <w:lang w:val="es-ES"/>
          </w:rPr>
        </w:pPr>
      </w:p>
      <w:p w:rsidR="007C66BE" w:rsidRDefault="007C66BE"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37088" behindDoc="0" locked="0" layoutInCell="1" allowOverlap="1" wp14:anchorId="32F389A7" wp14:editId="43F48823">
                  <wp:simplePos x="0" y="0"/>
                  <wp:positionH relativeFrom="column">
                    <wp:posOffset>1776669</wp:posOffset>
                  </wp:positionH>
                  <wp:positionV relativeFrom="paragraph">
                    <wp:posOffset>70516</wp:posOffset>
                  </wp:positionV>
                  <wp:extent cx="5155565" cy="45719"/>
                  <wp:effectExtent l="38100" t="38100" r="64135" b="88265"/>
                  <wp:wrapNone/>
                  <wp:docPr id="21"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E8225D" id="39 Rectángulo" o:spid="_x0000_s1026" style="position:absolute;margin-left:139.9pt;margin-top:5.55pt;width:405.95pt;height:3.6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bPPgMAAKcHAAAOAAAAZHJzL2Uyb0RvYy54bWysVdtO2zAYvp+0d7B8P3KgAVqRogrENIkB&#10;okxcu45z0Bzbs52m3dvsWfZi+22nobAKoWk3yW/7+w/+/oPPLzYtR2umTSNFjpOjGCMmqCwaUeX4&#10;2+P1pzOMjCWiIFwKluMtM/hi/vHDea9mLJW15AXTCIwIM+tVjmtr1SyKDK1ZS8yRVEzAYSl1Syws&#10;dRUVmvRgveVRGscnUS91obSkzBjYvQqHeO7tlyWj9q4sDbOI5xhis/6r/XflvtH8nMwqTVTd0CEM&#10;8g9RtKQR4HQ0dUUsQZ1u/jLVNlRLI0t7RGUbybJsKPN3gNsk8avbLGuimL8LkGPUSJP5f2bp7fpe&#10;o6bIcZpgJEgLOTqeogcg7vcvUXVcOop6ZWaAXKp7PawMiO6+m1K37g83QRtP63aklW0sorCZJVmW&#10;nWQYUTibZKfJ1NmMnpWVNvYzky1yQo41OPdkkvWNsQG6gwwcF9cN5142AAkCUhKIOU6zOPXavobY&#10;JddoTSD7hFImbDK4rsy+0mk6jeNDSqsq2OJd+1UWwRBAARzCGn34+7w0mk4czrkZUcGAMxrUXyoc&#10;BL8VduYjOeDhLaXEKb3TFeSo2hHMG4GI62poI0MJZ1AzI5uajBnhwgUkpMtQuGXYYb4bh2zJzjK9&#10;rIserXinHwjYyuIzCAsVjSuB4zMI0y2gVdPTEDEivIIZYzlGWtqnxta+P1xAzqOrkDHZK07od79N&#10;uKpJ4N3lY5e4Ae3TNgbjV3txRq7uQ6V7yW45c664eGAlNA3U9pul5jNTk4IF/yFdhwrHG3ToEkgb&#10;bSeHiudlage8Uw1xj8rvyPCo4T1LYUflthFSH/LOxwYqAx4o26PGiStZbGGkQIpCqSh63UBqboix&#10;90TDcIW8woNh7+BTctnnWA4SRrXUPw/tOzzMPDjFqIdhnWPzoyOaYcS/CGj6aTKZgFnrFzBhUljo&#10;/ZPV/ono2ksJEwEGnlHUiw5v+U4stWyf4F1ZOK9wRAQF3zmmVu8WlzY8IvAyUbZYeBhMdEXsjVgq&#10;6ow7Vl2ZPW6eiFbDbLMwFG/lbrCT2asRF7BOU8hFZ2XZ+Pn3zOvAN7wGvliHl8s9N/trj3p+X+d/&#10;AA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Tl8mz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7C66BE" w:rsidRDefault="007C66B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Pr="009F1C07">
          <w:rPr>
            <w:rFonts w:ascii="Times New Roman" w:hAnsi="Times New Roman" w:cs="Times New Roman"/>
            <w:b/>
            <w:noProof/>
            <w:color w:val="1F497D" w:themeColor="text2"/>
            <w:lang w:val="es-ES"/>
          </w:rPr>
          <w:t>10</w:t>
        </w:r>
        <w:r w:rsidRPr="007D4651">
          <w:rPr>
            <w:rFonts w:ascii="Times New Roman" w:hAnsi="Times New Roman" w:cs="Times New Roman"/>
            <w:b/>
            <w:color w:val="1F497D" w:themeColor="text2"/>
          </w:rPr>
          <w:fldChar w:fldCharType="end"/>
        </w:r>
        <w:r>
          <w:rPr>
            <w:lang w:val="es-ES"/>
          </w:rPr>
          <w:t xml:space="preserve"> </w:t>
        </w:r>
      </w:p>
    </w:sdtContent>
  </w:sdt>
  <w:p w:rsidR="007C66BE" w:rsidRDefault="007C66BE" w:rsidP="007D4651">
    <w:pPr>
      <w:pStyle w:val="Piedepgina"/>
      <w:tabs>
        <w:tab w:val="clear" w:pos="4419"/>
        <w:tab w:val="clear" w:pos="8838"/>
        <w:tab w:val="left" w:pos="5777"/>
      </w:tabs>
    </w:pPr>
  </w:p>
  <w:p w:rsidR="007C66BE" w:rsidRDefault="007C66B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5375" w:rsidRDefault="00645375" w:rsidP="007D4651">
      <w:pPr>
        <w:spacing w:after="0" w:line="240" w:lineRule="auto"/>
      </w:pPr>
      <w:r>
        <w:separator/>
      </w:r>
    </w:p>
  </w:footnote>
  <w:footnote w:type="continuationSeparator" w:id="0">
    <w:p w:rsidR="00645375" w:rsidRDefault="00645375" w:rsidP="007D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6BE" w:rsidRPr="007D4651" w:rsidRDefault="007C66BE" w:rsidP="00BD3A7C">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39136" behindDoc="0" locked="0" layoutInCell="1" allowOverlap="1" wp14:anchorId="6B2CAE71" wp14:editId="2C2D0F4D">
          <wp:simplePos x="0" y="0"/>
          <wp:positionH relativeFrom="column">
            <wp:posOffset>0</wp:posOffset>
          </wp:positionH>
          <wp:positionV relativeFrom="paragraph">
            <wp:posOffset>-635</wp:posOffset>
          </wp:positionV>
          <wp:extent cx="1598212" cy="723976"/>
          <wp:effectExtent l="0" t="0" r="2540" b="0"/>
          <wp:wrapNone/>
          <wp:docPr id="5" name="Imagen 5"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7C66BE" w:rsidRDefault="007C66BE"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Junio 2020</w:t>
    </w:r>
  </w:p>
  <w:p w:rsidR="007C66BE" w:rsidRDefault="007C66BE"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14560" behindDoc="0" locked="0" layoutInCell="1" allowOverlap="1" wp14:anchorId="57B0D3F7" wp14:editId="35C08026">
              <wp:simplePos x="0" y="0"/>
              <wp:positionH relativeFrom="column">
                <wp:posOffset>1720884</wp:posOffset>
              </wp:positionH>
              <wp:positionV relativeFrom="paragraph">
                <wp:posOffset>7980</wp:posOffset>
              </wp:positionV>
              <wp:extent cx="5155894" cy="45719"/>
              <wp:effectExtent l="38100" t="38100" r="64135" b="88265"/>
              <wp:wrapNone/>
              <wp:docPr id="11" name="1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115008" id="11 Rectángulo" o:spid="_x0000_s1026" style="position:absolute;margin-left:135.5pt;margin-top:.65pt;width:406pt;height:3.6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z0PgMAAKcHAAAOAAAAZHJzL2Uyb0RvYy54bWysVd1O2zAUvp+0d7B8P9KUdrQVKapATJPY&#10;QJSJa9dxfjTH9my3afc2e5a92M6x01BYhdC0m+TY/s7vd3x8frFtJNkI62qtMpqeDCgRiuu8VmVG&#10;vz1cf5hQ4jxTOZNaiYzuhKMX8/fvzlszE0NdaZkLS8CIcrPWZLTy3sySxPFKNMydaCMUHBbaNszD&#10;0pZJblkL1huZDAeDj0mrbW6s5sI52L2Kh3Qe7BeF4P62KJzwRGYUYvPha8N3hd9kfs5mpWWmqnkX&#10;BvuHKBpWK3Dam7pinpG1rf8y1dTcaqcLf8J1k+iiqLkIOUA26eBFNsuKGRFygeI405fJ/T+z/Ovm&#10;zpI6B+5SShRrgKM0JfdQuN+/VLmWGkvUGjcD5NLc2W7lQMR8t4Vt8A+ZkG0o664vq9h6wmFznI7H&#10;k+mIEg5no/FZOkWbyZOysc5/ErohKGTUgvNQTLa5cT5C95Cuxvl1LWWQHUCiQIyGwpwOx4Nh0A49&#10;JC6lJRsG7DPOhfJp57p0h0pnw+lgcExpVUZbct180Xk0BFAAx7B6HyGf50aHI8Shmx4VDaDRqP5c&#10;4Sj4tbDHIZIjHl5TSlHpja6Ao3JfYFkrwvBWwzVynEmBPbPPw7KeEakwIKWRoZhl3BHhNnZs6bUX&#10;dlnlLVnJtb1nYGs8mEBYJK+xBU4nECYu4KoOz2LEhMkSZoyXlFjtH2tfhfuBAaFH7JCe7JVk/HvY&#10;ZtJULNYd+dgT16EDbX0wYXUQZ4J9Hzs9SH4nBbqS6l4UcGmgt19ttcBMxXIR/Ue6jjVOMIjoAorW&#10;206PNc9zajs8qsa4e+U3MNxrBM9a+V65qZW2x7zL/gIVEQ8lOygNiiud72CkAEWxVQy/roGaG+b8&#10;HbMwXIFXeDD8LXwKqduM6k6ipNL257F9xMPMg1NKWhjWGXU/1swKSuRnBZd+mo5GYNaHBUyYISzs&#10;4cnq8EStm0sNEwEGnjM8iIj3ci8WVjeP8K4s0CscMcXBd0a5t/vFpY+PCLxMXCwWAQYT3TB/o5aG&#10;o3GsKrbZw/aRWdPNNg9D8aveD3Y2ezHiIhY1lV6svS7qMP+e6trVG16D0Kzdy4XPzeE6oJ7e1/kf&#10;AAAA//8DAFBLAwQUAAYACAAAACEA0E7Bwd4AAAAIAQAADwAAAGRycy9kb3ducmV2LnhtbEyPwU7D&#10;MBBE70j8g7VIXBC10wqIQpyqQkI9gFApfIAbb5Oo9jrEThv4erYnOO7O7Oybcjl5J444xC6Qhmym&#10;QCDVwXbUaPj8eL7NQcRkyBoXCDV8Y4RldXlRmsKGE73jcZsawSEUC6OhTakvpIx1i97EWeiRWNuH&#10;wZvE49BIO5gTh3sn50rdS2864g+t6fGpxfqwHT1jvDm5Xq2zny/1El8PzWZU3f5G6+urafUIIuGU&#10;/sxwxucbqJhpF0ayUTgN84eMuyQWFiDOusoXvNhpyO9AVqX8X6D6BQAA//8DAFBLAQItABQABgAI&#10;AAAAIQC2gziS/gAAAOEBAAATAAAAAAAAAAAAAAAAAAAAAABbQ29udGVudF9UeXBlc10ueG1sUEsB&#10;Ai0AFAAGAAgAAAAhADj9If/WAAAAlAEAAAsAAAAAAAAAAAAAAAAALwEAAF9yZWxzLy5yZWxzUEsB&#10;Ai0AFAAGAAgAAAAhAPj1zPQ+AwAApwcAAA4AAAAAAAAAAAAAAAAALgIAAGRycy9lMm9Eb2MueG1s&#10;UEsBAi0AFAAGAAgAAAAhANBOwcHeAAAACA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7C66BE" w:rsidRPr="0073581B" w:rsidRDefault="007C66BE" w:rsidP="00E16925">
    <w:pPr>
      <w:pStyle w:val="Encabezado"/>
      <w:rPr>
        <w:rFonts w:ascii="Times New Roman" w:hAnsi="Times New Roman" w:cs="Times New Roman"/>
        <w:b/>
        <w:lang w:val="es-MX"/>
      </w:rPr>
    </w:pPr>
    <w:r>
      <w:rPr>
        <w:rFonts w:ascii="Times New Roman" w:hAnsi="Times New Roman" w:cs="Times New Roman"/>
        <w:lang w:val="es-MX"/>
      </w:rPr>
      <w:tab/>
    </w:r>
    <w:r w:rsidRPr="0073581B">
      <w:rPr>
        <w:rFonts w:ascii="Times New Roman" w:hAnsi="Times New Roman" w:cs="Times New Roman"/>
        <w:b/>
        <w:color w:val="4F81BD" w:themeColor="accent1"/>
        <w:lang w:val="es-MX"/>
      </w:rPr>
      <w:t>Dirección de Análisis y Política Fiscal</w:t>
    </w:r>
  </w:p>
  <w:p w:rsidR="007C66BE" w:rsidRPr="00E16925" w:rsidRDefault="007C66BE" w:rsidP="00E16925">
    <w:pPr>
      <w:pStyle w:val="Encabezado"/>
      <w:rPr>
        <w:rFonts w:ascii="Times New Roman" w:hAnsi="Times New Roman" w:cs="Times New Roman"/>
        <w:lang w:val="es-MX"/>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6BE" w:rsidRPr="007D4651" w:rsidRDefault="007C66BE" w:rsidP="00BD3A7C">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57568" behindDoc="0" locked="0" layoutInCell="1" allowOverlap="1" wp14:anchorId="17177099" wp14:editId="794754CD">
          <wp:simplePos x="0" y="0"/>
          <wp:positionH relativeFrom="column">
            <wp:posOffset>0</wp:posOffset>
          </wp:positionH>
          <wp:positionV relativeFrom="paragraph">
            <wp:posOffset>-635</wp:posOffset>
          </wp:positionV>
          <wp:extent cx="1598212" cy="723976"/>
          <wp:effectExtent l="0" t="0" r="2540" b="0"/>
          <wp:wrapNone/>
          <wp:docPr id="24" name="Imagen 24"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7C66BE" w:rsidRDefault="007C66BE"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Junio 2020</w:t>
    </w:r>
  </w:p>
  <w:p w:rsidR="007C66BE" w:rsidRPr="004A73AA" w:rsidRDefault="007C66BE" w:rsidP="007D4651">
    <w:pPr>
      <w:pStyle w:val="Encabezado"/>
      <w:jc w:val="right"/>
      <w:rPr>
        <w:rFonts w:ascii="Times New Roman" w:hAnsi="Times New Roman" w:cs="Times New Roman"/>
        <w:color w:val="1F497D" w:themeColor="text2"/>
        <w:lang w:val="es-MX"/>
      </w:rPr>
    </w:pPr>
    <w:r>
      <w:rPr>
        <w:rFonts w:ascii="Times New Roman" w:hAnsi="Times New Roman" w:cs="Times New Roman"/>
        <w:noProof/>
        <w:lang w:eastAsia="es-GT"/>
      </w:rPr>
      <mc:AlternateContent>
        <mc:Choice Requires="wps">
          <w:drawing>
            <wp:anchor distT="0" distB="0" distL="114300" distR="114300" simplePos="0" relativeHeight="251731968" behindDoc="0" locked="0" layoutInCell="1" allowOverlap="1" wp14:anchorId="408D37A8" wp14:editId="049CF330">
              <wp:simplePos x="0" y="0"/>
              <wp:positionH relativeFrom="column">
                <wp:posOffset>1711308</wp:posOffset>
              </wp:positionH>
              <wp:positionV relativeFrom="paragraph">
                <wp:posOffset>12065</wp:posOffset>
              </wp:positionV>
              <wp:extent cx="5155894" cy="45719"/>
              <wp:effectExtent l="38100" t="38100" r="64135" b="88265"/>
              <wp:wrapNone/>
              <wp:docPr id="46" name="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CF887F" id="1 Rectángulo" o:spid="_x0000_s1026" style="position:absolute;margin-left:134.75pt;margin-top:.95pt;width:406pt;height:3.6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vIPgMAAKYHAAAOAAAAZHJzL2Uyb0RvYy54bWysVd1O2zAUvp+0d7B8P9KUFtqKFFUgpkkM&#10;EGXi2nWcH82xPdttyt5mz7IX2zl2GgqrEJp2kxzb3/nxd358dr5tJNkI62qtMpoeDSgRiuu8VmVG&#10;vz1cfZpQ4jxTOZNaiYw+CUfP5x8/nLVmJoa60jIXloAR5WatyWjlvZklieOVaJg70kYoOCy0bZiH&#10;pS2T3LIWrDcyGQ4GJ0mrbW6s5sI52L2Mh3Qe7BeF4P62KJzwRGYUYvPha8N3hd9kfsZmpWWmqnkX&#10;BvuHKBpWK3Dam7pknpG1rf8y1dTcaqcLf8R1k+iiqLkId4DbpINXt1lWzIhwFyDHmZ4m9//M8pvN&#10;nSV1ntHRCSWKNZCjlNwDb79/qXItNTLUGjcD4NLc2W7lQMTrbgvb4B8uQraB1aeeVbH1hMPmOB2P&#10;J9MRJRzORuPTdIo2k2dlY53/LHRDUMioBeeBS7a5dj5Cd5CO4vyqljLIDiBRIEYDL8fD8WAYtEMJ&#10;iQtpyYZB8hnnQvm0c126faXT4XQwOKS0KqMtuW6+6jwaAiiAY1i9j3Cfl0aHI8Shmx4VDaDRqP5S&#10;4SD4rbDHIZIDHt5SSlHpna4gR+WOYFkrwrCpoYscZ1JAyfRsWtZnRCoMSGnMULxl3BGhGbts6bUX&#10;dlnlLVnJtb1nYGs8mEBYJK+xBI4nECYuoFOHpzFiwmQJI8ZLSqz2j7WvQntgQOgRK6RP9koy/j1s&#10;M2kqFnnHfOwS16FD2vpgwmovzgTrPlZ6kPyTFOhKqntRQM9Abb9ZaiEzFctF9B/TdahwgkFEF0Ba&#10;bzs9VDwvU9vhUTXG3Su/I8O9RvCsle+Vm1ppe8i77BuoiHigbI8aFFc6f4KJAimKpWL4VQ2puWbO&#10;3zELsxXyCu+Fv4VPIXWbUd1JlFTa/jy0j3gYeXBKSQuzOqPux5pZQYn8oqDpp+loBGZ9WMCEGcLC&#10;7p+s9k/UurnQMBFSKGTDg4h4L3diYXXzCM/KAr3CEVMcfGeUe7tbXPj4hsDDxMViEWAw0A3z12pp&#10;OBpHVrHMHraPzJputnkYijd6N9fZ7NWIi1jUVHqx9rqow/x75rXjGx6DUKzdw4Wvzf46oJ6f1/kf&#10;AAAA//8DAFBLAwQUAAYACAAAACEAsabkdd4AAAAIAQAADwAAAGRycy9kb3ducmV2LnhtbEyPwU7D&#10;MBBE70j8g7VIXBC1U4mqCXGqCgn1AEJQ+AA33iZR7XWInTbw9WxP9Lg7s7NvytXknTjiELtAGrKZ&#10;AoFUB9tRo+Hr8/l+CSImQ9a4QKjhByOsquur0hQ2nOgDj9vUCA6hWBgNbUp9IWWsW/QmzkKPxNo+&#10;DN4kHodG2sGcONw7OVdqIb3piD+0psenFuvDdvSM8ebkZr3Jfr/VS3w9NO+j6vZ3Wt/eTOtHEAmn&#10;9G+GMz7fQMVMuzCSjcJpmC/yB7aykIM462qZ8WKnIc9AVqW8LFD9AQAA//8DAFBLAQItABQABgAI&#10;AAAAIQC2gziS/gAAAOEBAAATAAAAAAAAAAAAAAAAAAAAAABbQ29udGVudF9UeXBlc10ueG1sUEsB&#10;Ai0AFAAGAAgAAAAhADj9If/WAAAAlAEAAAsAAAAAAAAAAAAAAAAALwEAAF9yZWxzLy5yZWxzUEsB&#10;Ai0AFAAGAAgAAAAhABorO8g+AwAApgcAAA4AAAAAAAAAAAAAAAAALgIAAGRycy9lMm9Eb2MueG1s&#10;UEsBAi0AFAAGAAgAAAAhALGm5HXeAAAACA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7C66BE" w:rsidRPr="004A73AA" w:rsidRDefault="007C66BE" w:rsidP="00E16925">
    <w:pPr>
      <w:pStyle w:val="Encabezado"/>
      <w:rPr>
        <w:rFonts w:ascii="Times New Roman" w:hAnsi="Times New Roman" w:cs="Times New Roman"/>
        <w:color w:val="1F497D" w:themeColor="text2"/>
        <w:lang w:val="es-MX"/>
      </w:rPr>
    </w:pPr>
    <w:r>
      <w:rPr>
        <w:rFonts w:ascii="Times New Roman" w:hAnsi="Times New Roman" w:cs="Times New Roman"/>
        <w:color w:val="1F497D" w:themeColor="text2"/>
        <w:lang w:val="es-MX"/>
      </w:rPr>
      <w:t xml:space="preserve">                                                 </w:t>
    </w:r>
    <w:r w:rsidRPr="009F164F">
      <w:rPr>
        <w:rFonts w:ascii="Times New Roman" w:hAnsi="Times New Roman" w:cs="Times New Roman"/>
        <w:b/>
        <w:color w:val="4F81BD" w:themeColor="accent1"/>
        <w:lang w:val="es-MX"/>
      </w:rPr>
      <w:t>Dirección de Análisis y Política Fiscal</w:t>
    </w:r>
  </w:p>
  <w:p w:rsidR="007C66BE" w:rsidRPr="007452E2" w:rsidRDefault="007C66BE" w:rsidP="00E16925">
    <w:pPr>
      <w:pStyle w:val="Encabezado"/>
      <w:rPr>
        <w:rFonts w:ascii="Times New Roman" w:hAnsi="Times New Roman" w:cs="Times New Roman"/>
        <w:lang w:val="es-MX"/>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6BE" w:rsidRPr="007D4651" w:rsidRDefault="007C66BE"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9376" behindDoc="0" locked="0" layoutInCell="1" allowOverlap="1" wp14:anchorId="0F141537" wp14:editId="107EAA70">
          <wp:simplePos x="0" y="0"/>
          <wp:positionH relativeFrom="column">
            <wp:posOffset>0</wp:posOffset>
          </wp:positionH>
          <wp:positionV relativeFrom="paragraph">
            <wp:posOffset>-635</wp:posOffset>
          </wp:positionV>
          <wp:extent cx="1598212" cy="723976"/>
          <wp:effectExtent l="0" t="0" r="2540" b="0"/>
          <wp:wrapNone/>
          <wp:docPr id="225" name="Imagen 225"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7C66BE" w:rsidRDefault="007C66BE"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Junio 2020</w:t>
    </w:r>
  </w:p>
  <w:p w:rsidR="007C66BE" w:rsidRDefault="007C66BE"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681792" behindDoc="0" locked="0" layoutInCell="1" allowOverlap="1" wp14:anchorId="665D3ACA" wp14:editId="21A548C0">
              <wp:simplePos x="0" y="0"/>
              <wp:positionH relativeFrom="column">
                <wp:posOffset>1710568</wp:posOffset>
              </wp:positionH>
              <wp:positionV relativeFrom="paragraph">
                <wp:posOffset>29118</wp:posOffset>
              </wp:positionV>
              <wp:extent cx="5155894" cy="45719"/>
              <wp:effectExtent l="38100" t="38100" r="64135" b="88265"/>
              <wp:wrapNone/>
              <wp:docPr id="38" name="38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029AA7" id="38 Rectángulo" o:spid="_x0000_s1026" style="position:absolute;margin-left:134.7pt;margin-top:2.3pt;width:406pt;height:3.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PiPwMAAKcHAAAOAAAAZHJzL2Uyb0RvYy54bWysVclu2zAQvRfoPxC8N7Jku7GNyIGRIEWB&#10;tAniFDmPKWpBKZIl6SX9m35Lf6xDUlac1AiCoheJy5uF7w2HZ+e7VpANN7ZRMqfpyYASLpkqGlnl&#10;9Nv91YcJJdaBLEAoyXP6yC09n79/d7bVM56pWomCG4JOpJ1tdU5r5/QsSSyreQv2RGkucbNUpgWH&#10;U1MlhYEtem9Fkg0GH5OtMoU2inFrcfUybtJ58F+WnLmbsrTcEZFTzM2Frwnflf8m8zOYVQZ03bAu&#10;DfiHLFpoJAbtXV2CA7I2zV+u2oYZZVXpTphqE1WWDePhDHiadPDiNMsaNA9nQXKs7mmy/88t+7q5&#10;NaQpcjpEpSS0qNFwQu6QuN+/ZLUWylO01XaGyKW+Nd3M4tCfd1ea1v/xJGQXaH3saeU7RxgujtPx&#10;eDIdUcJwbzQ+TafeZ/JkrI11n7hqiR/k1GDwQCZsrq2L0D2k47i4aoQIY4uQOCBaITHDbDzIgnWo&#10;IX4hDNkAqg+McenSLnRlD41Os+lgcMxoVUVfYt1+UUV0hFAEx7T6GOE8z51mI4/zYXpUdOCdRvPn&#10;BkfBr6U9DpkcifCaUeqN3hgKNar2BItGEvC3Gq+RZSA41kzPpoFeESF9QlJ5heIp4woPt7FTS60d&#10;N8u62JKVWJs7QF/jwQTTIkXjS2A4wTT9BK9qdhozJiAq7DFOUGKUe2hcHe6HT8hH9BXSi70SwL6H&#10;ZRC6hsi712MvXIcOsvXJhNlBnomv+1jpYeQeBfehhLzjJV4arO1XSy0oU0PBY/wo17HCCQ49ukTS&#10;et/pseJ5Lm2H96Yx7974DQr3FiGykq43bhupzLHoor9AZcQjZQfU+OFKFY/YUlCiWCqaXTUozTVY&#10;dwsGmyvqig+Gu8FPKdQ2p6obUVIr8/PYusdjz8NdSrbYrHNqf6zBcErEZ4mXfpqORujWhQl2mAwn&#10;5nBndbgj1+2Fwo6QYiFrFoYe78R+WBrVPuC7svBRcQskw9g5Zc7sJxcuPiL4MjG+WAQYdnQN7lou&#10;NfPOPau+zO53D2B019scNsWvat/YYfaixUWst5RqsXaqbEL/e+K14xtfg1Cs3cvln5vDe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k2nT4j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7C66BE" w:rsidRDefault="007C66BE"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7C66BE" w:rsidRPr="00E16925" w:rsidRDefault="007C66BE" w:rsidP="00E16925">
    <w:pPr>
      <w:pStyle w:val="Encabezado"/>
      <w:rPr>
        <w:rFonts w:ascii="Times New Roman" w:hAnsi="Times New Roman" w:cs="Times New Roman"/>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6BE" w:rsidRPr="007D4651" w:rsidRDefault="007C66BE" w:rsidP="00BD3A7C">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51424" behindDoc="0" locked="0" layoutInCell="1" allowOverlap="1" wp14:anchorId="2441667E" wp14:editId="7C05A51E">
          <wp:simplePos x="0" y="0"/>
          <wp:positionH relativeFrom="column">
            <wp:posOffset>-182829</wp:posOffset>
          </wp:positionH>
          <wp:positionV relativeFrom="paragraph">
            <wp:posOffset>0</wp:posOffset>
          </wp:positionV>
          <wp:extent cx="1598212" cy="723976"/>
          <wp:effectExtent l="0" t="0" r="2540" b="0"/>
          <wp:wrapNone/>
          <wp:docPr id="15" name="Imagen 15"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7C66BE" w:rsidRDefault="007C66BE"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Junio 2020</w:t>
    </w:r>
  </w:p>
  <w:p w:rsidR="007C66BE" w:rsidRDefault="007C66BE"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53472" behindDoc="0" locked="0" layoutInCell="1" allowOverlap="1" wp14:anchorId="7F9C7CAF" wp14:editId="31685177">
              <wp:simplePos x="0" y="0"/>
              <wp:positionH relativeFrom="column">
                <wp:posOffset>1506550</wp:posOffset>
              </wp:positionH>
              <wp:positionV relativeFrom="paragraph">
                <wp:posOffset>15240</wp:posOffset>
              </wp:positionV>
              <wp:extent cx="5155894" cy="45719"/>
              <wp:effectExtent l="38100" t="38100" r="64135" b="88265"/>
              <wp:wrapNone/>
              <wp:docPr id="17" name="1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FCB241" id="11 Rectángulo" o:spid="_x0000_s1026" style="position:absolute;margin-left:118.65pt;margin-top:1.2pt;width:406pt;height:3.6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DuPgMAAKcHAAAOAAAAZHJzL2Uyb0RvYy54bWysVd1O2zAUvp+0d7B8P9KUdrQVKapATJPY&#10;QJSJa9dxfjTH9my3afc2e5a92M6x01BYhdC0m+TY/s7vd3x8frFtJNkI62qtMpqeDCgRiuu8VmVG&#10;vz1cf5hQ4jxTOZNaiYzuhKMX8/fvzlszE0NdaZkLS8CIcrPWZLTy3sySxPFKNMydaCMUHBbaNszD&#10;0pZJblkL1huZDAeDj0mrbW6s5sI52L2Kh3Qe7BeF4P62KJzwRGYUYvPha8N3hd9kfs5mpWWmqnkX&#10;BvuHKBpWK3Dam7pinpG1rf8y1dTcaqcLf8J1k+iiqLkIOUA26eBFNsuKGRFygeI405fJ/T+z/Ovm&#10;zpI6B+7OKFGsAY7SlNxD4X7/UuVaaixRa9wMkEtzZ7uVAxHz3Ra2wT9kQrahrLu+rGLrCYfNcToe&#10;T6YjSjicjcZn6RRtJk/Kxjr/SeiGoJBRC85DMdnmxvkI3UO6GufXtZRBdgCJAjEaCnM6HA+GQTv0&#10;kLiUlmwYsM84F8qnnevSHSqdDaeDwTGlVRltyXXzRefREEABHMPqfYR8nhsdjhCHbnpUNIBGo/pz&#10;haPg18Ieh0iOeHhNKUWlN7oCjsp9gWWtCMNbDdfIcSYF9sw+D8t6RqTCgJRGhmKWcUeE29ixpdde&#10;2GWVt2Ql1/aega3xYAJhkbzGFjidQJi4gKs6PIsREyZLmDFeUmK1f6x9Fe4HBoQesUN6sleS8e9h&#10;m0lTsVh35GNPXIcOtPXBhNVBnAn2fez0IPmdFOhKqntRwKWB3n611QIzFctF9B/pOtY4wSCiCyha&#10;bzs91jzPqe3wqBrj7pXfwHCvETxr5XvlplbaHvMu+wtURDyU7KA0KK50voORAhTFVjH8ugZqbpjz&#10;d8zCcAVe4cHwt/AppG4zqjuJkkrbn8f2EQ8zD04paWFYZ9T9WDMrKJGfFVz6aToagVkfFjBhhrCw&#10;hyerwxO1bi41TIQUGtnwICLey71YWN08wruyQK9wxBQH3xnl3u4Xlz4+IvAycbFYBBhMdMP8jVoa&#10;jsaxqthmD9tHZk032zwMxa96P9jZ7MWIi1jUVHqx9rqow/x7qmtXb3gNQrN2Lxc+N4frgHp6X+d/&#10;AAAA//8DAFBLAwQUAAYACAAAACEA6N+bMd8AAAAIAQAADwAAAGRycy9kb3ducmV2LnhtbEyP3U7D&#10;MAyF75F4h8hI3KAt2Y82VppOExLaBQjB4AGyxmurJU5p0q3w9HhXcGf7HB9/zteDd+KEXWwCaZiM&#10;FQikMtiGKg2fH0+jexAxGbLGBUIN3xhhXVxf5Saz4UzveNqlSnAIxcxoqFNqMyljWaM3cRxaJNYO&#10;ofMmcdtV0nbmzOHeyalSC+lNQ3yhNi0+1lged71njFcnt5vt5OdLPceXY/XWq+Zwp/XtzbB5AJFw&#10;SH9muODzDhTMtA892SichulsOWMrF3MQF13NVzzYa1gtQBa5/P9A8QsAAP//AwBQSwECLQAUAAYA&#10;CAAAACEAtoM4kv4AAADhAQAAEwAAAAAAAAAAAAAAAAAAAAAAW0NvbnRlbnRfVHlwZXNdLnhtbFBL&#10;AQItABQABgAIAAAAIQA4/SH/1gAAAJQBAAALAAAAAAAAAAAAAAAAAC8BAABfcmVscy8ucmVsc1BL&#10;AQItABQABgAIAAAAIQBp0sDuPgMAAKcHAAAOAAAAAAAAAAAAAAAAAC4CAABkcnMvZTJvRG9jLnht&#10;bFBLAQItABQABgAIAAAAIQDo35sx3wAAAAg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7C66BE" w:rsidRDefault="007C66BE" w:rsidP="00E16925">
    <w:pPr>
      <w:pStyle w:val="Encabezado"/>
      <w:rPr>
        <w:rFonts w:ascii="Times New Roman" w:hAnsi="Times New Roman" w:cs="Times New Roman"/>
        <w:lang w:val="es-MX"/>
      </w:rPr>
    </w:pPr>
    <w:r>
      <w:rPr>
        <w:rFonts w:ascii="Times New Roman" w:hAnsi="Times New Roman" w:cs="Times New Roman"/>
        <w:lang w:val="es-MX"/>
      </w:rPr>
      <w:t xml:space="preserve">                                            </w:t>
    </w:r>
    <w:r w:rsidRPr="009F164F">
      <w:rPr>
        <w:rFonts w:ascii="Times New Roman" w:hAnsi="Times New Roman" w:cs="Times New Roman"/>
        <w:b/>
        <w:color w:val="4F81BD" w:themeColor="accent1"/>
        <w:lang w:val="es-MX"/>
      </w:rPr>
      <w:t>Dirección de Análisis y Política Fiscal</w:t>
    </w:r>
  </w:p>
  <w:p w:rsidR="007C66BE" w:rsidRPr="00E16925" w:rsidRDefault="007C66BE" w:rsidP="00E16925">
    <w:pPr>
      <w:pStyle w:val="Encabezado"/>
      <w:rPr>
        <w:rFonts w:ascii="Times New Roman" w:hAnsi="Times New Roman" w:cs="Times New Roman"/>
        <w:lang w:val="es-MX"/>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6BE" w:rsidRPr="007D4651" w:rsidRDefault="007C66BE"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1184" behindDoc="0" locked="0" layoutInCell="1" allowOverlap="1" wp14:anchorId="0B865A03" wp14:editId="3C37E4EE">
          <wp:simplePos x="0" y="0"/>
          <wp:positionH relativeFrom="column">
            <wp:posOffset>0</wp:posOffset>
          </wp:positionH>
          <wp:positionV relativeFrom="paragraph">
            <wp:posOffset>-635</wp:posOffset>
          </wp:positionV>
          <wp:extent cx="1598212" cy="723976"/>
          <wp:effectExtent l="0" t="0" r="2540" b="0"/>
          <wp:wrapNone/>
          <wp:docPr id="10" name="Imagen 10"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7C66BE" w:rsidRDefault="007C66BE"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Enero 2020</w:t>
    </w:r>
  </w:p>
  <w:p w:rsidR="007C66BE" w:rsidRDefault="007C66BE"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06368" behindDoc="0" locked="0" layoutInCell="1" allowOverlap="1" wp14:anchorId="47564F02" wp14:editId="5521E3AE">
              <wp:simplePos x="0" y="0"/>
              <wp:positionH relativeFrom="column">
                <wp:posOffset>1710568</wp:posOffset>
              </wp:positionH>
              <wp:positionV relativeFrom="paragraph">
                <wp:posOffset>29118</wp:posOffset>
              </wp:positionV>
              <wp:extent cx="5155894" cy="45719"/>
              <wp:effectExtent l="38100" t="38100" r="64135" b="88265"/>
              <wp:wrapNone/>
              <wp:docPr id="31" name="3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AC4FA2" id="31 Rectángulo" o:spid="_x0000_s1026" style="position:absolute;margin-left:134.7pt;margin-top:2.3pt;width:406pt;height:3.6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51wPwMAAKcHAAAOAAAAZHJzL2Uyb0RvYy54bWysVd1u2yAUvp+0d0Dcr7bzsyZRnSpq1WlS&#10;t1ZNp14TjGNrGBjgJN3b7Fn2YjsHHDftoqqadmMf4Ds/fOeHs/NdI8lGWFdrldPsJKVEKK6LWq1z&#10;+u3+6sOEEueZKpjUSuT0UTh6Pn//7mxrZmKgKy0LYQkYUW62NTmtvDezJHG8Eg1zJ9oIBYeltg3z&#10;sLTrpLBsC9YbmQzS9GOy1bYwVnPhHOxexkM6D/bLUnB/U5ZOeCJzCrH58LXhu8JvMj9js7Vlpqp5&#10;Fwb7hygaVitw2pu6ZJ6R1tZ/mWpqbrXTpT/hukl0WdZchDvAbbL0xW2WFTMi3AXIcaanyf0/s/zr&#10;5taSusjpMKNEsQZyNMzIHRD3+5dat1IjRVvjZoBcmlvbrRyIeN9daRv8w03ILtD62NMqdp5w2Bxn&#10;4/FkOqKEw9lofJpN0WbypGys85+EbggKObXgPJDJNtfOR+ge0nFcXNVSBtkBJArEaCBmOBing6Ad&#10;akhcSEs2DLLPOBfKZ53rtTtUOh1M0/SY0modbcm2+aKLaAigAI5h9T7CfZ4bHYwQh256VDSARqP6&#10;c4Wj4NfCHodIjnh4TSlDpTe6ghyt9wTLWhGGXQ1t5DiTAmqmZ9OyPiNSYUBKY4biLeOOCN3YZUu3&#10;XthlVWzJSrb2joGtcTqBsEhRYwkMJxAmLqBVB6cxYsLkGmaMl5RY7R9qX4X+wIDQI1ZIn+yVZPx7&#10;2GbSVCzyjvnYJ65Dh7T1wYTVQZwJ1n2s9CD5RynQlVR3ooSmgdp+tdRCZipWiOg/putY4QSDiC6B&#10;tN52dqx4nqe2w6NqjLtXfkOGe43gWSvfKze10vaYd9k3UBnxQNkBNSiudPEIIwVSFEvF8KsaUnPN&#10;nL9lFoYr5BUeDH8Dn1LqbU51J1FSafvz2D7iYebBKSVbGNY5dT9aZgUl8rOCpp9moxGY9WEBE2YA&#10;C3t4sjo8UW1zoWEiwMBzhgcR8V7uxdLq5gHelQV6hSOmOPjOKfd2v7jw8RGBl4mLxSLAYKIb5q/V&#10;0nA0jqximd3vHpg13WzzMBS/6v1gZ7MXIy5iUVPpRet1WYf598Rrxze8BqFYu5cLn5vDd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dAedcD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7C66BE" w:rsidRDefault="007C66BE" w:rsidP="0001624A">
    <w:pPr>
      <w:pStyle w:val="Encabezado"/>
      <w:rPr>
        <w:rFonts w:ascii="Times New Roman" w:hAnsi="Times New Roman" w:cs="Times New Roman"/>
        <w:b/>
        <w:color w:val="4F81BD" w:themeColor="accent1"/>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7C66BE" w:rsidRPr="0001624A" w:rsidRDefault="007C66BE" w:rsidP="0001624A">
    <w:pPr>
      <w:pStyle w:val="Encabezado"/>
      <w:rPr>
        <w:rFonts w:ascii="Times New Roman" w:hAnsi="Times New Roman" w:cs="Times New Roman"/>
        <w:lang w:val="es-MX"/>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6BE" w:rsidRPr="007D4651" w:rsidRDefault="007C66BE" w:rsidP="00BD3A7C">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55520" behindDoc="0" locked="0" layoutInCell="1" allowOverlap="1" wp14:anchorId="4D910ECE" wp14:editId="50F1D7F7">
          <wp:simplePos x="0" y="0"/>
          <wp:positionH relativeFrom="column">
            <wp:posOffset>36576</wp:posOffset>
          </wp:positionH>
          <wp:positionV relativeFrom="paragraph">
            <wp:posOffset>-635</wp:posOffset>
          </wp:positionV>
          <wp:extent cx="1598212" cy="723976"/>
          <wp:effectExtent l="0" t="0" r="2540" b="0"/>
          <wp:wrapNone/>
          <wp:docPr id="18" name="Imagen 18"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7C66BE" w:rsidRDefault="007C66BE" w:rsidP="005E4D76">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Mayo 2020</w:t>
    </w:r>
  </w:p>
  <w:p w:rsidR="007C66BE" w:rsidRDefault="007C66BE"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12512" behindDoc="0" locked="0" layoutInCell="1" allowOverlap="1" wp14:anchorId="68F7047B" wp14:editId="6773D625">
              <wp:simplePos x="0" y="0"/>
              <wp:positionH relativeFrom="column">
                <wp:posOffset>1736708</wp:posOffset>
              </wp:positionH>
              <wp:positionV relativeFrom="paragraph">
                <wp:posOffset>32385</wp:posOffset>
              </wp:positionV>
              <wp:extent cx="5155894" cy="45719"/>
              <wp:effectExtent l="38100" t="38100" r="64135" b="88265"/>
              <wp:wrapNone/>
              <wp:docPr id="6" name="6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5629DE" id="6 Rectángulo" o:spid="_x0000_s1026" style="position:absolute;margin-left:136.75pt;margin-top:2.55pt;width:406pt;height:3.6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HCPQMAAKUHAAAOAAAAZHJzL2Uyb0RvYy54bWysVd1O2zAUvp+0d7B8P9KUFtqKFFUgpkkM&#10;EGXi+tRxfjTH9mynLXubPctebMd2GgqrEJp2kxzb3/nxd358dr5tBFlzY2slM5oeDSjhkqm8lmVG&#10;vz1cfZpQYh3IHISSPKNP3NLz+ccPZxs940NVKZFzQ9CItLONzmjlnJ4liWUVb8AeKc0lHhbKNOBw&#10;acokN7BB641IhoPBSbJRJtdGMW4t7l7GQzoP9ouCM3dbFJY7IjKKsbnwNeG78t9kfgaz0oCuataF&#10;Af8QRQO1RKe9qUtwQFpT/2WqqZlRVhXuiKkmUUVRMx7ugLdJB69us6xA83AXJMfqnib7/8yym/Wd&#10;IXWe0RNKJDSYohNyj7T9/iXLVihP0EbbGeKW+s50K4uiv+22MI3/4z3INpD61JPKt44w3Byn4/Fk&#10;OqKE4dlofJpOvc3kWVkb6z5z1RAvZNSg80AlrK+ti9AdpGM4v6qFCLJFSBSIVkjL8XA8GAbtUEH8&#10;QhiyBsw9MMalSzvXpd1XOh1OB4NDSqsy2hJt81Xl0RBCERzD6n2E+7w0Ohx5nHfTo6IBbzSqv1Q4&#10;CH4r7HGI5ICHt5RSr/ROV5ijckewqCUB39PYRJaB4FgxPZsG+owI6QOSymco3jLu8NCLXbZU67hZ&#10;VvmGrERr7gFtjQcTDIvktS+B4wmG6RfYqMPTGDEBUeKEcYISo9xj7arQHT4g79FXSJ/slQD2PWyD&#10;0BVE3n0+donr0CFtfTBhtRdn4us+VnqQ3JPg3pWQ97zAlsHafrPUQmYqyHn0H9N1qHCCQY8ukLTe&#10;dnqoeF6mtsN71Rh3r/yODPcawbOSrlduaqnMIe+ib6Ai4pGyPWq8uFL5Ew4UTFEsFc2uakzNNVh3&#10;BwZHK+YVnwt3i59CqE1GVSdRUinz89C+x+PEw1NKNjiqM2p/tGA4JeKLxKafpqMRmnVhgRNmiAuz&#10;f7LaP5Ftc6FwIqRYyJoF0eOd2ImFUc0jvioL7xWPQDL0nVHmzG5x4eITgu8S44tFgOE81+Cu5VIz&#10;b9yz6svsYfsIRnezzeFQvFG7sQ6zVyMuYr2mVIvWqaIO8++Z145vfAtCsXbvln9s9tcB9fy6zv8A&#10;AAD//wMAUEsDBBQABgAIAAAAIQCHb/Lz4AAAAAkBAAAPAAAAZHJzL2Rvd25yZXYueG1sTI/BTsMw&#10;DIbvSLxDZCQuaEvaqWwqTacJCe0AQjB4gKzx2mqNU5p0Kzw93glutv/fvz8X68l14oRDaD1pSOYK&#10;BFLlbUu1hs+Pp9kKRIiGrOk8oYZvDLAur68Kk1t/pnc87WItOIRCbjQ0Mfa5lKFq0Jkw9z0Sawc/&#10;OBO5HWppB3PmcNfJVKl76UxLfKExPT42WB13o2OM105uN9vk50s9h5dj/Taq9nCn9e3NtHkAEXGK&#10;f2a44PMOlMy09yPZIDoN6XKRsVVDloC46GqV8WDPVboAWRby/wflLwAAAP//AwBQSwECLQAUAAYA&#10;CAAAACEAtoM4kv4AAADhAQAAEwAAAAAAAAAAAAAAAAAAAAAAW0NvbnRlbnRfVHlwZXNdLnhtbFBL&#10;AQItABQABgAIAAAAIQA4/SH/1gAAAJQBAAALAAAAAAAAAAAAAAAAAC8BAABfcmVscy8ucmVsc1BL&#10;AQItABQABgAIAAAAIQBU4LHCPQMAAKUHAAAOAAAAAAAAAAAAAAAAAC4CAABkcnMvZTJvRG9jLnht&#10;bFBLAQItABQABgAIAAAAIQCHb/Lz4AAAAAk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7C66BE" w:rsidRDefault="007C66BE" w:rsidP="00E16925">
    <w:pPr>
      <w:pStyle w:val="Encabezado"/>
      <w:rPr>
        <w:rFonts w:ascii="Times New Roman" w:hAnsi="Times New Roman" w:cs="Times New Roman"/>
        <w:lang w:val="es-MX"/>
      </w:rPr>
    </w:pPr>
    <w:r>
      <w:rPr>
        <w:rFonts w:ascii="Times New Roman" w:hAnsi="Times New Roman" w:cs="Times New Roman"/>
        <w:lang w:val="es-MX"/>
      </w:rPr>
      <w:t xml:space="preserve">                                                  </w:t>
    </w:r>
    <w:r w:rsidRPr="009F164F">
      <w:rPr>
        <w:rFonts w:ascii="Times New Roman" w:hAnsi="Times New Roman" w:cs="Times New Roman"/>
        <w:b/>
        <w:color w:val="4F81BD" w:themeColor="accent1"/>
        <w:lang w:val="es-MX"/>
      </w:rPr>
      <w:t>Dirección de Análisis y Política Fiscal</w:t>
    </w:r>
  </w:p>
  <w:p w:rsidR="007C66BE" w:rsidRPr="00E16925" w:rsidRDefault="007C66BE" w:rsidP="00E16925">
    <w:pPr>
      <w:pStyle w:val="Encabezado"/>
      <w:rPr>
        <w:rFonts w:ascii="Times New Roman" w:hAnsi="Times New Roman" w:cs="Times New Roman"/>
        <w:lang w:val="es-MX"/>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6BE" w:rsidRPr="007D4651" w:rsidRDefault="007C66BE"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3232" behindDoc="0" locked="0" layoutInCell="1" allowOverlap="1" wp14:anchorId="591DBF90" wp14:editId="654ADA4A">
          <wp:simplePos x="0" y="0"/>
          <wp:positionH relativeFrom="column">
            <wp:posOffset>0</wp:posOffset>
          </wp:positionH>
          <wp:positionV relativeFrom="paragraph">
            <wp:posOffset>-635</wp:posOffset>
          </wp:positionV>
          <wp:extent cx="1598212" cy="723976"/>
          <wp:effectExtent l="0" t="0" r="2540" b="0"/>
          <wp:wrapNone/>
          <wp:docPr id="12" name="Imagen 12"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7C66BE" w:rsidRDefault="007C66BE"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Junio 2020</w:t>
    </w:r>
  </w:p>
  <w:p w:rsidR="007C66BE" w:rsidRDefault="007C66BE"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26848" behindDoc="0" locked="0" layoutInCell="1" allowOverlap="1" wp14:anchorId="03A54711" wp14:editId="76A40627">
              <wp:simplePos x="0" y="0"/>
              <wp:positionH relativeFrom="column">
                <wp:posOffset>1710568</wp:posOffset>
              </wp:positionH>
              <wp:positionV relativeFrom="paragraph">
                <wp:posOffset>29118</wp:posOffset>
              </wp:positionV>
              <wp:extent cx="5155894" cy="45719"/>
              <wp:effectExtent l="38100" t="38100" r="64135" b="88265"/>
              <wp:wrapNone/>
              <wp:docPr id="54"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69F721" id="22 Rectángulo" o:spid="_x0000_s1026" style="position:absolute;margin-left:134.7pt;margin-top:2.3pt;width:406pt;height:3.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YJPQMAAKcHAAAOAAAAZHJzL2Uyb0RvYy54bWysVclu2zAQvRfoPxC8N1piN7YROTASpCiQ&#10;NkGcImeaoiyhFMmS9Na/6bf0xzpDyoqTGkFQ9CINyTcL3yw8v9i2kqyFdY1WBc1OUkqE4rps1LKg&#10;3x6uP4wocZ6pkkmtREF3wtGL6ft35xszEbmutSyFJWBEucnGFLT23kySxPFatMydaCMUHFbatszD&#10;0i6T0rINWG9lkqfpx2SjbWms5sI52L2Kh3Qa7FeV4P62qpzwRBYUYvPha8N3gd9kes4mS8tM3fAu&#10;DPYPUbSsUeC0N3XFPCMr2/xlqm241U5X/oTrNtFV1XAR7gC3ydIXt5nXzIhwFyDHmZ4m9//M8q/r&#10;O0uasqDDASWKtZCjPCf3QNzvX2q5khop2hg3AeTc3Nlu5UDE+24r2+IfbkK2gdZdT6vYesJhc5gN&#10;h6MxmOdwNhieZWO0mTwpG+v8J6FbgkJBLTgPZLL1jfMRuod0HJfXjZRBdgCJAjEaiDnNh2ketEMN&#10;iUtpyZpB9hnnQvmsc710h0pn+ThNjyktltGWXLVfdBkNARTAMazeR7jPc6P5AHHopkdFA2g0qj9X&#10;OAp+LexhiOSIh9eUMlR6oyvI0XJPsGwUYdjV0EaOMymgZno2LeszIhUGpDRmKN4y7ojQjV229MoL&#10;O6/LDVnIlb1nWH/pCMIiZYMlcDqCMHEBrZqfxYgJk0uYMV5SYrV/bHwd+gMDQo9YIX2yF5Lx72Gb&#10;SVOzyDvmY5+4Dh3S1gcTVgdxJlj3sdKD5HdSoCup7kUFTQO1/WqphczUrBTRf0zXscIJBhFdAWm9&#10;7exY8TxPbYdH1Rh3r/yGDPcawbNWvlduG6XtMe+yb6Aq4oGyA2pQXOhyByMFUhRLxfDrBlJzw5y/&#10;YxaGK+QVHgx/C59K6k1BdSdRUmv789g+4mHmwSklGxjWBXU/VswKSuRnBU0/zgYDMOvDAiZMDgt7&#10;eLI4PFGr9lLDRMigkA0PIuK93IuV1e0jvCsz9ApHTHHwXVDu7X5x6eMjAi8TF7NZgMFEN8zfqLnh&#10;aBxZxTJ72D4ya7rZ5mEoftX7wc4mL0ZcxKKm0rOV11UT5t8Trx3f8BqEYu1eLnxuDtcB9fS+Tv8A&#10;AAD//wMAUEsDBBQABgAIAAAAIQDmZhfy3wAAAAkBAAAPAAAAZHJzL2Rvd25yZXYueG1sTI/BTsMw&#10;DIbvSLxDZCQuaEs6TVXpmk4TEtoBhGDwAFnjtdUapzTpVnh6vBO72f5///5crCfXiRMOofWkIZkr&#10;EEiVty3VGr4+n2cZiBANWdN5Qg0/GGBd3t4UJrf+TB942sVacAiF3GhoYuxzKUPVoDNh7nsk1g5+&#10;cCZyO9TSDubM4a6TC6VS6UxLfKExPT41WB13o2OMt05uN9vk91u9hNdj/T6q9vCg9f3dtFmBiDjF&#10;fzNc8HkHSmba+5FsEJ2GRfq4ZKuGZQrioqss4cGeqyQDWRby+oPyDwAA//8DAFBLAQItABQABgAI&#10;AAAAIQC2gziS/gAAAOEBAAATAAAAAAAAAAAAAAAAAAAAAABbQ29udGVudF9UeXBlc10ueG1sUEsB&#10;Ai0AFAAGAAgAAAAhADj9If/WAAAAlAEAAAsAAAAAAAAAAAAAAAAALwEAAF9yZWxzLy5yZWxzUEsB&#10;Ai0AFAAGAAgAAAAhAOW/Rgk9AwAApwcAAA4AAAAAAAAAAAAAAAAALgIAAGRycy9lMm9Eb2MueG1s&#10;UEsBAi0AFAAGAAgAAAAhAOZmF/LfAAAACQEAAA8AAAAAAAAAAAAAAAAAlw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7C66BE" w:rsidRDefault="007C66BE"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7C66BE" w:rsidRPr="00E16925" w:rsidRDefault="007C66BE" w:rsidP="00E16925">
    <w:pPr>
      <w:pStyle w:val="Encabezado"/>
      <w:rPr>
        <w:rFonts w:ascii="Times New Roman" w:hAnsi="Times New Roman" w:cs="Times New Roman"/>
        <w:lang w:val="es-MX"/>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6BE" w:rsidRPr="007D4651" w:rsidRDefault="007C66BE"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5280" behindDoc="0" locked="0" layoutInCell="1" allowOverlap="1" wp14:anchorId="257BDC70" wp14:editId="1BC48BD5">
          <wp:simplePos x="0" y="0"/>
          <wp:positionH relativeFrom="column">
            <wp:posOffset>0</wp:posOffset>
          </wp:positionH>
          <wp:positionV relativeFrom="paragraph">
            <wp:posOffset>-635</wp:posOffset>
          </wp:positionV>
          <wp:extent cx="1598212" cy="723976"/>
          <wp:effectExtent l="0" t="0" r="2540" b="0"/>
          <wp:wrapNone/>
          <wp:docPr id="255" name="Imagen 255"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7C66BE" w:rsidRDefault="007C66BE"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Junio 2020</w:t>
    </w:r>
  </w:p>
  <w:p w:rsidR="007C66BE" w:rsidRDefault="007C66BE"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673600" behindDoc="0" locked="0" layoutInCell="1" allowOverlap="1" wp14:anchorId="5E35275E" wp14:editId="38343BCF">
              <wp:simplePos x="0" y="0"/>
              <wp:positionH relativeFrom="column">
                <wp:posOffset>1710568</wp:posOffset>
              </wp:positionH>
              <wp:positionV relativeFrom="paragraph">
                <wp:posOffset>29118</wp:posOffset>
              </wp:positionV>
              <wp:extent cx="5155894" cy="45719"/>
              <wp:effectExtent l="38100" t="38100" r="64135" b="88265"/>
              <wp:wrapNone/>
              <wp:docPr id="22"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EB1408" id="22 Rectángulo" o:spid="_x0000_s1026" style="position:absolute;margin-left:134.7pt;margin-top:2.3pt;width:406pt;height:3.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dHPgMAAKcHAAAOAAAAZHJzL2Uyb0RvYy54bWysVclu2zAQvRfoPxC8N1piN7YROTASpCiQ&#10;NkGcIucxRVlCKZIl6a1/02/pj3VIyoqTGkFQ9CINyTcL3yw8v9i2gqy5sY2SBc1OUkq4ZKps5LKg&#10;3x6uP4wosQ5kCUJJXtAdt/Ri+v7d+UZPeK5qJUpuCBqRdrLRBa2d05MksazmLdgTpbnEw0qZFhwu&#10;zTIpDWzQeiuSPE0/JhtlSm0U49bi7lU8pNNgv6o4c7dVZbkjoqAYmwtfE74L/02m5zBZGtB1w7ow&#10;4B+iaKGR6LQ3dQUOyMo0f5lqG2aUVZU7YapNVFU1jIc74G2y9MVt5jVoHu6C5Fjd02T/n1n2dX1n&#10;SFMWNM8pkdBijvKc3CNxv3/J5UooT9FG2wki5/rOdCuLor/vtjKt/+NNyDbQuutp5VtHGG4Os+Fw&#10;NB5QwvBsMDzLxt5m8qSsjXWfuGqJFwpq0HkgE9Y31kXoHtJxXF43QgTZIiQKRCsk5jQfpnnQDjXE&#10;L4Uha8DsA2NcuqxzvbSHSmf5OE2PKS2W0ZZYtV9UGQ0hFMExrN5HuM9zo/nA47ybHhUNeKNR/bnC&#10;UfBrYQ9DJEc8vKaUeaU3usIcLfcEi0YS8F2NbWQZCI4107NpoM+IkD4gqXyG4i3jDg/d2GVLrRw3&#10;87rckIVYmXtAW8N0hGGRsvElcDrCMP0CWzU/ixETEEucMU5QYpR7bFwd+sMH5D36CumTvRDAvodt&#10;ELqGyLvPxz5xHTqkrQ8mrA7iTHzdx0oPktsJ7l0Jec8rbBqs7VdLLWSmhpJH/zFdxwonGPToCknr&#10;bWfHiud5aju8V41x98pvyHCvETwr6XrltpHKHPMu+gaqIh4pO6DGiwtV7nCkYIpiqWh23WBqbsC6&#10;OzA4XDGv+GC4W/xUQm0KqjqJklqZn8f2PR5nHp5SssFhXVD7YwWGUyI+S2z6cTYYoFkXFjhhclyY&#10;w5PF4YlctZcKJ0KGhaxZED3eib1YGdU+4rsy817xCCRD3wVlzuwXly4+IvgyMT6bBRhOdA3uRs41&#10;88Y9q77MHraPYHQ32xwOxa9qP9hh8mLERazXlGq2cqpqwvx74rXjG1+DUKzdy+Wfm8N1QD29r9M/&#10;AAAA//8DAFBLAwQUAAYACAAAACEA5mYX8t8AAAAJAQAADwAAAGRycy9kb3ducmV2LnhtbEyPwU7D&#10;MAyG70i8Q2QkLmhLOk1V6ZpOExLaAYRg8ABZ47XVGqc06VZ4erwTu9n+f//+XKwn14kTDqH1pCGZ&#10;KxBIlbct1Rq+Pp9nGYgQDVnTeUINPxhgXd7eFCa3/kwfeNrFWnAIhdxoaGLscylD1aAzYe57JNYO&#10;fnAmcjvU0g7mzOGukwulUulMS3yhMT0+NVgdd6NjjLdObjfb5PdbvYTXY/0+qvbwoPX93bRZgYg4&#10;xX8zXPB5B0pm2vuRbBCdhkX6uGSrhmUK4qKrLOHBnqskA1kW8vqD8g8AAP//AwBQSwECLQAUAAYA&#10;CAAAACEAtoM4kv4AAADhAQAAEwAAAAAAAAAAAAAAAAAAAAAAW0NvbnRlbnRfVHlwZXNdLnhtbFBL&#10;AQItABQABgAIAAAAIQA4/SH/1gAAAJQBAAALAAAAAAAAAAAAAAAAAC8BAABfcmVscy8ucmVsc1BL&#10;AQItABQABgAIAAAAIQAIhmdHPgMAAKcHAAAOAAAAAAAAAAAAAAAAAC4CAABkcnMvZTJvRG9jLnht&#10;bFBLAQItABQABgAIAAAAIQDmZhfy3wAAAAk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7C66BE" w:rsidRDefault="007C66BE"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7C66BE" w:rsidRPr="00E16925" w:rsidRDefault="007C66BE" w:rsidP="00E16925">
    <w:pPr>
      <w:pStyle w:val="Encabezado"/>
      <w:rPr>
        <w:rFonts w:ascii="Times New Roman" w:hAnsi="Times New Roman" w:cs="Times New Roman"/>
        <w:lang w:val="es-MX"/>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6BE" w:rsidRPr="007D4651" w:rsidRDefault="007C66BE" w:rsidP="00BD3A7C">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20704" behindDoc="1" locked="0" layoutInCell="1" allowOverlap="1" wp14:anchorId="630B5DF4" wp14:editId="46204769">
          <wp:simplePos x="0" y="0"/>
          <wp:positionH relativeFrom="column">
            <wp:posOffset>-93997</wp:posOffset>
          </wp:positionH>
          <wp:positionV relativeFrom="paragraph">
            <wp:posOffset>-177800</wp:posOffset>
          </wp:positionV>
          <wp:extent cx="1697990" cy="914400"/>
          <wp:effectExtent l="0" t="0" r="0" b="0"/>
          <wp:wrapNone/>
          <wp:docPr id="77" name="Imagen 77"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7C66BE" w:rsidRDefault="007C66BE"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Septiembre 2019</w:t>
    </w:r>
  </w:p>
  <w:p w:rsidR="007C66BE" w:rsidRPr="004A73AA" w:rsidRDefault="007C66BE" w:rsidP="007D4651">
    <w:pPr>
      <w:pStyle w:val="Encabezado"/>
      <w:jc w:val="right"/>
      <w:rPr>
        <w:rFonts w:ascii="Times New Roman" w:hAnsi="Times New Roman" w:cs="Times New Roman"/>
        <w:color w:val="1F497D" w:themeColor="text2"/>
        <w:lang w:val="es-MX"/>
      </w:rPr>
    </w:pPr>
    <w:r>
      <w:rPr>
        <w:rFonts w:ascii="Times New Roman" w:hAnsi="Times New Roman" w:cs="Times New Roman"/>
        <w:noProof/>
        <w:lang w:eastAsia="es-GT"/>
      </w:rPr>
      <mc:AlternateContent>
        <mc:Choice Requires="wps">
          <w:drawing>
            <wp:anchor distT="0" distB="0" distL="114300" distR="114300" simplePos="0" relativeHeight="251710464" behindDoc="0" locked="0" layoutInCell="1" allowOverlap="1" wp14:anchorId="5F6064F4" wp14:editId="100DCE5E">
              <wp:simplePos x="0" y="0"/>
              <wp:positionH relativeFrom="column">
                <wp:posOffset>1711308</wp:posOffset>
              </wp:positionH>
              <wp:positionV relativeFrom="paragraph">
                <wp:posOffset>12065</wp:posOffset>
              </wp:positionV>
              <wp:extent cx="5155894" cy="45719"/>
              <wp:effectExtent l="38100" t="38100" r="64135" b="88265"/>
              <wp:wrapNone/>
              <wp:docPr id="1" name="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68CE59" id="1 Rectángulo" o:spid="_x0000_s1026" style="position:absolute;margin-left:134.75pt;margin-top:.95pt;width:406pt;height:3.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mwPQMAAKUHAAAOAAAAZHJzL2Uyb0RvYy54bWysVUtu2zAQ3RfoHQjuG1mO3dhG5MBIkKJA&#10;2gRxiqxpivqgFMmStGX3Nj1LL9YZUlac1AiCohtpSL75cN7M8Pxi20iyEdbVWmU0PRlQIhTXea3K&#10;jH57uP4wocR5pnImtRIZ3QlHL+bv3523ZiaGutIyF5aAEeVmrclo5b2ZJYnjlWiYO9FGKDgstG2Y&#10;h6Utk9yyFqw3MhkOBh+TVtvcWM2Fc7B7FQ/pPNgvCsH9bVE44YnMKMTmw9eG7wq/yfyczUrLTFXz&#10;Lgz2D1E0rFbgtDd1xTwja1v/ZaqpudVOF/6E6ybRRVFzEe4At0kHL26zrJgR4S6QHGf6NLn/Z5Z/&#10;3dxZUufAHSWKNUBRSu4hbb9/qXItNSaoNW4GuKW5s93KgYi33Ra2wT/cg2xDUnd9UsXWEw6b43Q8&#10;nkxHlHA4G43P0inaTJ6UjXX+k9ANQSGjFpyHVLLNjfMRuod0Gc6vaymD7AASBWI0pOV0OB4Mg3ao&#10;IHEpLdkw4J5xLpRPO9elO1Q6G04Hg2NKqzLakuvmi86jIYACOIbV+wj3eW50OEIcuulR0QAajerP&#10;FY6CXwt7HCI54uE1pRSV3ugKOCr3CZa1Igx7GprIcSZFqJjuHpb1jEiFASmNDMXTuCNCL3Zs6bUX&#10;dlnlLVnJtb1nYGs8mEBYJK+xBE4nECYuoFGHZzFiwmQJE8ZLSqz2j7WvQndgQOgRK6QneyUZ/x62&#10;mTQVi3lHPvbEdehAWx9MWB3EmWDdx0oPkt9Jga6kuhcFtAzU9qulFpipWC6i/0jXscIJBhFdQNJ6&#10;2+mx4nlObYdH1Rh3r/wGhnuN4Fkr3ys3tdL2mHfZN1AR8ZCyg9SguNL5DgYKUBRLxfDrGqi5Yc7f&#10;MQujFXiF58LfwqeQus2o7iRKKm1/HttHPEw8OKWkhVGdUfdjzaygRH5W0PTTdDQCsz4sYMIMYWEP&#10;T1aHJ2rdXGqYCDDvnOFBRLyXe7GwunmEV2WBXuGIKQ6+M8q93S8ufXxC4F3iYrEIMJjnhvkbtTQc&#10;jWNWscweto/Mmm62eRiKX/V+rLPZixEXsaip9GLtdVGH+feU1y7f8BaEYu3eLXxsDtcB9fS6zv8A&#10;AAD//wMAUEsDBBQABgAIAAAAIQCxpuR13gAAAAgBAAAPAAAAZHJzL2Rvd25yZXYueG1sTI/BTsMw&#10;EETvSPyDtUhcELVTiaoJcaoKCfUAQlD4ADfeJlHtdYidNvD1bE/0uDuzs2/K1eSdOOIQu0AaspkC&#10;gVQH21Gj4evz+X4JIiZD1rhAqOEHI6yq66vSFDac6AOP29QIDqFYGA1tSn0hZaxb9CbOQo/E2j4M&#10;3iQeh0bawZw43Ds5V2ohvemIP7Smx6cW68N29Izx5uRmvcl+v9VLfD0076Pq9nda395M60cQCaf0&#10;b4YzPt9AxUy7MJKNwmmYL/IHtrKQgzjrapnxYqchz0BWpbwsUP0BAAD//wMAUEsBAi0AFAAGAAgA&#10;AAAhALaDOJL+AAAA4QEAABMAAAAAAAAAAAAAAAAAAAAAAFtDb250ZW50X1R5cGVzXS54bWxQSwEC&#10;LQAUAAYACAAAACEAOP0h/9YAAACUAQAACwAAAAAAAAAAAAAAAAAvAQAAX3JlbHMvLnJlbHNQSwEC&#10;LQAUAAYACAAAACEA7dEZsD0DAAClBwAADgAAAAAAAAAAAAAAAAAuAgAAZHJzL2Uyb0RvYy54bWxQ&#10;SwECLQAUAAYACAAAACEAsabkdd4AAAAIAQAADwAAAAAAAAAAAAAAAACXBQAAZHJzL2Rvd25yZXYu&#10;eG1sUEsFBgAAAAAEAAQA8wAAAKI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7C66BE" w:rsidRPr="004A73AA" w:rsidRDefault="007C66BE" w:rsidP="00E16925">
    <w:pPr>
      <w:pStyle w:val="Encabezado"/>
      <w:rPr>
        <w:rFonts w:ascii="Times New Roman" w:hAnsi="Times New Roman" w:cs="Times New Roman"/>
        <w:color w:val="1F497D" w:themeColor="text2"/>
        <w:lang w:val="es-MX"/>
      </w:rPr>
    </w:pPr>
    <w:r>
      <w:rPr>
        <w:rFonts w:ascii="Times New Roman" w:hAnsi="Times New Roman" w:cs="Times New Roman"/>
        <w:color w:val="1F497D" w:themeColor="text2"/>
        <w:lang w:val="es-MX"/>
      </w:rPr>
      <w:t xml:space="preserve">                                                 </w:t>
    </w:r>
    <w:r w:rsidRPr="009F164F">
      <w:rPr>
        <w:rFonts w:ascii="Times New Roman" w:hAnsi="Times New Roman" w:cs="Times New Roman"/>
        <w:b/>
        <w:color w:val="4F81BD" w:themeColor="accent1"/>
        <w:lang w:val="es-MX"/>
      </w:rPr>
      <w:t>Dirección de Análisis y Política Fiscal</w:t>
    </w:r>
  </w:p>
  <w:p w:rsidR="007C66BE" w:rsidRPr="007452E2" w:rsidRDefault="007C66BE" w:rsidP="00E16925">
    <w:pPr>
      <w:pStyle w:val="Encabezado"/>
      <w:rPr>
        <w:rFonts w:ascii="Times New Roman" w:hAnsi="Times New Roman" w:cs="Times New Roman"/>
        <w:lang w:val="es-MX"/>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6BE" w:rsidRPr="007D4651" w:rsidRDefault="007C66BE"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7328" behindDoc="0" locked="0" layoutInCell="1" allowOverlap="1" wp14:anchorId="25449285" wp14:editId="52B5AC3E">
          <wp:simplePos x="0" y="0"/>
          <wp:positionH relativeFrom="column">
            <wp:posOffset>0</wp:posOffset>
          </wp:positionH>
          <wp:positionV relativeFrom="paragraph">
            <wp:posOffset>-635</wp:posOffset>
          </wp:positionV>
          <wp:extent cx="1598212" cy="723976"/>
          <wp:effectExtent l="0" t="0" r="2540" b="0"/>
          <wp:wrapNone/>
          <wp:docPr id="224" name="Imagen 224"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7C66BE" w:rsidRDefault="007C66BE"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Junio 2020</w:t>
    </w:r>
  </w:p>
  <w:p w:rsidR="007C66BE" w:rsidRDefault="007C66BE"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22752" behindDoc="0" locked="0" layoutInCell="1" allowOverlap="1" wp14:anchorId="1E9D9BA5" wp14:editId="1F68C99B">
              <wp:simplePos x="0" y="0"/>
              <wp:positionH relativeFrom="column">
                <wp:posOffset>1710568</wp:posOffset>
              </wp:positionH>
              <wp:positionV relativeFrom="paragraph">
                <wp:posOffset>29118</wp:posOffset>
              </wp:positionV>
              <wp:extent cx="5155894" cy="45719"/>
              <wp:effectExtent l="38100" t="38100" r="64135" b="88265"/>
              <wp:wrapNone/>
              <wp:docPr id="20" name="20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2CE5C2" id="20 Rectángulo" o:spid="_x0000_s1026" style="position:absolute;margin-left:134.7pt;margin-top:2.3pt;width:406pt;height:3.6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SoPgMAAKcHAAAOAAAAZHJzL2Uyb0RvYy54bWysVUtu2zAQ3RfoHQjuG31iN7YROTASpCiQ&#10;NkGcImuaoiyhFMmS9K+36Vl6sc6QsuKkRhAU3UhD8s2Hb4Yz5xfbVpK1sK7RqqDZSUqJUFyXjVoW&#10;9NvD9YcRJc4zVTKplSjoTjh6MX3/7nxjJiLXtZalsASMKDfZmILW3ptJkjhei5a5E22EgsNK25Z5&#10;WNplUlq2AeutTPI0/ZhstC2N1Vw4B7tX8ZBOg/2qEtzfVpUTnsiCQmw+fG34LvCbTM/ZZGmZqRve&#10;hcH+IYqWNQqc9qaumGdkZZu/TLUNt9rpyp9w3Sa6qhouwh3gNln64jbzmhkR7gLkONPT5P6fWf51&#10;fWdJUxY0B3oUayFHeUrugbjfv9RyJTVStDFuAsi5ubPdyoGI991WtsU/3IRsA627nlax9YTD5jAb&#10;DkfjASUczgbDs2yMNpMnZWOd/yR0S1AoqAXngUy2vnE+QveQjuPyupEyyA4gUSBGAzGn+TDNg3ao&#10;IXEpLVkzyD7jXCifda6X7lDpLB+n6TGlxTLakqv2iy6jIYACOIbV+wj3eW40HyAO3fSoaACNRvXn&#10;CkfBr4U9DJEc8fCaUoZKb3QFOVruCZaNIgxfNdSJ40wKqJmeTcv6jEiFASmNGYq3jDsivMYuW3rl&#10;hZ3X5YYs5MreM7A1TEcQFikbLIHTEYSJC3iq+VmMmDC5hB7jJSVW+8fG1+F9YEDoESukT/ZCMv49&#10;bDNpahZ5x3zsE9ehQ9r6YMLqIM4E6z5WepD8Tgp0JdW9qODRQG2/WmohMzUrRfQf03WscIJBRFdA&#10;Wm87O1Y8z1Pb4VE1xt0rvyHDvUbwrJXvldtGaXvMu+wfUBXxQNkBNSgudLmDlgIpiqVi+HUDqblh&#10;zt8xC80V8goDw9/Cp5J6U1DdSZTU2v48to946HlwSskGmnVB3Y8Vs4IS+VnBox9ngwGY9WEBHQZ7&#10;mT08WRyeqFV7qaEjZFDIhgcR8V7uxcrq9hHmygy9whFTHHwXlHu7X1z6OERgMnExmwUYdHTD/I2a&#10;G47GkVUss4ftI7Om620emuJXvW/sbPKixUUsaio9W3ldNaH/PfHa8Q3TIBRrN7lw3ByuA+ppvk7/&#10;AAAA//8DAFBLAwQUAAYACAAAACEA5mYX8t8AAAAJAQAADwAAAGRycy9kb3ducmV2LnhtbEyPwU7D&#10;MAyG70i8Q2QkLmhLOk1V6ZpOExLaAYRg8ABZ47XVGqc06VZ4erwTu9n+f//+XKwn14kTDqH1pCGZ&#10;KxBIlbct1Rq+Pp9nGYgQDVnTeUINPxhgXd7eFCa3/kwfeNrFWnAIhdxoaGLscylD1aAzYe57JNYO&#10;fnAmcjvU0g7mzOGukwulUulMS3yhMT0+NVgdd6NjjLdObjfb5PdbvYTXY/0+qvbwoPX93bRZgYg4&#10;xX8zXPB5B0pm2vuRbBCdhkX6uGSrhmUK4qKrLOHBnqskA1kW8vqD8g8AAP//AwBQSwECLQAUAAYA&#10;CAAAACEAtoM4kv4AAADhAQAAEwAAAAAAAAAAAAAAAAAAAAAAW0NvbnRlbnRfVHlwZXNdLnhtbFBL&#10;AQItABQABgAIAAAAIQA4/SH/1gAAAJQBAAALAAAAAAAAAAAAAAAAAC8BAABfcmVscy8ucmVsc1BL&#10;AQItABQABgAIAAAAIQAb1NSoPgMAAKcHAAAOAAAAAAAAAAAAAAAAAC4CAABkcnMvZTJvRG9jLnht&#10;bFBLAQItABQABgAIAAAAIQDmZhfy3wAAAAk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7C66BE" w:rsidRDefault="007C66BE" w:rsidP="00E16925">
    <w:pPr>
      <w:pStyle w:val="Encabezado"/>
      <w:rPr>
        <w:rFonts w:ascii="Times New Roman" w:hAnsi="Times New Roman" w:cs="Times New Roman"/>
        <w:lang w:val="es-MX"/>
      </w:rPr>
    </w:pPr>
    <w:r>
      <w:rPr>
        <w:rFonts w:ascii="Times New Roman" w:hAnsi="Times New Roman" w:cs="Times New Roman"/>
        <w:lang w:val="es-MX"/>
      </w:rPr>
      <w:tab/>
      <w:t xml:space="preserve"> </w:t>
    </w:r>
    <w:r w:rsidRPr="009F164F">
      <w:rPr>
        <w:rFonts w:ascii="Times New Roman" w:hAnsi="Times New Roman" w:cs="Times New Roman"/>
        <w:b/>
        <w:color w:val="4F81BD" w:themeColor="accent1"/>
        <w:lang w:val="es-MX"/>
      </w:rPr>
      <w:t>Dirección de Análisis y Política Fiscal</w:t>
    </w:r>
  </w:p>
  <w:p w:rsidR="007C66BE" w:rsidRPr="00E16925" w:rsidRDefault="007C66BE" w:rsidP="00E16925">
    <w:pPr>
      <w:pStyle w:val="Encabezado"/>
      <w:rPr>
        <w:rFonts w:ascii="Times New Roman" w:hAnsi="Times New Roman" w:cs="Times New Roman"/>
        <w:lang w:val="es-MX"/>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6BE" w:rsidRPr="007D4651" w:rsidRDefault="007C66BE" w:rsidP="007D4651">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36064" behindDoc="1" locked="0" layoutInCell="1" allowOverlap="1" wp14:anchorId="5B14A560" wp14:editId="42193FFF">
          <wp:simplePos x="0" y="0"/>
          <wp:positionH relativeFrom="column">
            <wp:posOffset>-89849</wp:posOffset>
          </wp:positionH>
          <wp:positionV relativeFrom="paragraph">
            <wp:posOffset>-163027</wp:posOffset>
          </wp:positionV>
          <wp:extent cx="1697990" cy="914400"/>
          <wp:effectExtent l="0" t="0" r="0" b="0"/>
          <wp:wrapNone/>
          <wp:docPr id="234" name="Imagen 234"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7C66BE" w:rsidRDefault="007C66BE"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Noviembre 2018</w:t>
    </w:r>
  </w:p>
  <w:p w:rsidR="007C66BE" w:rsidRDefault="007C66BE"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35040" behindDoc="0" locked="0" layoutInCell="1" allowOverlap="1" wp14:anchorId="5DB8F798" wp14:editId="1BFF79E2">
              <wp:simplePos x="0" y="0"/>
              <wp:positionH relativeFrom="column">
                <wp:posOffset>1710568</wp:posOffset>
              </wp:positionH>
              <wp:positionV relativeFrom="paragraph">
                <wp:posOffset>29118</wp:posOffset>
              </wp:positionV>
              <wp:extent cx="5155894" cy="45719"/>
              <wp:effectExtent l="38100" t="38100" r="64135" b="88265"/>
              <wp:wrapNone/>
              <wp:docPr id="2" name="38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61BA33" id="38 Rectángulo" o:spid="_x0000_s1026" style="position:absolute;margin-left:134.7pt;margin-top:2.3pt;width:406pt;height:3.6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JIPQMAAKYHAAAOAAAAZHJzL2Uyb0RvYy54bWysVclu2zAQvRfoPxC8N1piN7YROTASpCiQ&#10;NkGcImeaoiyhFMmS9Na/6bf0xzpDyoqTGkFQ9CINyTcL3yw8v9i2kqyFdY1WBc1OUkqE4rps1LKg&#10;3x6uP4wocZ6pkkmtREF3wtGL6ft35xszEbmutSyFJWBEucnGFLT23kySxPFatMydaCMUHFbatszD&#10;0i6T0rINWG9lkqfpx2SjbWms5sI52L2Kh3Qa7FeV4P62qpzwRBYUYvPha8N3gd9kes4mS8tM3fAu&#10;DPYPUbSsUeC0N3XFPCMr2/xlqm241U5X/oTrNtFV1XAR7gC3ydIXt5nXzIhwFyDHmZ4m9//M8q/r&#10;O0uasqA5JYq1kKLTEbkH3n7/UsuV1MjQxrgJAOfmznYrByJed1vZFv9wEbINrO56VsXWEw6bw2w4&#10;HI0HlHA4GwzPsjHaTJ6UjXX+k9AtQaGgFpwHLtn6xvkI3UM6isvrRsogO4BEgRgNvJzmwzQP2qGE&#10;xKW0ZM0g+YxzoXzWuV66Q6WzfJymx5QWy2hLrtovuoyGAArgGFbvI9znudF8gDh006OiATQa1Z8r&#10;HAW/FvYwRHLEw2tKGSq90RXkaLknWDaKMGxq6CLHmRRQMj2blvUZkQoDUhozFG8Zd0Roxi5beuWF&#10;ndflhizkyt4zsDVMRxAWKRssgdMRhIkL6NT8LEZMmFzCiPGSEqv9Y+Pr0B4YEHrECumTvZCMfw/b&#10;TJqaRd4xH/vEdeiQtj6YsDqIM8G6j5UeJL+TAl1JdS8q6Bmo7VdLLWSmZqWI/mO6jhVOMIjoCkjr&#10;bWfHiud5ajs8qsa4e+U3ZLjXCJ618r1y2yhtj3mXfQNVEQ+UHVCD4kKXO5gokKJYKoZfN5CaG+b8&#10;HbMwWyGv8F74W/hUUm8KqjuJklrbn8f2EQ8jD04p2cCsLqj7sWJWUCI/K2j6cTYYgFkfFjBhcljY&#10;w5PF4YlatZcaJkIGhWx4EBHv5V6srG4f4VmZoVc4YoqD74Jyb/eLSx/fEHiYuJjNAgwGumH+Rs0N&#10;R+PIKpbZw/aRWdPNNg9D8avez3U2eTHiIhY1lZ6tvK6aMP+eeO34hscgFGv3cOFrc7gOqKfndfoH&#10;AAD//wMAUEsDBBQABgAIAAAAIQDmZhfy3wAAAAkBAAAPAAAAZHJzL2Rvd25yZXYueG1sTI/BTsMw&#10;DIbvSLxDZCQuaEs6TVXpmk4TEtoBhGDwAFnjtdUapzTpVnh6vBO72f5///5crCfXiRMOofWkIZkr&#10;EEiVty3VGr4+n2cZiBANWdN5Qg0/GGBd3t4UJrf+TB942sVacAiF3GhoYuxzKUPVoDNh7nsk1g5+&#10;cCZyO9TSDubM4a6TC6VS6UxLfKExPT41WB13o2OMt05uN9vk91u9hNdj/T6q9vCg9f3dtFmBiDjF&#10;fzNc8HkHSmba+5FsEJ2GRfq4ZKuGZQrioqss4cGeqyQDWRby+oPyDwAA//8DAFBLAQItABQABgAI&#10;AAAAIQC2gziS/gAAAOEBAAATAAAAAAAAAAAAAAAAAAAAAABbQ29udGVudF9UeXBlc10ueG1sUEsB&#10;Ai0AFAAGAAgAAAAhADj9If/WAAAAlAEAAAsAAAAAAAAAAAAAAAAALwEAAF9yZWxzLy5yZWxzUEsB&#10;Ai0AFAAGAAgAAAAhAO8PAkg9AwAApgcAAA4AAAAAAAAAAAAAAAAALgIAAGRycy9lMm9Eb2MueG1s&#10;UEsBAi0AFAAGAAgAAAAhAOZmF/LfAAAACQEAAA8AAAAAAAAAAAAAAAAAlw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7C66BE" w:rsidRDefault="007C66BE"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7C66BE" w:rsidRPr="00E16925" w:rsidRDefault="007C66BE" w:rsidP="00E16925">
    <w:pPr>
      <w:pStyle w:val="Encabezado"/>
      <w:rPr>
        <w:rFonts w:ascii="Times New Roman" w:hAnsi="Times New Roman" w:cs="Times New Roman"/>
        <w:lang w:val="es-MX"/>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2341B"/>
    <w:multiLevelType w:val="hybridMultilevel"/>
    <w:tmpl w:val="7614440A"/>
    <w:lvl w:ilvl="0" w:tplc="B25265AA">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B8641F5"/>
    <w:multiLevelType w:val="hybridMultilevel"/>
    <w:tmpl w:val="6C9AD4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E370CD0"/>
    <w:multiLevelType w:val="hybridMultilevel"/>
    <w:tmpl w:val="6AFCB7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FD5081C"/>
    <w:multiLevelType w:val="hybridMultilevel"/>
    <w:tmpl w:val="7A082BE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172228C2"/>
    <w:multiLevelType w:val="hybridMultilevel"/>
    <w:tmpl w:val="8B2A419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 w15:restartNumberingAfterBreak="0">
    <w:nsid w:val="284F18C2"/>
    <w:multiLevelType w:val="hybridMultilevel"/>
    <w:tmpl w:val="60180018"/>
    <w:lvl w:ilvl="0" w:tplc="8DF2F090">
      <w:start w:val="1"/>
      <w:numFmt w:val="decimal"/>
      <w:lvlText w:val="%1."/>
      <w:lvlJc w:val="left"/>
      <w:pPr>
        <w:ind w:left="1065" w:hanging="70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2DA43097"/>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15:restartNumberingAfterBreak="0">
    <w:nsid w:val="2E3D271E"/>
    <w:multiLevelType w:val="hybridMultilevel"/>
    <w:tmpl w:val="C66CBD6C"/>
    <w:lvl w:ilvl="0" w:tplc="7A684F14">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318C7F52"/>
    <w:multiLevelType w:val="hybridMultilevel"/>
    <w:tmpl w:val="8BEAF8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32216C57"/>
    <w:multiLevelType w:val="hybridMultilevel"/>
    <w:tmpl w:val="4C90958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335D3E9F"/>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 w15:restartNumberingAfterBreak="0">
    <w:nsid w:val="36F16C9F"/>
    <w:multiLevelType w:val="hybridMultilevel"/>
    <w:tmpl w:val="DCD2DE5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4F1F1422"/>
    <w:multiLevelType w:val="hybridMultilevel"/>
    <w:tmpl w:val="ECB205F6"/>
    <w:lvl w:ilvl="0" w:tplc="100A000F">
      <w:start w:val="1"/>
      <w:numFmt w:val="decimal"/>
      <w:lvlText w:val="%1."/>
      <w:lvlJc w:val="left"/>
      <w:pPr>
        <w:ind w:left="360" w:hanging="360"/>
      </w:pPr>
      <w:rPr>
        <w:rFonts w:hint="default"/>
      </w:rPr>
    </w:lvl>
    <w:lvl w:ilvl="1" w:tplc="15DACC7C">
      <w:start w:val="1"/>
      <w:numFmt w:val="bullet"/>
      <w:lvlText w:val="-"/>
      <w:lvlJc w:val="left"/>
      <w:pPr>
        <w:ind w:left="1080" w:hanging="360"/>
      </w:pPr>
      <w:rPr>
        <w:rFonts w:ascii="Courier New" w:hAnsi="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3" w15:restartNumberingAfterBreak="0">
    <w:nsid w:val="5EB178D6"/>
    <w:multiLevelType w:val="hybridMultilevel"/>
    <w:tmpl w:val="8794A3C4"/>
    <w:lvl w:ilvl="0" w:tplc="06C04D0C">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6DAE7A0A"/>
    <w:multiLevelType w:val="hybridMultilevel"/>
    <w:tmpl w:val="F59ACDD0"/>
    <w:lvl w:ilvl="0" w:tplc="527E0502">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7A3757A3"/>
    <w:multiLevelType w:val="hybridMultilevel"/>
    <w:tmpl w:val="C638E6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7F885ABE"/>
    <w:multiLevelType w:val="hybridMultilevel"/>
    <w:tmpl w:val="F0FA2C9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8"/>
  </w:num>
  <w:num w:numId="4">
    <w:abstractNumId w:val="1"/>
  </w:num>
  <w:num w:numId="5">
    <w:abstractNumId w:val="13"/>
  </w:num>
  <w:num w:numId="6">
    <w:abstractNumId w:val="16"/>
  </w:num>
  <w:num w:numId="7">
    <w:abstractNumId w:val="15"/>
  </w:num>
  <w:num w:numId="8">
    <w:abstractNumId w:val="3"/>
  </w:num>
  <w:num w:numId="9">
    <w:abstractNumId w:val="10"/>
  </w:num>
  <w:num w:numId="10">
    <w:abstractNumId w:val="6"/>
  </w:num>
  <w:num w:numId="11">
    <w:abstractNumId w:val="9"/>
  </w:num>
  <w:num w:numId="12">
    <w:abstractNumId w:val="7"/>
  </w:num>
  <w:num w:numId="13">
    <w:abstractNumId w:val="0"/>
  </w:num>
  <w:num w:numId="14">
    <w:abstractNumId w:val="2"/>
  </w:num>
  <w:num w:numId="15">
    <w:abstractNumId w:val="5"/>
  </w:num>
  <w:num w:numId="16">
    <w:abstractNumId w:val="1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51"/>
    <w:rsid w:val="0000354D"/>
    <w:rsid w:val="000053A7"/>
    <w:rsid w:val="00006489"/>
    <w:rsid w:val="000064C3"/>
    <w:rsid w:val="000067B1"/>
    <w:rsid w:val="00013A7F"/>
    <w:rsid w:val="00013C63"/>
    <w:rsid w:val="0001624A"/>
    <w:rsid w:val="00020E23"/>
    <w:rsid w:val="00022E98"/>
    <w:rsid w:val="00025121"/>
    <w:rsid w:val="00025788"/>
    <w:rsid w:val="00025D1E"/>
    <w:rsid w:val="00035835"/>
    <w:rsid w:val="000378CF"/>
    <w:rsid w:val="00040C99"/>
    <w:rsid w:val="00042B27"/>
    <w:rsid w:val="00045D14"/>
    <w:rsid w:val="00051776"/>
    <w:rsid w:val="00051A92"/>
    <w:rsid w:val="000530BD"/>
    <w:rsid w:val="00053517"/>
    <w:rsid w:val="0006261A"/>
    <w:rsid w:val="00063120"/>
    <w:rsid w:val="0006646A"/>
    <w:rsid w:val="000723B2"/>
    <w:rsid w:val="00072EEB"/>
    <w:rsid w:val="00074BC6"/>
    <w:rsid w:val="00076AB4"/>
    <w:rsid w:val="00076AD2"/>
    <w:rsid w:val="00076BF9"/>
    <w:rsid w:val="00080BD8"/>
    <w:rsid w:val="0008320B"/>
    <w:rsid w:val="0008348D"/>
    <w:rsid w:val="00087ADE"/>
    <w:rsid w:val="000A0A4F"/>
    <w:rsid w:val="000A6E8E"/>
    <w:rsid w:val="000B0279"/>
    <w:rsid w:val="000B56CE"/>
    <w:rsid w:val="000C1547"/>
    <w:rsid w:val="000C1FF2"/>
    <w:rsid w:val="000C21E1"/>
    <w:rsid w:val="000C2C25"/>
    <w:rsid w:val="000C4EC0"/>
    <w:rsid w:val="000C65AB"/>
    <w:rsid w:val="000C73C8"/>
    <w:rsid w:val="000D016D"/>
    <w:rsid w:val="000D2FA4"/>
    <w:rsid w:val="000D489E"/>
    <w:rsid w:val="000E43A8"/>
    <w:rsid w:val="000E5E43"/>
    <w:rsid w:val="000F1314"/>
    <w:rsid w:val="000F3B7F"/>
    <w:rsid w:val="000F4520"/>
    <w:rsid w:val="000F509C"/>
    <w:rsid w:val="000F5F87"/>
    <w:rsid w:val="00102939"/>
    <w:rsid w:val="00103DA9"/>
    <w:rsid w:val="001045CE"/>
    <w:rsid w:val="00106793"/>
    <w:rsid w:val="00107309"/>
    <w:rsid w:val="00111B77"/>
    <w:rsid w:val="001178B6"/>
    <w:rsid w:val="00117CF1"/>
    <w:rsid w:val="00120C4D"/>
    <w:rsid w:val="001259BA"/>
    <w:rsid w:val="0013022C"/>
    <w:rsid w:val="001339A4"/>
    <w:rsid w:val="00133DBA"/>
    <w:rsid w:val="0013436D"/>
    <w:rsid w:val="00136D08"/>
    <w:rsid w:val="001375B9"/>
    <w:rsid w:val="0014167F"/>
    <w:rsid w:val="00142BF3"/>
    <w:rsid w:val="00142F1A"/>
    <w:rsid w:val="00143620"/>
    <w:rsid w:val="00145313"/>
    <w:rsid w:val="00147E43"/>
    <w:rsid w:val="00150585"/>
    <w:rsid w:val="00152798"/>
    <w:rsid w:val="001549AB"/>
    <w:rsid w:val="00155A02"/>
    <w:rsid w:val="00157402"/>
    <w:rsid w:val="00157C3A"/>
    <w:rsid w:val="00160C55"/>
    <w:rsid w:val="00160EAC"/>
    <w:rsid w:val="00163944"/>
    <w:rsid w:val="001671DB"/>
    <w:rsid w:val="00171909"/>
    <w:rsid w:val="001735EE"/>
    <w:rsid w:val="001741D8"/>
    <w:rsid w:val="0017454D"/>
    <w:rsid w:val="00182730"/>
    <w:rsid w:val="00185253"/>
    <w:rsid w:val="001913A4"/>
    <w:rsid w:val="00196A44"/>
    <w:rsid w:val="001A0C82"/>
    <w:rsid w:val="001A27B3"/>
    <w:rsid w:val="001A3185"/>
    <w:rsid w:val="001A6038"/>
    <w:rsid w:val="001A79F4"/>
    <w:rsid w:val="001B1DBB"/>
    <w:rsid w:val="001B3984"/>
    <w:rsid w:val="001B3EEE"/>
    <w:rsid w:val="001B5046"/>
    <w:rsid w:val="001C265F"/>
    <w:rsid w:val="001C2FF5"/>
    <w:rsid w:val="001C3649"/>
    <w:rsid w:val="001D0065"/>
    <w:rsid w:val="001D3345"/>
    <w:rsid w:val="001D46C3"/>
    <w:rsid w:val="001D4C8E"/>
    <w:rsid w:val="001D5A5B"/>
    <w:rsid w:val="001E0E10"/>
    <w:rsid w:val="001E0F86"/>
    <w:rsid w:val="001E3B99"/>
    <w:rsid w:val="001E4CD2"/>
    <w:rsid w:val="001E61BB"/>
    <w:rsid w:val="001F2EA3"/>
    <w:rsid w:val="001F34AD"/>
    <w:rsid w:val="001F4EE1"/>
    <w:rsid w:val="001F4F78"/>
    <w:rsid w:val="001F5240"/>
    <w:rsid w:val="001F5581"/>
    <w:rsid w:val="001F7141"/>
    <w:rsid w:val="00200FB1"/>
    <w:rsid w:val="00202594"/>
    <w:rsid w:val="0020377F"/>
    <w:rsid w:val="00207693"/>
    <w:rsid w:val="002101C9"/>
    <w:rsid w:val="00212A2C"/>
    <w:rsid w:val="00213C92"/>
    <w:rsid w:val="00216605"/>
    <w:rsid w:val="002166C6"/>
    <w:rsid w:val="0021693D"/>
    <w:rsid w:val="00216B0E"/>
    <w:rsid w:val="00216DA8"/>
    <w:rsid w:val="0022010B"/>
    <w:rsid w:val="002215C9"/>
    <w:rsid w:val="00222598"/>
    <w:rsid w:val="002262EA"/>
    <w:rsid w:val="002302ED"/>
    <w:rsid w:val="002335EE"/>
    <w:rsid w:val="0023642A"/>
    <w:rsid w:val="00240D86"/>
    <w:rsid w:val="00242202"/>
    <w:rsid w:val="00244AAA"/>
    <w:rsid w:val="002512EC"/>
    <w:rsid w:val="00252B28"/>
    <w:rsid w:val="00256F02"/>
    <w:rsid w:val="002610FC"/>
    <w:rsid w:val="00261B7A"/>
    <w:rsid w:val="00262E76"/>
    <w:rsid w:val="00263007"/>
    <w:rsid w:val="00263CC4"/>
    <w:rsid w:val="00264C3A"/>
    <w:rsid w:val="00264FC5"/>
    <w:rsid w:val="002672D5"/>
    <w:rsid w:val="00270CAB"/>
    <w:rsid w:val="002719C8"/>
    <w:rsid w:val="00273E2C"/>
    <w:rsid w:val="002752BD"/>
    <w:rsid w:val="00276250"/>
    <w:rsid w:val="00276A28"/>
    <w:rsid w:val="00281439"/>
    <w:rsid w:val="00281FB7"/>
    <w:rsid w:val="0028212F"/>
    <w:rsid w:val="00292AD2"/>
    <w:rsid w:val="00292AD8"/>
    <w:rsid w:val="0029321A"/>
    <w:rsid w:val="00295365"/>
    <w:rsid w:val="00296D57"/>
    <w:rsid w:val="002977ED"/>
    <w:rsid w:val="002A076B"/>
    <w:rsid w:val="002A5B1B"/>
    <w:rsid w:val="002B5E9D"/>
    <w:rsid w:val="002B7644"/>
    <w:rsid w:val="002C0021"/>
    <w:rsid w:val="002C2547"/>
    <w:rsid w:val="002C482A"/>
    <w:rsid w:val="002C6478"/>
    <w:rsid w:val="002C68B8"/>
    <w:rsid w:val="002C7F2B"/>
    <w:rsid w:val="002D11E8"/>
    <w:rsid w:val="002D1C01"/>
    <w:rsid w:val="002D3469"/>
    <w:rsid w:val="002D54E6"/>
    <w:rsid w:val="002E3F4C"/>
    <w:rsid w:val="002F14AA"/>
    <w:rsid w:val="002F29DE"/>
    <w:rsid w:val="002F2A42"/>
    <w:rsid w:val="002F5408"/>
    <w:rsid w:val="002F7E08"/>
    <w:rsid w:val="0030020D"/>
    <w:rsid w:val="00302D40"/>
    <w:rsid w:val="0030695C"/>
    <w:rsid w:val="00312262"/>
    <w:rsid w:val="00312D85"/>
    <w:rsid w:val="0031651A"/>
    <w:rsid w:val="00321745"/>
    <w:rsid w:val="0032198D"/>
    <w:rsid w:val="00322ECC"/>
    <w:rsid w:val="00330A9D"/>
    <w:rsid w:val="00334324"/>
    <w:rsid w:val="003371DC"/>
    <w:rsid w:val="00343A5D"/>
    <w:rsid w:val="00345216"/>
    <w:rsid w:val="0034700C"/>
    <w:rsid w:val="003523F0"/>
    <w:rsid w:val="0035279B"/>
    <w:rsid w:val="003531E5"/>
    <w:rsid w:val="003551C3"/>
    <w:rsid w:val="003566E1"/>
    <w:rsid w:val="003649D9"/>
    <w:rsid w:val="00364DD6"/>
    <w:rsid w:val="00366770"/>
    <w:rsid w:val="00367E12"/>
    <w:rsid w:val="00374D44"/>
    <w:rsid w:val="00376802"/>
    <w:rsid w:val="00376FE9"/>
    <w:rsid w:val="0038008D"/>
    <w:rsid w:val="003804E5"/>
    <w:rsid w:val="00381A4F"/>
    <w:rsid w:val="0038488D"/>
    <w:rsid w:val="00385BA8"/>
    <w:rsid w:val="00393E59"/>
    <w:rsid w:val="0039499F"/>
    <w:rsid w:val="003968DB"/>
    <w:rsid w:val="003A1300"/>
    <w:rsid w:val="003A3726"/>
    <w:rsid w:val="003A72C9"/>
    <w:rsid w:val="003B00D2"/>
    <w:rsid w:val="003B13B4"/>
    <w:rsid w:val="003B1A93"/>
    <w:rsid w:val="003B24E3"/>
    <w:rsid w:val="003C3922"/>
    <w:rsid w:val="003C7085"/>
    <w:rsid w:val="003D05CE"/>
    <w:rsid w:val="003D15F7"/>
    <w:rsid w:val="003D2C99"/>
    <w:rsid w:val="003D38A7"/>
    <w:rsid w:val="003D557F"/>
    <w:rsid w:val="003D60E4"/>
    <w:rsid w:val="003D72D3"/>
    <w:rsid w:val="003D7EBA"/>
    <w:rsid w:val="003E25F8"/>
    <w:rsid w:val="003E2823"/>
    <w:rsid w:val="003E28F4"/>
    <w:rsid w:val="003E591D"/>
    <w:rsid w:val="003E7CA7"/>
    <w:rsid w:val="003F0660"/>
    <w:rsid w:val="003F1E83"/>
    <w:rsid w:val="003F4609"/>
    <w:rsid w:val="003F7076"/>
    <w:rsid w:val="0040361C"/>
    <w:rsid w:val="0040580B"/>
    <w:rsid w:val="00410690"/>
    <w:rsid w:val="00413FBE"/>
    <w:rsid w:val="00416D41"/>
    <w:rsid w:val="00417F51"/>
    <w:rsid w:val="00421BA0"/>
    <w:rsid w:val="0042387A"/>
    <w:rsid w:val="00423C94"/>
    <w:rsid w:val="0042628E"/>
    <w:rsid w:val="00426F4F"/>
    <w:rsid w:val="00434FC6"/>
    <w:rsid w:val="00443336"/>
    <w:rsid w:val="00443385"/>
    <w:rsid w:val="00443621"/>
    <w:rsid w:val="00447F4F"/>
    <w:rsid w:val="00450531"/>
    <w:rsid w:val="00451504"/>
    <w:rsid w:val="00452A5A"/>
    <w:rsid w:val="004575BA"/>
    <w:rsid w:val="004606FD"/>
    <w:rsid w:val="00464DB9"/>
    <w:rsid w:val="004650C5"/>
    <w:rsid w:val="00465F37"/>
    <w:rsid w:val="00471B35"/>
    <w:rsid w:val="00474EC2"/>
    <w:rsid w:val="00480824"/>
    <w:rsid w:val="00481B8E"/>
    <w:rsid w:val="004830FD"/>
    <w:rsid w:val="004835C8"/>
    <w:rsid w:val="00483632"/>
    <w:rsid w:val="0048385B"/>
    <w:rsid w:val="00487136"/>
    <w:rsid w:val="00492967"/>
    <w:rsid w:val="00494116"/>
    <w:rsid w:val="00494BC6"/>
    <w:rsid w:val="00494D1D"/>
    <w:rsid w:val="00495C21"/>
    <w:rsid w:val="00495F43"/>
    <w:rsid w:val="00497DD6"/>
    <w:rsid w:val="004A28E4"/>
    <w:rsid w:val="004A3D32"/>
    <w:rsid w:val="004A3DB8"/>
    <w:rsid w:val="004A6705"/>
    <w:rsid w:val="004A73AA"/>
    <w:rsid w:val="004B1E1A"/>
    <w:rsid w:val="004B336D"/>
    <w:rsid w:val="004B4B9F"/>
    <w:rsid w:val="004B5B0F"/>
    <w:rsid w:val="004B799B"/>
    <w:rsid w:val="004C208F"/>
    <w:rsid w:val="004C3B4E"/>
    <w:rsid w:val="004D0A0F"/>
    <w:rsid w:val="004D1EB1"/>
    <w:rsid w:val="004D1F76"/>
    <w:rsid w:val="004D7482"/>
    <w:rsid w:val="004E23E4"/>
    <w:rsid w:val="004E358C"/>
    <w:rsid w:val="004E4FDE"/>
    <w:rsid w:val="004E54B7"/>
    <w:rsid w:val="004E5D0E"/>
    <w:rsid w:val="004E61EC"/>
    <w:rsid w:val="004F02B2"/>
    <w:rsid w:val="004F0BCA"/>
    <w:rsid w:val="004F4F4D"/>
    <w:rsid w:val="004F7265"/>
    <w:rsid w:val="004F72F9"/>
    <w:rsid w:val="005004C9"/>
    <w:rsid w:val="005016F6"/>
    <w:rsid w:val="005016F7"/>
    <w:rsid w:val="00502FD6"/>
    <w:rsid w:val="005077A5"/>
    <w:rsid w:val="00507E67"/>
    <w:rsid w:val="005104DC"/>
    <w:rsid w:val="00511C93"/>
    <w:rsid w:val="00512601"/>
    <w:rsid w:val="0051308A"/>
    <w:rsid w:val="005136F3"/>
    <w:rsid w:val="00514CFD"/>
    <w:rsid w:val="00515CE6"/>
    <w:rsid w:val="00517930"/>
    <w:rsid w:val="00520FB0"/>
    <w:rsid w:val="005226CD"/>
    <w:rsid w:val="00523738"/>
    <w:rsid w:val="00530EAC"/>
    <w:rsid w:val="00532025"/>
    <w:rsid w:val="0053566F"/>
    <w:rsid w:val="005364DE"/>
    <w:rsid w:val="005428C6"/>
    <w:rsid w:val="00544E9A"/>
    <w:rsid w:val="00546650"/>
    <w:rsid w:val="0055248B"/>
    <w:rsid w:val="005537D0"/>
    <w:rsid w:val="005550D8"/>
    <w:rsid w:val="00573AB0"/>
    <w:rsid w:val="005755E9"/>
    <w:rsid w:val="00575DFA"/>
    <w:rsid w:val="00580D47"/>
    <w:rsid w:val="00582F9F"/>
    <w:rsid w:val="005834A0"/>
    <w:rsid w:val="00586745"/>
    <w:rsid w:val="005879A5"/>
    <w:rsid w:val="00591D14"/>
    <w:rsid w:val="005925BD"/>
    <w:rsid w:val="00592D6E"/>
    <w:rsid w:val="0059421A"/>
    <w:rsid w:val="005948F0"/>
    <w:rsid w:val="005963A0"/>
    <w:rsid w:val="0059655C"/>
    <w:rsid w:val="00596662"/>
    <w:rsid w:val="0059700F"/>
    <w:rsid w:val="005979EB"/>
    <w:rsid w:val="005A03A9"/>
    <w:rsid w:val="005A1EFC"/>
    <w:rsid w:val="005A6ACE"/>
    <w:rsid w:val="005A6F91"/>
    <w:rsid w:val="005B0E84"/>
    <w:rsid w:val="005B1B53"/>
    <w:rsid w:val="005B44D1"/>
    <w:rsid w:val="005B4E4C"/>
    <w:rsid w:val="005B6D05"/>
    <w:rsid w:val="005C103A"/>
    <w:rsid w:val="005C275E"/>
    <w:rsid w:val="005C4C97"/>
    <w:rsid w:val="005D2336"/>
    <w:rsid w:val="005D5151"/>
    <w:rsid w:val="005D51CA"/>
    <w:rsid w:val="005D6423"/>
    <w:rsid w:val="005D7AC4"/>
    <w:rsid w:val="005E4D76"/>
    <w:rsid w:val="005E6BD0"/>
    <w:rsid w:val="005E7E89"/>
    <w:rsid w:val="005F04EC"/>
    <w:rsid w:val="005F18DE"/>
    <w:rsid w:val="005F470C"/>
    <w:rsid w:val="005F591A"/>
    <w:rsid w:val="0060094A"/>
    <w:rsid w:val="006014EC"/>
    <w:rsid w:val="00601C99"/>
    <w:rsid w:val="00603743"/>
    <w:rsid w:val="00604F51"/>
    <w:rsid w:val="006060AD"/>
    <w:rsid w:val="00606D70"/>
    <w:rsid w:val="00610F84"/>
    <w:rsid w:val="00612573"/>
    <w:rsid w:val="0062255C"/>
    <w:rsid w:val="00623D8C"/>
    <w:rsid w:val="00623DEA"/>
    <w:rsid w:val="00623EC9"/>
    <w:rsid w:val="00624417"/>
    <w:rsid w:val="00625AA5"/>
    <w:rsid w:val="00632EE6"/>
    <w:rsid w:val="00633616"/>
    <w:rsid w:val="00634664"/>
    <w:rsid w:val="00637772"/>
    <w:rsid w:val="00637AC9"/>
    <w:rsid w:val="00640B12"/>
    <w:rsid w:val="0064258A"/>
    <w:rsid w:val="00643685"/>
    <w:rsid w:val="00643FB6"/>
    <w:rsid w:val="00645375"/>
    <w:rsid w:val="00651522"/>
    <w:rsid w:val="006525C5"/>
    <w:rsid w:val="006530FD"/>
    <w:rsid w:val="00654855"/>
    <w:rsid w:val="006553D6"/>
    <w:rsid w:val="00656178"/>
    <w:rsid w:val="00660888"/>
    <w:rsid w:val="00661E2A"/>
    <w:rsid w:val="006630B2"/>
    <w:rsid w:val="00663EB3"/>
    <w:rsid w:val="00665BB7"/>
    <w:rsid w:val="00666477"/>
    <w:rsid w:val="006668D4"/>
    <w:rsid w:val="0066791B"/>
    <w:rsid w:val="00670F33"/>
    <w:rsid w:val="0067132B"/>
    <w:rsid w:val="00674EAE"/>
    <w:rsid w:val="00676765"/>
    <w:rsid w:val="006820CE"/>
    <w:rsid w:val="006830CD"/>
    <w:rsid w:val="00685A33"/>
    <w:rsid w:val="00685C3A"/>
    <w:rsid w:val="006968BB"/>
    <w:rsid w:val="006A1473"/>
    <w:rsid w:val="006A41F1"/>
    <w:rsid w:val="006A64D5"/>
    <w:rsid w:val="006B0D82"/>
    <w:rsid w:val="006B40EC"/>
    <w:rsid w:val="006C0680"/>
    <w:rsid w:val="006C2F15"/>
    <w:rsid w:val="006C5639"/>
    <w:rsid w:val="006C7015"/>
    <w:rsid w:val="006D1857"/>
    <w:rsid w:val="006D7B6E"/>
    <w:rsid w:val="006D7BB6"/>
    <w:rsid w:val="006E082A"/>
    <w:rsid w:val="006E1C62"/>
    <w:rsid w:val="006E1D11"/>
    <w:rsid w:val="006E27A5"/>
    <w:rsid w:val="006E4937"/>
    <w:rsid w:val="006E63F3"/>
    <w:rsid w:val="006E6A13"/>
    <w:rsid w:val="006F157C"/>
    <w:rsid w:val="006F202E"/>
    <w:rsid w:val="006F20A4"/>
    <w:rsid w:val="006F3C0D"/>
    <w:rsid w:val="006F3FF3"/>
    <w:rsid w:val="006F410A"/>
    <w:rsid w:val="006F4891"/>
    <w:rsid w:val="006F5EA0"/>
    <w:rsid w:val="006F7575"/>
    <w:rsid w:val="007051EA"/>
    <w:rsid w:val="00706A33"/>
    <w:rsid w:val="00712339"/>
    <w:rsid w:val="00714E40"/>
    <w:rsid w:val="00715C88"/>
    <w:rsid w:val="00715D8F"/>
    <w:rsid w:val="0071791E"/>
    <w:rsid w:val="007206C9"/>
    <w:rsid w:val="00720E64"/>
    <w:rsid w:val="00723F6E"/>
    <w:rsid w:val="00725F93"/>
    <w:rsid w:val="00725FE5"/>
    <w:rsid w:val="0073367E"/>
    <w:rsid w:val="0073437F"/>
    <w:rsid w:val="0073581B"/>
    <w:rsid w:val="007362C1"/>
    <w:rsid w:val="0074137E"/>
    <w:rsid w:val="007413CE"/>
    <w:rsid w:val="00741591"/>
    <w:rsid w:val="00741F6B"/>
    <w:rsid w:val="0074369F"/>
    <w:rsid w:val="0074528B"/>
    <w:rsid w:val="007452E2"/>
    <w:rsid w:val="00747C79"/>
    <w:rsid w:val="00751CCA"/>
    <w:rsid w:val="00754057"/>
    <w:rsid w:val="007572E9"/>
    <w:rsid w:val="0075770C"/>
    <w:rsid w:val="0076028F"/>
    <w:rsid w:val="00762722"/>
    <w:rsid w:val="00762FE3"/>
    <w:rsid w:val="0076667B"/>
    <w:rsid w:val="00767573"/>
    <w:rsid w:val="00767B56"/>
    <w:rsid w:val="007701C9"/>
    <w:rsid w:val="007703A2"/>
    <w:rsid w:val="007706F8"/>
    <w:rsid w:val="00771670"/>
    <w:rsid w:val="00773919"/>
    <w:rsid w:val="00775DE3"/>
    <w:rsid w:val="00776974"/>
    <w:rsid w:val="0078135B"/>
    <w:rsid w:val="007814D6"/>
    <w:rsid w:val="007846C7"/>
    <w:rsid w:val="00784AF8"/>
    <w:rsid w:val="007859CD"/>
    <w:rsid w:val="007A1B15"/>
    <w:rsid w:val="007A6523"/>
    <w:rsid w:val="007A7272"/>
    <w:rsid w:val="007A7814"/>
    <w:rsid w:val="007A7FB8"/>
    <w:rsid w:val="007B26CD"/>
    <w:rsid w:val="007B3D0C"/>
    <w:rsid w:val="007B5BA5"/>
    <w:rsid w:val="007B720C"/>
    <w:rsid w:val="007C0C8C"/>
    <w:rsid w:val="007C4E46"/>
    <w:rsid w:val="007C66BE"/>
    <w:rsid w:val="007C6F35"/>
    <w:rsid w:val="007D0566"/>
    <w:rsid w:val="007D268B"/>
    <w:rsid w:val="007D38A9"/>
    <w:rsid w:val="007D4651"/>
    <w:rsid w:val="007D7CFE"/>
    <w:rsid w:val="007E314A"/>
    <w:rsid w:val="007E5841"/>
    <w:rsid w:val="007E6BCF"/>
    <w:rsid w:val="007E6F28"/>
    <w:rsid w:val="007F126E"/>
    <w:rsid w:val="007F443F"/>
    <w:rsid w:val="007F4528"/>
    <w:rsid w:val="007F6F57"/>
    <w:rsid w:val="008010A6"/>
    <w:rsid w:val="00804E1C"/>
    <w:rsid w:val="00806D75"/>
    <w:rsid w:val="0081055D"/>
    <w:rsid w:val="0081058F"/>
    <w:rsid w:val="00810A4C"/>
    <w:rsid w:val="008112C9"/>
    <w:rsid w:val="00813E3C"/>
    <w:rsid w:val="0081609E"/>
    <w:rsid w:val="00822C6B"/>
    <w:rsid w:val="00823719"/>
    <w:rsid w:val="00825110"/>
    <w:rsid w:val="00826AEC"/>
    <w:rsid w:val="00826D9D"/>
    <w:rsid w:val="008274C1"/>
    <w:rsid w:val="008277A9"/>
    <w:rsid w:val="008316E1"/>
    <w:rsid w:val="00833E90"/>
    <w:rsid w:val="00835216"/>
    <w:rsid w:val="00835D5C"/>
    <w:rsid w:val="00842D8F"/>
    <w:rsid w:val="00842FFE"/>
    <w:rsid w:val="008501C7"/>
    <w:rsid w:val="00851B4B"/>
    <w:rsid w:val="00855D0B"/>
    <w:rsid w:val="00857302"/>
    <w:rsid w:val="0085741B"/>
    <w:rsid w:val="00861640"/>
    <w:rsid w:val="00870831"/>
    <w:rsid w:val="008718E5"/>
    <w:rsid w:val="00871B31"/>
    <w:rsid w:val="008827D6"/>
    <w:rsid w:val="008844B1"/>
    <w:rsid w:val="00890878"/>
    <w:rsid w:val="00891B11"/>
    <w:rsid w:val="00891F2D"/>
    <w:rsid w:val="00892181"/>
    <w:rsid w:val="00892DE1"/>
    <w:rsid w:val="00895722"/>
    <w:rsid w:val="00896009"/>
    <w:rsid w:val="00897192"/>
    <w:rsid w:val="00897A38"/>
    <w:rsid w:val="008A1777"/>
    <w:rsid w:val="008A2427"/>
    <w:rsid w:val="008A5760"/>
    <w:rsid w:val="008B110A"/>
    <w:rsid w:val="008B3C43"/>
    <w:rsid w:val="008B5573"/>
    <w:rsid w:val="008C079A"/>
    <w:rsid w:val="008C147E"/>
    <w:rsid w:val="008D5E9E"/>
    <w:rsid w:val="008D72B1"/>
    <w:rsid w:val="008E0F73"/>
    <w:rsid w:val="008E5C4F"/>
    <w:rsid w:val="008E6162"/>
    <w:rsid w:val="008E7869"/>
    <w:rsid w:val="008E7927"/>
    <w:rsid w:val="008F312E"/>
    <w:rsid w:val="008F46B7"/>
    <w:rsid w:val="008F4BCE"/>
    <w:rsid w:val="008F5915"/>
    <w:rsid w:val="008F5DBB"/>
    <w:rsid w:val="0090034D"/>
    <w:rsid w:val="009062A4"/>
    <w:rsid w:val="00910163"/>
    <w:rsid w:val="009121F7"/>
    <w:rsid w:val="00912A58"/>
    <w:rsid w:val="00916532"/>
    <w:rsid w:val="00917786"/>
    <w:rsid w:val="00924E88"/>
    <w:rsid w:val="00926505"/>
    <w:rsid w:val="00932C16"/>
    <w:rsid w:val="00934746"/>
    <w:rsid w:val="00934DD5"/>
    <w:rsid w:val="0093522C"/>
    <w:rsid w:val="00935D14"/>
    <w:rsid w:val="00936E17"/>
    <w:rsid w:val="00940C2E"/>
    <w:rsid w:val="00942163"/>
    <w:rsid w:val="0094219B"/>
    <w:rsid w:val="00946523"/>
    <w:rsid w:val="00950874"/>
    <w:rsid w:val="00951347"/>
    <w:rsid w:val="00954FB2"/>
    <w:rsid w:val="00956270"/>
    <w:rsid w:val="00963756"/>
    <w:rsid w:val="00964466"/>
    <w:rsid w:val="00964ECA"/>
    <w:rsid w:val="00965F44"/>
    <w:rsid w:val="00972FCF"/>
    <w:rsid w:val="00975E49"/>
    <w:rsid w:val="00981FB0"/>
    <w:rsid w:val="00982379"/>
    <w:rsid w:val="00986297"/>
    <w:rsid w:val="0099341E"/>
    <w:rsid w:val="00993857"/>
    <w:rsid w:val="00995540"/>
    <w:rsid w:val="00997A06"/>
    <w:rsid w:val="009A12F9"/>
    <w:rsid w:val="009A1EA3"/>
    <w:rsid w:val="009A1FA7"/>
    <w:rsid w:val="009A3187"/>
    <w:rsid w:val="009A47FE"/>
    <w:rsid w:val="009A5380"/>
    <w:rsid w:val="009A7441"/>
    <w:rsid w:val="009B10B6"/>
    <w:rsid w:val="009B2AD3"/>
    <w:rsid w:val="009B7148"/>
    <w:rsid w:val="009B7429"/>
    <w:rsid w:val="009B76D6"/>
    <w:rsid w:val="009C0583"/>
    <w:rsid w:val="009C0B93"/>
    <w:rsid w:val="009C361A"/>
    <w:rsid w:val="009C3938"/>
    <w:rsid w:val="009C4027"/>
    <w:rsid w:val="009C5F4E"/>
    <w:rsid w:val="009D0D94"/>
    <w:rsid w:val="009D1232"/>
    <w:rsid w:val="009D2132"/>
    <w:rsid w:val="009D25F9"/>
    <w:rsid w:val="009D2C22"/>
    <w:rsid w:val="009D38BF"/>
    <w:rsid w:val="009D4E7A"/>
    <w:rsid w:val="009D72CF"/>
    <w:rsid w:val="009E61BB"/>
    <w:rsid w:val="009F15B9"/>
    <w:rsid w:val="009F164F"/>
    <w:rsid w:val="009F1C07"/>
    <w:rsid w:val="009F1C62"/>
    <w:rsid w:val="009F530C"/>
    <w:rsid w:val="009F628A"/>
    <w:rsid w:val="00A00D30"/>
    <w:rsid w:val="00A0113A"/>
    <w:rsid w:val="00A04D8E"/>
    <w:rsid w:val="00A07BE4"/>
    <w:rsid w:val="00A11B04"/>
    <w:rsid w:val="00A15244"/>
    <w:rsid w:val="00A159B6"/>
    <w:rsid w:val="00A2151F"/>
    <w:rsid w:val="00A21A6A"/>
    <w:rsid w:val="00A24C4D"/>
    <w:rsid w:val="00A25906"/>
    <w:rsid w:val="00A26C76"/>
    <w:rsid w:val="00A305E5"/>
    <w:rsid w:val="00A32AA1"/>
    <w:rsid w:val="00A34EAE"/>
    <w:rsid w:val="00A40EAF"/>
    <w:rsid w:val="00A4399A"/>
    <w:rsid w:val="00A446DB"/>
    <w:rsid w:val="00A45BC8"/>
    <w:rsid w:val="00A46630"/>
    <w:rsid w:val="00A53877"/>
    <w:rsid w:val="00A54CC2"/>
    <w:rsid w:val="00A60591"/>
    <w:rsid w:val="00A64AE4"/>
    <w:rsid w:val="00A67992"/>
    <w:rsid w:val="00A706A2"/>
    <w:rsid w:val="00A7383F"/>
    <w:rsid w:val="00A74F16"/>
    <w:rsid w:val="00A75539"/>
    <w:rsid w:val="00A75E19"/>
    <w:rsid w:val="00A775C6"/>
    <w:rsid w:val="00A808B8"/>
    <w:rsid w:val="00A817F8"/>
    <w:rsid w:val="00A875EE"/>
    <w:rsid w:val="00A900E8"/>
    <w:rsid w:val="00A92B4B"/>
    <w:rsid w:val="00A92D6E"/>
    <w:rsid w:val="00A970F8"/>
    <w:rsid w:val="00AA11B9"/>
    <w:rsid w:val="00AA4872"/>
    <w:rsid w:val="00AA54A5"/>
    <w:rsid w:val="00AA6C6B"/>
    <w:rsid w:val="00AA7DB0"/>
    <w:rsid w:val="00AB20BD"/>
    <w:rsid w:val="00AB2522"/>
    <w:rsid w:val="00AB52BE"/>
    <w:rsid w:val="00AC5CAC"/>
    <w:rsid w:val="00AC7961"/>
    <w:rsid w:val="00AD3FF3"/>
    <w:rsid w:val="00AD4251"/>
    <w:rsid w:val="00AD4EF6"/>
    <w:rsid w:val="00AD55FD"/>
    <w:rsid w:val="00AD5816"/>
    <w:rsid w:val="00AE1096"/>
    <w:rsid w:val="00AE2039"/>
    <w:rsid w:val="00AE50A8"/>
    <w:rsid w:val="00AF067F"/>
    <w:rsid w:val="00AF073D"/>
    <w:rsid w:val="00AF4290"/>
    <w:rsid w:val="00AF644A"/>
    <w:rsid w:val="00AF68D3"/>
    <w:rsid w:val="00AF7ACE"/>
    <w:rsid w:val="00B00205"/>
    <w:rsid w:val="00B00A4F"/>
    <w:rsid w:val="00B00E20"/>
    <w:rsid w:val="00B0107A"/>
    <w:rsid w:val="00B02673"/>
    <w:rsid w:val="00B04D97"/>
    <w:rsid w:val="00B05AC1"/>
    <w:rsid w:val="00B06546"/>
    <w:rsid w:val="00B06BC2"/>
    <w:rsid w:val="00B11FD1"/>
    <w:rsid w:val="00B136D6"/>
    <w:rsid w:val="00B1448A"/>
    <w:rsid w:val="00B21010"/>
    <w:rsid w:val="00B26014"/>
    <w:rsid w:val="00B2709E"/>
    <w:rsid w:val="00B35FDC"/>
    <w:rsid w:val="00B368DA"/>
    <w:rsid w:val="00B43892"/>
    <w:rsid w:val="00B44B94"/>
    <w:rsid w:val="00B468EF"/>
    <w:rsid w:val="00B5017E"/>
    <w:rsid w:val="00B5079C"/>
    <w:rsid w:val="00B508E2"/>
    <w:rsid w:val="00B579BB"/>
    <w:rsid w:val="00B57AAB"/>
    <w:rsid w:val="00B57CED"/>
    <w:rsid w:val="00B606D0"/>
    <w:rsid w:val="00B60A33"/>
    <w:rsid w:val="00B632B3"/>
    <w:rsid w:val="00B667BC"/>
    <w:rsid w:val="00B667E7"/>
    <w:rsid w:val="00B7015D"/>
    <w:rsid w:val="00B7136E"/>
    <w:rsid w:val="00B718AB"/>
    <w:rsid w:val="00B7616E"/>
    <w:rsid w:val="00B827E1"/>
    <w:rsid w:val="00B83CAC"/>
    <w:rsid w:val="00B84995"/>
    <w:rsid w:val="00B85950"/>
    <w:rsid w:val="00B86812"/>
    <w:rsid w:val="00B91010"/>
    <w:rsid w:val="00B917E5"/>
    <w:rsid w:val="00B9286A"/>
    <w:rsid w:val="00B93470"/>
    <w:rsid w:val="00B95BBF"/>
    <w:rsid w:val="00B96036"/>
    <w:rsid w:val="00B96AC8"/>
    <w:rsid w:val="00BA12CD"/>
    <w:rsid w:val="00BA25B6"/>
    <w:rsid w:val="00BA3920"/>
    <w:rsid w:val="00BA6CC6"/>
    <w:rsid w:val="00BA782D"/>
    <w:rsid w:val="00BB1AAC"/>
    <w:rsid w:val="00BB4C28"/>
    <w:rsid w:val="00BB5426"/>
    <w:rsid w:val="00BC2768"/>
    <w:rsid w:val="00BC33C2"/>
    <w:rsid w:val="00BC4F9E"/>
    <w:rsid w:val="00BC647C"/>
    <w:rsid w:val="00BC7539"/>
    <w:rsid w:val="00BC79C1"/>
    <w:rsid w:val="00BD0FCC"/>
    <w:rsid w:val="00BD1088"/>
    <w:rsid w:val="00BD33FC"/>
    <w:rsid w:val="00BD3A7C"/>
    <w:rsid w:val="00BD4961"/>
    <w:rsid w:val="00BE0387"/>
    <w:rsid w:val="00BE2D99"/>
    <w:rsid w:val="00BE54D6"/>
    <w:rsid w:val="00BF1481"/>
    <w:rsid w:val="00BF2610"/>
    <w:rsid w:val="00C001D0"/>
    <w:rsid w:val="00C02A39"/>
    <w:rsid w:val="00C02FE1"/>
    <w:rsid w:val="00C04E3C"/>
    <w:rsid w:val="00C05425"/>
    <w:rsid w:val="00C069B8"/>
    <w:rsid w:val="00C074EF"/>
    <w:rsid w:val="00C10B42"/>
    <w:rsid w:val="00C12720"/>
    <w:rsid w:val="00C15432"/>
    <w:rsid w:val="00C15AC4"/>
    <w:rsid w:val="00C21149"/>
    <w:rsid w:val="00C2773E"/>
    <w:rsid w:val="00C3128B"/>
    <w:rsid w:val="00C33674"/>
    <w:rsid w:val="00C3385B"/>
    <w:rsid w:val="00C41470"/>
    <w:rsid w:val="00C41FF2"/>
    <w:rsid w:val="00C43AE0"/>
    <w:rsid w:val="00C54747"/>
    <w:rsid w:val="00C5514E"/>
    <w:rsid w:val="00C55D92"/>
    <w:rsid w:val="00C56C98"/>
    <w:rsid w:val="00C61690"/>
    <w:rsid w:val="00C6254D"/>
    <w:rsid w:val="00C629B9"/>
    <w:rsid w:val="00C645BC"/>
    <w:rsid w:val="00C646C4"/>
    <w:rsid w:val="00C739AF"/>
    <w:rsid w:val="00C75935"/>
    <w:rsid w:val="00C76463"/>
    <w:rsid w:val="00C85696"/>
    <w:rsid w:val="00C9002C"/>
    <w:rsid w:val="00C91204"/>
    <w:rsid w:val="00C922D7"/>
    <w:rsid w:val="00C935C2"/>
    <w:rsid w:val="00C93727"/>
    <w:rsid w:val="00C95BFB"/>
    <w:rsid w:val="00CA19F5"/>
    <w:rsid w:val="00CA57D4"/>
    <w:rsid w:val="00CA6173"/>
    <w:rsid w:val="00CA65FF"/>
    <w:rsid w:val="00CB0938"/>
    <w:rsid w:val="00CB220A"/>
    <w:rsid w:val="00CC2800"/>
    <w:rsid w:val="00CC3420"/>
    <w:rsid w:val="00CC3BC7"/>
    <w:rsid w:val="00CC547C"/>
    <w:rsid w:val="00CC60FF"/>
    <w:rsid w:val="00CD58C8"/>
    <w:rsid w:val="00CD7760"/>
    <w:rsid w:val="00CE0468"/>
    <w:rsid w:val="00CE123C"/>
    <w:rsid w:val="00CE13DA"/>
    <w:rsid w:val="00CE1CE6"/>
    <w:rsid w:val="00CE3C39"/>
    <w:rsid w:val="00CE75B5"/>
    <w:rsid w:val="00CF0F94"/>
    <w:rsid w:val="00CF2D98"/>
    <w:rsid w:val="00CF436B"/>
    <w:rsid w:val="00CF5AB1"/>
    <w:rsid w:val="00CF73B4"/>
    <w:rsid w:val="00D00E78"/>
    <w:rsid w:val="00D01738"/>
    <w:rsid w:val="00D04F96"/>
    <w:rsid w:val="00D1383A"/>
    <w:rsid w:val="00D22050"/>
    <w:rsid w:val="00D23424"/>
    <w:rsid w:val="00D24DA4"/>
    <w:rsid w:val="00D26F28"/>
    <w:rsid w:val="00D30D15"/>
    <w:rsid w:val="00D32839"/>
    <w:rsid w:val="00D33EE3"/>
    <w:rsid w:val="00D343EC"/>
    <w:rsid w:val="00D3500F"/>
    <w:rsid w:val="00D36EA4"/>
    <w:rsid w:val="00D40769"/>
    <w:rsid w:val="00D4202F"/>
    <w:rsid w:val="00D43052"/>
    <w:rsid w:val="00D436D4"/>
    <w:rsid w:val="00D45810"/>
    <w:rsid w:val="00D466D2"/>
    <w:rsid w:val="00D50ABF"/>
    <w:rsid w:val="00D51EBD"/>
    <w:rsid w:val="00D532B4"/>
    <w:rsid w:val="00D55ACB"/>
    <w:rsid w:val="00D571E0"/>
    <w:rsid w:val="00D616E2"/>
    <w:rsid w:val="00D61F8E"/>
    <w:rsid w:val="00D63636"/>
    <w:rsid w:val="00D63CFC"/>
    <w:rsid w:val="00D66D34"/>
    <w:rsid w:val="00D66FE8"/>
    <w:rsid w:val="00D716E4"/>
    <w:rsid w:val="00D73D1A"/>
    <w:rsid w:val="00D7427C"/>
    <w:rsid w:val="00D75C74"/>
    <w:rsid w:val="00D75E95"/>
    <w:rsid w:val="00D858E5"/>
    <w:rsid w:val="00D92557"/>
    <w:rsid w:val="00DA13C8"/>
    <w:rsid w:val="00DA53C7"/>
    <w:rsid w:val="00DA5809"/>
    <w:rsid w:val="00DA58BF"/>
    <w:rsid w:val="00DA7B48"/>
    <w:rsid w:val="00DA7C18"/>
    <w:rsid w:val="00DB03B7"/>
    <w:rsid w:val="00DB2350"/>
    <w:rsid w:val="00DB4551"/>
    <w:rsid w:val="00DC1048"/>
    <w:rsid w:val="00DC44CF"/>
    <w:rsid w:val="00DC6DE1"/>
    <w:rsid w:val="00DC723E"/>
    <w:rsid w:val="00DD01C5"/>
    <w:rsid w:val="00DD23C0"/>
    <w:rsid w:val="00DD4AB3"/>
    <w:rsid w:val="00DD4D5D"/>
    <w:rsid w:val="00DD517E"/>
    <w:rsid w:val="00DE17E2"/>
    <w:rsid w:val="00DE3020"/>
    <w:rsid w:val="00DE4D85"/>
    <w:rsid w:val="00DE6D9A"/>
    <w:rsid w:val="00DE6DD3"/>
    <w:rsid w:val="00DF18B6"/>
    <w:rsid w:val="00DF317F"/>
    <w:rsid w:val="00DF3C7A"/>
    <w:rsid w:val="00DF42DF"/>
    <w:rsid w:val="00DF70C1"/>
    <w:rsid w:val="00DF71A8"/>
    <w:rsid w:val="00E027B0"/>
    <w:rsid w:val="00E02A24"/>
    <w:rsid w:val="00E06484"/>
    <w:rsid w:val="00E11403"/>
    <w:rsid w:val="00E11DA9"/>
    <w:rsid w:val="00E16303"/>
    <w:rsid w:val="00E16925"/>
    <w:rsid w:val="00E27247"/>
    <w:rsid w:val="00E31CA5"/>
    <w:rsid w:val="00E31D49"/>
    <w:rsid w:val="00E3382E"/>
    <w:rsid w:val="00E348DD"/>
    <w:rsid w:val="00E3492D"/>
    <w:rsid w:val="00E3753A"/>
    <w:rsid w:val="00E37543"/>
    <w:rsid w:val="00E412A7"/>
    <w:rsid w:val="00E42E28"/>
    <w:rsid w:val="00E43BF3"/>
    <w:rsid w:val="00E44DE5"/>
    <w:rsid w:val="00E45C4B"/>
    <w:rsid w:val="00E47525"/>
    <w:rsid w:val="00E47720"/>
    <w:rsid w:val="00E47F91"/>
    <w:rsid w:val="00E5126C"/>
    <w:rsid w:val="00E526A4"/>
    <w:rsid w:val="00E53B45"/>
    <w:rsid w:val="00E545F1"/>
    <w:rsid w:val="00E54BAD"/>
    <w:rsid w:val="00E551C4"/>
    <w:rsid w:val="00E56B67"/>
    <w:rsid w:val="00E570ED"/>
    <w:rsid w:val="00E627ED"/>
    <w:rsid w:val="00E63798"/>
    <w:rsid w:val="00E652D9"/>
    <w:rsid w:val="00E6619D"/>
    <w:rsid w:val="00E7442E"/>
    <w:rsid w:val="00E756CD"/>
    <w:rsid w:val="00E82188"/>
    <w:rsid w:val="00E825A1"/>
    <w:rsid w:val="00E85293"/>
    <w:rsid w:val="00E871CE"/>
    <w:rsid w:val="00E87AC7"/>
    <w:rsid w:val="00E9315E"/>
    <w:rsid w:val="00E9468D"/>
    <w:rsid w:val="00E94F03"/>
    <w:rsid w:val="00E97903"/>
    <w:rsid w:val="00EA37FC"/>
    <w:rsid w:val="00EA68DF"/>
    <w:rsid w:val="00EB0687"/>
    <w:rsid w:val="00EB0FC5"/>
    <w:rsid w:val="00EB1910"/>
    <w:rsid w:val="00EB317F"/>
    <w:rsid w:val="00EB335D"/>
    <w:rsid w:val="00EB62F2"/>
    <w:rsid w:val="00ED2C29"/>
    <w:rsid w:val="00ED3624"/>
    <w:rsid w:val="00ED7253"/>
    <w:rsid w:val="00EE02F0"/>
    <w:rsid w:val="00EE2F16"/>
    <w:rsid w:val="00EE68A4"/>
    <w:rsid w:val="00EE6FBD"/>
    <w:rsid w:val="00EE72DB"/>
    <w:rsid w:val="00EF1CB1"/>
    <w:rsid w:val="00EF56F9"/>
    <w:rsid w:val="00F00537"/>
    <w:rsid w:val="00F03418"/>
    <w:rsid w:val="00F04678"/>
    <w:rsid w:val="00F062BF"/>
    <w:rsid w:val="00F06437"/>
    <w:rsid w:val="00F0775B"/>
    <w:rsid w:val="00F1031E"/>
    <w:rsid w:val="00F10A29"/>
    <w:rsid w:val="00F10ACE"/>
    <w:rsid w:val="00F16658"/>
    <w:rsid w:val="00F16692"/>
    <w:rsid w:val="00F20D0D"/>
    <w:rsid w:val="00F229CE"/>
    <w:rsid w:val="00F23065"/>
    <w:rsid w:val="00F25E21"/>
    <w:rsid w:val="00F26087"/>
    <w:rsid w:val="00F27024"/>
    <w:rsid w:val="00F27DDD"/>
    <w:rsid w:val="00F3088D"/>
    <w:rsid w:val="00F341FB"/>
    <w:rsid w:val="00F37AD2"/>
    <w:rsid w:val="00F43CF0"/>
    <w:rsid w:val="00F4680E"/>
    <w:rsid w:val="00F46EBB"/>
    <w:rsid w:val="00F47088"/>
    <w:rsid w:val="00F51B37"/>
    <w:rsid w:val="00F541D1"/>
    <w:rsid w:val="00F54C17"/>
    <w:rsid w:val="00F641E1"/>
    <w:rsid w:val="00F644EA"/>
    <w:rsid w:val="00F6521F"/>
    <w:rsid w:val="00F652E7"/>
    <w:rsid w:val="00F654C6"/>
    <w:rsid w:val="00F674C8"/>
    <w:rsid w:val="00F70176"/>
    <w:rsid w:val="00F70871"/>
    <w:rsid w:val="00F73186"/>
    <w:rsid w:val="00F75C84"/>
    <w:rsid w:val="00F75EDB"/>
    <w:rsid w:val="00F75F1E"/>
    <w:rsid w:val="00F762E5"/>
    <w:rsid w:val="00F76491"/>
    <w:rsid w:val="00F81BD3"/>
    <w:rsid w:val="00F8230E"/>
    <w:rsid w:val="00F930A8"/>
    <w:rsid w:val="00F94C84"/>
    <w:rsid w:val="00FA3B81"/>
    <w:rsid w:val="00FA5DE4"/>
    <w:rsid w:val="00FA5E7B"/>
    <w:rsid w:val="00FA7384"/>
    <w:rsid w:val="00FB2C2F"/>
    <w:rsid w:val="00FB5F5C"/>
    <w:rsid w:val="00FB6AF8"/>
    <w:rsid w:val="00FB6E59"/>
    <w:rsid w:val="00FC0D3E"/>
    <w:rsid w:val="00FC319F"/>
    <w:rsid w:val="00FC3884"/>
    <w:rsid w:val="00FC4DC9"/>
    <w:rsid w:val="00FC4F6B"/>
    <w:rsid w:val="00FD36A3"/>
    <w:rsid w:val="00FD4333"/>
    <w:rsid w:val="00FD46E0"/>
    <w:rsid w:val="00FD61B9"/>
    <w:rsid w:val="00FD7FF0"/>
    <w:rsid w:val="00FE1018"/>
    <w:rsid w:val="00FE16D2"/>
    <w:rsid w:val="00FE1950"/>
    <w:rsid w:val="00FE2ED3"/>
    <w:rsid w:val="00FE4F72"/>
    <w:rsid w:val="00FE500D"/>
    <w:rsid w:val="00FE56B8"/>
    <w:rsid w:val="00FE65DB"/>
    <w:rsid w:val="00FE6FD3"/>
    <w:rsid w:val="00FF0C96"/>
    <w:rsid w:val="00FF2904"/>
    <w:rsid w:val="00FF58D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DCA1E"/>
  <w15:docId w15:val="{1AA4A7E8-964A-4F29-B8D4-C4D20DB8C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4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4651"/>
  </w:style>
  <w:style w:type="paragraph" w:styleId="Piedepgina">
    <w:name w:val="footer"/>
    <w:basedOn w:val="Normal"/>
    <w:link w:val="PiedepginaCar"/>
    <w:uiPriority w:val="99"/>
    <w:unhideWhenUsed/>
    <w:rsid w:val="007D4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4651"/>
  </w:style>
  <w:style w:type="paragraph" w:styleId="Sinespaciado">
    <w:name w:val="No Spacing"/>
    <w:link w:val="SinespaciadoCar"/>
    <w:uiPriority w:val="1"/>
    <w:qFormat/>
    <w:rsid w:val="007D4651"/>
    <w:pPr>
      <w:spacing w:after="0" w:line="240" w:lineRule="auto"/>
    </w:pPr>
  </w:style>
  <w:style w:type="character" w:customStyle="1" w:styleId="SinespaciadoCar">
    <w:name w:val="Sin espaciado Car"/>
    <w:basedOn w:val="Fuentedeprrafopredeter"/>
    <w:link w:val="Sinespaciado"/>
    <w:uiPriority w:val="1"/>
    <w:locked/>
    <w:rsid w:val="007D4651"/>
  </w:style>
  <w:style w:type="paragraph" w:styleId="Textonotapie">
    <w:name w:val="footnote text"/>
    <w:aliases w:val="Texto nota pie Car Car Car Car Car Car,Texto nota pie Car Car Car Car Car Car Car,Texto nota pie Car Car Car Car Car Car Ca"/>
    <w:basedOn w:val="Normal"/>
    <w:link w:val="TextonotapieCar"/>
    <w:uiPriority w:val="99"/>
    <w:unhideWhenUsed/>
    <w:rsid w:val="00FA3B81"/>
    <w:pPr>
      <w:spacing w:after="0" w:line="240" w:lineRule="auto"/>
    </w:pPr>
    <w:rPr>
      <w:sz w:val="20"/>
      <w:szCs w:val="20"/>
    </w:rPr>
  </w:style>
  <w:style w:type="character" w:customStyle="1" w:styleId="TextonotapieCar">
    <w:name w:val="Texto nota pie Car"/>
    <w:aliases w:val="Texto nota pie Car Car Car Car Car Car Car1,Texto nota pie Car Car Car Car Car Car Car Car,Texto nota pie Car Car Car Car Car Car Ca Car"/>
    <w:basedOn w:val="Fuentedeprrafopredeter"/>
    <w:link w:val="Textonotapie"/>
    <w:uiPriority w:val="99"/>
    <w:rsid w:val="00FA3B81"/>
    <w:rPr>
      <w:sz w:val="20"/>
      <w:szCs w:val="20"/>
    </w:rPr>
  </w:style>
  <w:style w:type="character" w:styleId="Refdenotaalpie">
    <w:name w:val="footnote reference"/>
    <w:basedOn w:val="Fuentedeprrafopredeter"/>
    <w:uiPriority w:val="99"/>
    <w:semiHidden/>
    <w:unhideWhenUsed/>
    <w:rsid w:val="00FA3B81"/>
    <w:rPr>
      <w:vertAlign w:val="superscript"/>
    </w:rPr>
  </w:style>
  <w:style w:type="table" w:styleId="Tablaconcuadrcula">
    <w:name w:val="Table Grid"/>
    <w:basedOn w:val="Tablanormal"/>
    <w:uiPriority w:val="59"/>
    <w:rsid w:val="00FA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D01C5"/>
    <w:pPr>
      <w:spacing w:after="0" w:line="240" w:lineRule="auto"/>
      <w:ind w:left="720"/>
      <w:contextualSpacing/>
    </w:pPr>
  </w:style>
  <w:style w:type="paragraph" w:styleId="NormalWeb">
    <w:name w:val="Normal (Web)"/>
    <w:basedOn w:val="Normal"/>
    <w:uiPriority w:val="99"/>
    <w:semiHidden/>
    <w:unhideWhenUsed/>
    <w:rsid w:val="00213C92"/>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customStyle="1" w:styleId="Default">
    <w:name w:val="Default"/>
    <w:rsid w:val="00EB317F"/>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AF42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4290"/>
    <w:rPr>
      <w:rFonts w:ascii="Tahoma" w:hAnsi="Tahoma" w:cs="Tahoma"/>
      <w:sz w:val="16"/>
      <w:szCs w:val="16"/>
    </w:rPr>
  </w:style>
  <w:style w:type="paragraph" w:customStyle="1" w:styleId="Normal1">
    <w:name w:val="Normal1"/>
    <w:basedOn w:val="Normal"/>
    <w:rsid w:val="00F541D1"/>
    <w:pPr>
      <w:spacing w:after="0" w:line="240" w:lineRule="auto"/>
    </w:pPr>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951055">
      <w:bodyDiv w:val="1"/>
      <w:marLeft w:val="0"/>
      <w:marRight w:val="0"/>
      <w:marTop w:val="0"/>
      <w:marBottom w:val="0"/>
      <w:divBdr>
        <w:top w:val="none" w:sz="0" w:space="0" w:color="auto"/>
        <w:left w:val="none" w:sz="0" w:space="0" w:color="auto"/>
        <w:bottom w:val="none" w:sz="0" w:space="0" w:color="auto"/>
        <w:right w:val="none" w:sz="0" w:space="0" w:color="auto"/>
      </w:divBdr>
    </w:div>
    <w:div w:id="517159523">
      <w:bodyDiv w:val="1"/>
      <w:marLeft w:val="0"/>
      <w:marRight w:val="0"/>
      <w:marTop w:val="0"/>
      <w:marBottom w:val="0"/>
      <w:divBdr>
        <w:top w:val="none" w:sz="0" w:space="0" w:color="auto"/>
        <w:left w:val="none" w:sz="0" w:space="0" w:color="auto"/>
        <w:bottom w:val="none" w:sz="0" w:space="0" w:color="auto"/>
        <w:right w:val="none" w:sz="0" w:space="0" w:color="auto"/>
      </w:divBdr>
    </w:div>
    <w:div w:id="528221259">
      <w:bodyDiv w:val="1"/>
      <w:marLeft w:val="0"/>
      <w:marRight w:val="0"/>
      <w:marTop w:val="0"/>
      <w:marBottom w:val="0"/>
      <w:divBdr>
        <w:top w:val="none" w:sz="0" w:space="0" w:color="auto"/>
        <w:left w:val="none" w:sz="0" w:space="0" w:color="auto"/>
        <w:bottom w:val="none" w:sz="0" w:space="0" w:color="auto"/>
        <w:right w:val="none" w:sz="0" w:space="0" w:color="auto"/>
      </w:divBdr>
    </w:div>
    <w:div w:id="536358022">
      <w:bodyDiv w:val="1"/>
      <w:marLeft w:val="0"/>
      <w:marRight w:val="0"/>
      <w:marTop w:val="0"/>
      <w:marBottom w:val="0"/>
      <w:divBdr>
        <w:top w:val="none" w:sz="0" w:space="0" w:color="auto"/>
        <w:left w:val="none" w:sz="0" w:space="0" w:color="auto"/>
        <w:bottom w:val="none" w:sz="0" w:space="0" w:color="auto"/>
        <w:right w:val="none" w:sz="0" w:space="0" w:color="auto"/>
      </w:divBdr>
    </w:div>
    <w:div w:id="1241788255">
      <w:bodyDiv w:val="1"/>
      <w:marLeft w:val="0"/>
      <w:marRight w:val="0"/>
      <w:marTop w:val="0"/>
      <w:marBottom w:val="0"/>
      <w:divBdr>
        <w:top w:val="none" w:sz="0" w:space="0" w:color="auto"/>
        <w:left w:val="none" w:sz="0" w:space="0" w:color="auto"/>
        <w:bottom w:val="none" w:sz="0" w:space="0" w:color="auto"/>
        <w:right w:val="none" w:sz="0" w:space="0" w:color="auto"/>
      </w:divBdr>
    </w:div>
    <w:div w:id="1562714576">
      <w:bodyDiv w:val="1"/>
      <w:marLeft w:val="0"/>
      <w:marRight w:val="0"/>
      <w:marTop w:val="0"/>
      <w:marBottom w:val="0"/>
      <w:divBdr>
        <w:top w:val="none" w:sz="0" w:space="0" w:color="auto"/>
        <w:left w:val="none" w:sz="0" w:space="0" w:color="auto"/>
        <w:bottom w:val="none" w:sz="0" w:space="0" w:color="auto"/>
        <w:right w:val="none" w:sz="0" w:space="0" w:color="auto"/>
      </w:divBdr>
      <w:divsChild>
        <w:div w:id="330841121">
          <w:marLeft w:val="150"/>
          <w:marRight w:val="0"/>
          <w:marTop w:val="90"/>
          <w:marBottom w:val="0"/>
          <w:divBdr>
            <w:top w:val="none" w:sz="0" w:space="0" w:color="auto"/>
            <w:left w:val="none" w:sz="0" w:space="0" w:color="auto"/>
            <w:bottom w:val="none" w:sz="0" w:space="0" w:color="auto"/>
            <w:right w:val="none" w:sz="0" w:space="0" w:color="auto"/>
          </w:divBdr>
        </w:div>
        <w:div w:id="1742369145">
          <w:marLeft w:val="0"/>
          <w:marRight w:val="0"/>
          <w:marTop w:val="0"/>
          <w:marBottom w:val="0"/>
          <w:divBdr>
            <w:top w:val="none" w:sz="0" w:space="0" w:color="auto"/>
            <w:left w:val="none" w:sz="0" w:space="0" w:color="auto"/>
            <w:bottom w:val="none" w:sz="0" w:space="0" w:color="auto"/>
            <w:right w:val="none" w:sz="0" w:space="0" w:color="auto"/>
          </w:divBdr>
        </w:div>
      </w:divsChild>
    </w:div>
    <w:div w:id="198950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header" Target="header4.xml"/><Relationship Id="rId26" Type="http://schemas.openxmlformats.org/officeDocument/2006/relationships/footer" Target="footer5.xml"/><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header" Target="header8.xml"/><Relationship Id="rId42"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image" Target="media/image5.emf"/><Relationship Id="rId38"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5.xml"/><Relationship Id="rId29" Type="http://schemas.openxmlformats.org/officeDocument/2006/relationships/chart" Target="charts/chart9.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2.emf"/><Relationship Id="rId32" Type="http://schemas.openxmlformats.org/officeDocument/2006/relationships/footer" Target="footer7.xml"/><Relationship Id="rId37" Type="http://schemas.openxmlformats.org/officeDocument/2006/relationships/footer" Target="footer9.xml"/><Relationship Id="rId40" Type="http://schemas.openxmlformats.org/officeDocument/2006/relationships/header" Target="header1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8.xml"/><Relationship Id="rId28" Type="http://schemas.openxmlformats.org/officeDocument/2006/relationships/footer" Target="footer6.xml"/><Relationship Id="rId36" Type="http://schemas.openxmlformats.org/officeDocument/2006/relationships/header" Target="header9.xml"/><Relationship Id="rId10" Type="http://schemas.openxmlformats.org/officeDocument/2006/relationships/chart" Target="charts/chart1.xml"/><Relationship Id="rId19" Type="http://schemas.openxmlformats.org/officeDocument/2006/relationships/footer" Target="footer4.xml"/><Relationship Id="rId31" Type="http://schemas.openxmlformats.org/officeDocument/2006/relationships/header" Target="header7.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chart" Target="charts/chart7.xml"/><Relationship Id="rId27" Type="http://schemas.openxmlformats.org/officeDocument/2006/relationships/header" Target="header6.xml"/><Relationship Id="rId30" Type="http://schemas.openxmlformats.org/officeDocument/2006/relationships/image" Target="media/image3.emf"/><Relationship Id="rId35" Type="http://schemas.openxmlformats.org/officeDocument/2006/relationships/footer" Target="footer8.xml"/><Relationship Id="rId43"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E:\Informes%202020\Sitfin\Junio\Sitfin%20al%20300620%20(300720).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Informes%202020\Sitfin\Mayo\Informe%20mensual\Book%20cifras%20mayo.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E:\Informes%202020\Sitfin\Mayo\Informe%20mensual\Book%20cifras%20mayo.xlsx" TargetMode="Externa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2" Type="http://schemas.openxmlformats.org/officeDocument/2006/relationships/oleObject" Target="file:///E:\Informes%202020\Sitfin\Junio\Sitfin%20al%20300620%20(030720).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74588080764791"/>
          <c:y val="5.0552103956334832E-2"/>
          <c:w val="0.8643048865739279"/>
          <c:h val="0.83258589195279087"/>
        </c:manualLayout>
      </c:layout>
      <c:barChart>
        <c:barDir val="col"/>
        <c:grouping val="clustered"/>
        <c:varyColors val="0"/>
        <c:ser>
          <c:idx val="1"/>
          <c:order val="0"/>
          <c:spPr>
            <a:scene3d>
              <a:camera prst="orthographicFront"/>
              <a:lightRig rig="threePt" dir="t"/>
            </a:scene3d>
            <a:sp3d>
              <a:bevelT prst="angle"/>
            </a:sp3d>
          </c:spPr>
          <c:invertIfNegative val="0"/>
          <c:dPt>
            <c:idx val="0"/>
            <c:invertIfNegative val="0"/>
            <c:bubble3D val="0"/>
            <c:spPr>
              <a:solidFill>
                <a:schemeClr val="accent1">
                  <a:lumMod val="50000"/>
                </a:schemeClr>
              </a:solidFill>
              <a:scene3d>
                <a:camera prst="orthographicFront"/>
                <a:lightRig rig="threePt" dir="t"/>
              </a:scene3d>
              <a:sp3d>
                <a:bevelT prst="angle"/>
              </a:sp3d>
            </c:spPr>
            <c:extLst>
              <c:ext xmlns:c16="http://schemas.microsoft.com/office/drawing/2014/chart" uri="{C3380CC4-5D6E-409C-BE32-E72D297353CC}">
                <c16:uniqueId val="{00000001-8C20-435E-9EF9-D7F634C5D06A}"/>
              </c:ext>
            </c:extLst>
          </c:dPt>
          <c:dPt>
            <c:idx val="1"/>
            <c:invertIfNegative val="0"/>
            <c:bubble3D val="0"/>
            <c:spPr>
              <a:solidFill>
                <a:schemeClr val="accent1">
                  <a:lumMod val="50000"/>
                </a:schemeClr>
              </a:solidFill>
              <a:scene3d>
                <a:camera prst="orthographicFront"/>
                <a:lightRig rig="threePt" dir="t"/>
              </a:scene3d>
              <a:sp3d>
                <a:bevelT prst="angle"/>
              </a:sp3d>
            </c:spPr>
            <c:extLst>
              <c:ext xmlns:c16="http://schemas.microsoft.com/office/drawing/2014/chart" uri="{C3380CC4-5D6E-409C-BE32-E72D297353CC}">
                <c16:uniqueId val="{00000003-8C20-435E-9EF9-D7F634C5D06A}"/>
              </c:ext>
            </c:extLst>
          </c:dPt>
          <c:dPt>
            <c:idx val="2"/>
            <c:invertIfNegative val="0"/>
            <c:bubble3D val="0"/>
            <c:spPr>
              <a:solidFill>
                <a:schemeClr val="accent1">
                  <a:lumMod val="50000"/>
                </a:schemeClr>
              </a:solidFill>
              <a:scene3d>
                <a:camera prst="orthographicFront"/>
                <a:lightRig rig="threePt" dir="t"/>
              </a:scene3d>
              <a:sp3d>
                <a:bevelT prst="angle"/>
              </a:sp3d>
            </c:spPr>
            <c:extLst>
              <c:ext xmlns:c16="http://schemas.microsoft.com/office/drawing/2014/chart" uri="{C3380CC4-5D6E-409C-BE32-E72D297353CC}">
                <c16:uniqueId val="{00000005-8C20-435E-9EF9-D7F634C5D06A}"/>
              </c:ext>
            </c:extLst>
          </c:dPt>
          <c:dPt>
            <c:idx val="3"/>
            <c:invertIfNegative val="0"/>
            <c:bubble3D val="0"/>
            <c:spPr>
              <a:solidFill>
                <a:srgbClr val="C00000"/>
              </a:solidFill>
              <a:scene3d>
                <a:camera prst="orthographicFront"/>
                <a:lightRig rig="threePt" dir="t"/>
              </a:scene3d>
              <a:sp3d>
                <a:bevelT prst="angle"/>
              </a:sp3d>
            </c:spPr>
            <c:extLst>
              <c:ext xmlns:c16="http://schemas.microsoft.com/office/drawing/2014/chart" uri="{C3380CC4-5D6E-409C-BE32-E72D297353CC}">
                <c16:uniqueId val="{00000007-8C20-435E-9EF9-D7F634C5D06A}"/>
              </c:ext>
            </c:extLst>
          </c:dPt>
          <c:dLbls>
            <c:dLbl>
              <c:idx val="3"/>
              <c:layout>
                <c:manualLayout>
                  <c:x val="-1.6594814706991437E-16"/>
                  <c:y val="2.4039630060319755E-2"/>
                </c:manualLayout>
              </c:layout>
              <c:spPr>
                <a:noFill/>
                <a:ln>
                  <a:noFill/>
                </a:ln>
                <a:effectLst/>
              </c:spPr>
              <c:txPr>
                <a:bodyPr wrap="square" lIns="38100" tIns="19050" rIns="38100" bIns="19050" anchor="ctr">
                  <a:spAutoFit/>
                </a:bodyPr>
                <a:lstStyle/>
                <a:p>
                  <a:pPr>
                    <a:defRPr sz="1100" b="1"/>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C20-435E-9EF9-D7F634C5D06A}"/>
                </c:ext>
              </c:extLst>
            </c:dLbl>
            <c:spPr>
              <a:noFill/>
              <a:ln>
                <a:noFill/>
              </a:ln>
              <a:effectLst/>
            </c:spPr>
            <c:txPr>
              <a:bodyPr wrap="square" lIns="38100" tIns="19050" rIns="38100" bIns="19050" anchor="ctr">
                <a:spAutoFit/>
              </a:bodyPr>
              <a:lstStyle/>
              <a:p>
                <a:pPr>
                  <a:defRPr sz="1100"/>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'Reporte Diario'!$M$61:$P$61</c:f>
              <c:numCache>
                <c:formatCode>General</c:formatCode>
                <c:ptCount val="4"/>
                <c:pt idx="0">
                  <c:v>2017</c:v>
                </c:pt>
                <c:pt idx="1">
                  <c:v>2018</c:v>
                </c:pt>
                <c:pt idx="2">
                  <c:v>2019</c:v>
                </c:pt>
                <c:pt idx="3">
                  <c:v>2020</c:v>
                </c:pt>
              </c:numCache>
            </c:numRef>
          </c:cat>
          <c:val>
            <c:numRef>
              <c:f>'Reporte Diario'!$M$62:$P$62</c:f>
              <c:numCache>
                <c:formatCode>_-* #,##0.0_-;\-* #,##0.0_-;_-* "-"??_-;_-@_-</c:formatCode>
                <c:ptCount val="4"/>
                <c:pt idx="0">
                  <c:v>472.25673310999991</c:v>
                </c:pt>
                <c:pt idx="1">
                  <c:v>-609.84532320000017</c:v>
                </c:pt>
                <c:pt idx="2">
                  <c:v>-4447.819266479999</c:v>
                </c:pt>
                <c:pt idx="3">
                  <c:v>-9425.7625221600065</c:v>
                </c:pt>
              </c:numCache>
            </c:numRef>
          </c:val>
          <c:extLst>
            <c:ext xmlns:c16="http://schemas.microsoft.com/office/drawing/2014/chart" uri="{C3380CC4-5D6E-409C-BE32-E72D297353CC}">
              <c16:uniqueId val="{00000008-8C20-435E-9EF9-D7F634C5D06A}"/>
            </c:ext>
          </c:extLst>
        </c:ser>
        <c:dLbls>
          <c:showLegendKey val="0"/>
          <c:showVal val="0"/>
          <c:showCatName val="0"/>
          <c:showSerName val="0"/>
          <c:showPercent val="0"/>
          <c:showBubbleSize val="0"/>
        </c:dLbls>
        <c:gapWidth val="71"/>
        <c:axId val="122387840"/>
        <c:axId val="122397824"/>
      </c:barChart>
      <c:catAx>
        <c:axId val="122387840"/>
        <c:scaling>
          <c:orientation val="minMax"/>
        </c:scaling>
        <c:delete val="0"/>
        <c:axPos val="b"/>
        <c:numFmt formatCode="General" sourceLinked="0"/>
        <c:majorTickMark val="out"/>
        <c:minorTickMark val="none"/>
        <c:tickLblPos val="low"/>
        <c:txPr>
          <a:bodyPr/>
          <a:lstStyle/>
          <a:p>
            <a:pPr>
              <a:defRPr lang="es-GT" sz="1050"/>
            </a:pPr>
            <a:endParaRPr lang="es-GT"/>
          </a:p>
        </c:txPr>
        <c:crossAx val="122397824"/>
        <c:crosses val="autoZero"/>
        <c:auto val="1"/>
        <c:lblAlgn val="ctr"/>
        <c:lblOffset val="100"/>
        <c:noMultiLvlLbl val="0"/>
      </c:catAx>
      <c:valAx>
        <c:axId val="122397824"/>
        <c:scaling>
          <c:orientation val="minMax"/>
        </c:scaling>
        <c:delete val="0"/>
        <c:axPos val="l"/>
        <c:numFmt formatCode="_-* #,##0.0_-;\-* #,##0.0_-;_-* &quot;-&quot;??_-;_-@_-" sourceLinked="1"/>
        <c:majorTickMark val="out"/>
        <c:minorTickMark val="none"/>
        <c:tickLblPos val="nextTo"/>
        <c:txPr>
          <a:bodyPr/>
          <a:lstStyle/>
          <a:p>
            <a:pPr>
              <a:defRPr lang="es-GT" sz="1000"/>
            </a:pPr>
            <a:endParaRPr lang="es-GT"/>
          </a:p>
        </c:txPr>
        <c:crossAx val="122387840"/>
        <c:crosses val="autoZero"/>
        <c:crossBetween val="between"/>
      </c:valAx>
    </c:plotArea>
    <c:plotVisOnly val="1"/>
    <c:dispBlanksAs val="gap"/>
    <c:showDLblsOverMax val="0"/>
  </c:chart>
  <c:spPr>
    <a:ln>
      <a:noFill/>
    </a:ln>
    <a:effectLst/>
  </c:spPr>
  <c:txPr>
    <a:bodyPr/>
    <a:lstStyle/>
    <a:p>
      <a:pPr>
        <a:defRPr sz="1400">
          <a:latin typeface="Times New Roman" pitchFamily="18" charset="0"/>
          <a:cs typeface="Times New Roman" pitchFamily="18" charset="0"/>
        </a:defRPr>
      </a:pPr>
      <a:endParaRPr lang="es-G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00857401144323"/>
          <c:y val="6.0639470782800443E-2"/>
          <c:w val="0.77669762993436131"/>
          <c:h val="0.72614659385878855"/>
        </c:manualLayout>
      </c:layout>
      <c:lineChart>
        <c:grouping val="standard"/>
        <c:varyColors val="0"/>
        <c:ser>
          <c:idx val="0"/>
          <c:order val="0"/>
          <c:tx>
            <c:strRef>
              <c:f>Hoja1!$B$1</c:f>
              <c:strCache>
                <c:ptCount val="1"/>
                <c:pt idx="0">
                  <c:v>Obs-Pres</c:v>
                </c:pt>
              </c:strCache>
            </c:strRef>
          </c:tx>
          <c:spPr>
            <a:ln w="22225" cap="rnd">
              <a:solidFill>
                <a:schemeClr val="accent1"/>
              </a:solidFill>
              <a:round/>
            </a:ln>
            <a:effectLst/>
          </c:spPr>
          <c:marker>
            <c:symbol val="circle"/>
            <c:size val="5"/>
            <c:spPr>
              <a:solidFill>
                <a:schemeClr val="lt1"/>
              </a:solidFill>
              <a:ln w="1587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Ene</c:v>
                </c:pt>
                <c:pt idx="1">
                  <c:v>Feb</c:v>
                </c:pt>
                <c:pt idx="2">
                  <c:v>Mar</c:v>
                </c:pt>
                <c:pt idx="3">
                  <c:v>Abr</c:v>
                </c:pt>
                <c:pt idx="4">
                  <c:v>May</c:v>
                </c:pt>
                <c:pt idx="5">
                  <c:v>Jun</c:v>
                </c:pt>
              </c:strCache>
            </c:strRef>
          </c:cat>
          <c:val>
            <c:numRef>
              <c:f>Hoja1!$B$2:$B$7</c:f>
              <c:numCache>
                <c:formatCode>#,##0.0_ ;\-#,##0.0\ </c:formatCode>
                <c:ptCount val="6"/>
                <c:pt idx="0">
                  <c:v>349.20241674657336</c:v>
                </c:pt>
                <c:pt idx="1">
                  <c:v>542.62792044125308</c:v>
                </c:pt>
                <c:pt idx="2">
                  <c:v>-1155.7358132515128</c:v>
                </c:pt>
                <c:pt idx="3">
                  <c:v>-751.41639840109929</c:v>
                </c:pt>
                <c:pt idx="4">
                  <c:v>-1820.0272030033084</c:v>
                </c:pt>
                <c:pt idx="5">
                  <c:v>-2701.5</c:v>
                </c:pt>
              </c:numCache>
            </c:numRef>
          </c:val>
          <c:smooth val="0"/>
          <c:extLst>
            <c:ext xmlns:c16="http://schemas.microsoft.com/office/drawing/2014/chart" uri="{C3380CC4-5D6E-409C-BE32-E72D297353CC}">
              <c16:uniqueId val="{00000000-8FE0-4A82-BF0B-D861A7DA5D66}"/>
            </c:ext>
          </c:extLst>
        </c:ser>
        <c:ser>
          <c:idx val="1"/>
          <c:order val="1"/>
          <c:tx>
            <c:strRef>
              <c:f>Hoja1!$C$1</c:f>
              <c:strCache>
                <c:ptCount val="1"/>
                <c:pt idx="0">
                  <c:v>Obs-2019</c:v>
                </c:pt>
              </c:strCache>
            </c:strRef>
          </c:tx>
          <c:spPr>
            <a:ln w="22225" cap="rnd">
              <a:solidFill>
                <a:srgbClr val="FF0000"/>
              </a:solidFill>
              <a:round/>
            </a:ln>
            <a:effectLst/>
          </c:spPr>
          <c:marker>
            <c:symbol val="circle"/>
            <c:size val="6"/>
            <c:spPr>
              <a:solidFill>
                <a:schemeClr val="lt1"/>
              </a:solidFill>
              <a:ln w="15875">
                <a:solidFill>
                  <a:srgbClr val="FF0000"/>
                </a:solidFill>
                <a:round/>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Ene</c:v>
                </c:pt>
                <c:pt idx="1">
                  <c:v>Feb</c:v>
                </c:pt>
                <c:pt idx="2">
                  <c:v>Mar</c:v>
                </c:pt>
                <c:pt idx="3">
                  <c:v>Abr</c:v>
                </c:pt>
                <c:pt idx="4">
                  <c:v>May</c:v>
                </c:pt>
                <c:pt idx="5">
                  <c:v>Jun</c:v>
                </c:pt>
              </c:strCache>
            </c:strRef>
          </c:cat>
          <c:val>
            <c:numRef>
              <c:f>Hoja1!$C$2:$C$7</c:f>
              <c:numCache>
                <c:formatCode>General</c:formatCode>
                <c:ptCount val="6"/>
                <c:pt idx="0">
                  <c:v>600.52824667000459</c:v>
                </c:pt>
                <c:pt idx="1">
                  <c:v>943.68293338000694</c:v>
                </c:pt>
                <c:pt idx="2">
                  <c:v>-493.92359864999344</c:v>
                </c:pt>
                <c:pt idx="3">
                  <c:v>229.63360337000995</c:v>
                </c:pt>
                <c:pt idx="4">
                  <c:v>-889.51013323998995</c:v>
                </c:pt>
                <c:pt idx="5">
                  <c:v>-1597.2</c:v>
                </c:pt>
              </c:numCache>
            </c:numRef>
          </c:val>
          <c:smooth val="0"/>
          <c:extLst>
            <c:ext xmlns:c16="http://schemas.microsoft.com/office/drawing/2014/chart" uri="{C3380CC4-5D6E-409C-BE32-E72D297353CC}">
              <c16:uniqueId val="{00000001-8FE0-4A82-BF0B-D861A7DA5D66}"/>
            </c:ext>
          </c:extLst>
        </c:ser>
        <c:dLbls>
          <c:showLegendKey val="0"/>
          <c:showVal val="0"/>
          <c:showCatName val="0"/>
          <c:showSerName val="0"/>
          <c:showPercent val="0"/>
          <c:showBubbleSize val="0"/>
        </c:dLbls>
        <c:marker val="1"/>
        <c:smooth val="0"/>
        <c:axId val="537013920"/>
        <c:axId val="537020480"/>
      </c:lineChart>
      <c:catAx>
        <c:axId val="53701392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37020480"/>
        <c:crosses val="autoZero"/>
        <c:auto val="1"/>
        <c:lblAlgn val="ctr"/>
        <c:lblOffset val="100"/>
        <c:noMultiLvlLbl val="0"/>
      </c:catAx>
      <c:valAx>
        <c:axId val="537020480"/>
        <c:scaling>
          <c:orientation val="minMax"/>
          <c:min val="-4000"/>
        </c:scaling>
        <c:delete val="0"/>
        <c:axPos val="l"/>
        <c:majorGridlines>
          <c:spPr>
            <a:ln w="9525" cap="flat" cmpd="sng" algn="ctr">
              <a:solidFill>
                <a:schemeClr val="dk1">
                  <a:lumMod val="15000"/>
                  <a:lumOff val="85000"/>
                  <a:alpha val="54000"/>
                </a:schemeClr>
              </a:solidFill>
              <a:round/>
            </a:ln>
            <a:effectLst/>
          </c:spPr>
        </c:majorGridlines>
        <c:numFmt formatCode="#,##0_ ;\-#,##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37013920"/>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5774122244702771"/>
          <c:y val="0.91253939178220145"/>
          <c:w val="0.68451755510594459"/>
          <c:h val="8.746060821779858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67742723955513"/>
          <c:y val="3.1475757507388943E-2"/>
          <c:w val="0.79754060675896676"/>
          <c:h val="0.84089389256142433"/>
        </c:manualLayout>
      </c:layout>
      <c:barChart>
        <c:barDir val="col"/>
        <c:grouping val="stacked"/>
        <c:varyColors val="0"/>
        <c:ser>
          <c:idx val="0"/>
          <c:order val="0"/>
          <c:tx>
            <c:strRef>
              <c:f>Hoja1!$B$1</c:f>
              <c:strCache>
                <c:ptCount val="1"/>
                <c:pt idx="0">
                  <c:v>Observado-Meta Presupuesto</c:v>
                </c:pt>
              </c:strCache>
            </c:strRef>
          </c:tx>
          <c:spPr>
            <a:solidFill>
              <a:srgbClr val="FF0000"/>
            </a:solidFill>
            <a:ln>
              <a:noFill/>
            </a:ln>
            <a:effectLst/>
            <a:scene3d>
              <a:camera prst="orthographicFront"/>
              <a:lightRig rig="threePt" dir="t"/>
            </a:scene3d>
            <a:sp3d>
              <a:bevelT/>
            </a:sp3d>
          </c:spPr>
          <c:invertIfNegative val="0"/>
          <c:dLbls>
            <c:dLbl>
              <c:idx val="1"/>
              <c:layout>
                <c:manualLayout>
                  <c:x val="0"/>
                  <c:y val="-1.8753243237145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7E-44C7-BFD6-AE1BF8F13C20}"/>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Ene</c:v>
                </c:pt>
                <c:pt idx="1">
                  <c:v>Feb</c:v>
                </c:pt>
                <c:pt idx="2">
                  <c:v>Mar</c:v>
                </c:pt>
                <c:pt idx="3">
                  <c:v>Abr</c:v>
                </c:pt>
                <c:pt idx="4">
                  <c:v>May</c:v>
                </c:pt>
                <c:pt idx="5">
                  <c:v>Jun</c:v>
                </c:pt>
              </c:strCache>
            </c:strRef>
          </c:cat>
          <c:val>
            <c:numRef>
              <c:f>Hoja1!$B$2:$B$7</c:f>
              <c:numCache>
                <c:formatCode>#,##0.0</c:formatCode>
                <c:ptCount val="6"/>
                <c:pt idx="0">
                  <c:v>349.20241674657336</c:v>
                </c:pt>
                <c:pt idx="1">
                  <c:v>193.42550369467926</c:v>
                </c:pt>
                <c:pt idx="2">
                  <c:v>-1698.3637336927668</c:v>
                </c:pt>
                <c:pt idx="3">
                  <c:v>404.31941485041443</c:v>
                </c:pt>
                <c:pt idx="4">
                  <c:v>-1068.5999999999999</c:v>
                </c:pt>
                <c:pt idx="5">
                  <c:v>-881.5</c:v>
                </c:pt>
              </c:numCache>
            </c:numRef>
          </c:val>
          <c:extLst>
            <c:ext xmlns:c16="http://schemas.microsoft.com/office/drawing/2014/chart" uri="{C3380CC4-5D6E-409C-BE32-E72D297353CC}">
              <c16:uniqueId val="{00000001-767E-44C7-BFD6-AE1BF8F13C20}"/>
            </c:ext>
          </c:extLst>
        </c:ser>
        <c:dLbls>
          <c:showLegendKey val="0"/>
          <c:showVal val="0"/>
          <c:showCatName val="0"/>
          <c:showSerName val="0"/>
          <c:showPercent val="0"/>
          <c:showBubbleSize val="0"/>
        </c:dLbls>
        <c:gapWidth val="10"/>
        <c:overlap val="100"/>
        <c:axId val="31949952"/>
        <c:axId val="31951488"/>
      </c:barChart>
      <c:catAx>
        <c:axId val="3194995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1951488"/>
        <c:crosses val="autoZero"/>
        <c:auto val="1"/>
        <c:lblAlgn val="ctr"/>
        <c:lblOffset val="100"/>
        <c:noMultiLvlLbl val="0"/>
      </c:catAx>
      <c:valAx>
        <c:axId val="3195148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s-GT">
                    <a:latin typeface="Times New Roman" panose="02020603050405020304" pitchFamily="18" charset="0"/>
                    <a:cs typeface="Times New Roman" panose="02020603050405020304" pitchFamily="18" charset="0"/>
                  </a:rPr>
                  <a:t>Millones de quetzales</a:t>
                </a:r>
              </a:p>
            </c:rich>
          </c:tx>
          <c:layout>
            <c:manualLayout>
              <c:xMode val="edge"/>
              <c:yMode val="edge"/>
              <c:x val="2.1556063806880015E-3"/>
              <c:y val="0.20393971527198068"/>
            </c:manualLayout>
          </c:layout>
          <c:overlay val="0"/>
          <c:spPr>
            <a:noFill/>
            <a:ln>
              <a:noFill/>
            </a:ln>
            <a:effectLst/>
          </c:spPr>
        </c:title>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194995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a:latin typeface="+mn-lt"/>
          <a:cs typeface="Times New Roman" panose="02020603050405020304" pitchFamily="18" charset="0"/>
        </a:defRPr>
      </a:pPr>
      <a:endParaRPr lang="es-G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2020-2019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Hoja1!$A$2:$A$19</c:f>
              <c:strCache>
                <c:ptCount val="18"/>
                <c:pt idx="0">
                  <c:v>IVA imp</c:v>
                </c:pt>
                <c:pt idx="1">
                  <c:v>Petróleo</c:v>
                </c:pt>
                <c:pt idx="2">
                  <c:v>DAI</c:v>
                </c:pt>
                <c:pt idx="3">
                  <c:v>IPRIMA</c:v>
                </c:pt>
                <c:pt idx="4">
                  <c:v>Vehículos</c:v>
                </c:pt>
                <c:pt idx="5">
                  <c:v>Salidas</c:v>
                </c:pt>
                <c:pt idx="6">
                  <c:v>Tabacos</c:v>
                </c:pt>
                <c:pt idx="7">
                  <c:v>Timbres</c:v>
                </c:pt>
                <c:pt idx="8">
                  <c:v>IVA dom</c:v>
                </c:pt>
                <c:pt idx="9">
                  <c:v>ISR</c:v>
                </c:pt>
                <c:pt idx="10">
                  <c:v>Propiedad</c:v>
                </c:pt>
                <c:pt idx="11">
                  <c:v>Bebidas</c:v>
                </c:pt>
                <c:pt idx="12">
                  <c:v>IETAAP</c:v>
                </c:pt>
                <c:pt idx="13">
                  <c:v>Otros</c:v>
                </c:pt>
                <c:pt idx="14">
                  <c:v>IEMA</c:v>
                </c:pt>
                <c:pt idx="15">
                  <c:v>Cemento</c:v>
                </c:pt>
                <c:pt idx="16">
                  <c:v>Regalías</c:v>
                </c:pt>
                <c:pt idx="17">
                  <c:v>ISO</c:v>
                </c:pt>
              </c:strCache>
            </c:strRef>
          </c:cat>
          <c:val>
            <c:numRef>
              <c:f>Hoja1!$B$2:$B$19</c:f>
              <c:numCache>
                <c:formatCode>#,##0.0</c:formatCode>
                <c:ptCount val="18"/>
                <c:pt idx="0">
                  <c:v>-850.61290022999947</c:v>
                </c:pt>
                <c:pt idx="1">
                  <c:v>-261.85472433000018</c:v>
                </c:pt>
                <c:pt idx="2">
                  <c:v>-153.4068419900002</c:v>
                </c:pt>
                <c:pt idx="3">
                  <c:v>-108.99635164999995</c:v>
                </c:pt>
                <c:pt idx="4">
                  <c:v>-84.031652810000026</c:v>
                </c:pt>
                <c:pt idx="5">
                  <c:v>-73.235780109999993</c:v>
                </c:pt>
                <c:pt idx="6">
                  <c:v>-53.596051430000045</c:v>
                </c:pt>
                <c:pt idx="7">
                  <c:v>-49.493579179999983</c:v>
                </c:pt>
                <c:pt idx="8">
                  <c:v>-36.032770730001175</c:v>
                </c:pt>
                <c:pt idx="9">
                  <c:v>-11.330316249999669</c:v>
                </c:pt>
                <c:pt idx="10">
                  <c:v>-10.04917073</c:v>
                </c:pt>
                <c:pt idx="11">
                  <c:v>-4.482445910000024</c:v>
                </c:pt>
                <c:pt idx="12">
                  <c:v>-2.9200297699999997</c:v>
                </c:pt>
                <c:pt idx="13">
                  <c:v>0.26854271000000018</c:v>
                </c:pt>
                <c:pt idx="14">
                  <c:v>0.50034394000000004</c:v>
                </c:pt>
                <c:pt idx="15">
                  <c:v>2.5524196400000037</c:v>
                </c:pt>
                <c:pt idx="16">
                  <c:v>10.056302220000006</c:v>
                </c:pt>
                <c:pt idx="17">
                  <c:v>89.450967010000113</c:v>
                </c:pt>
              </c:numCache>
            </c:numRef>
          </c:val>
          <c:extLst>
            <c:ext xmlns:c16="http://schemas.microsoft.com/office/drawing/2014/chart" uri="{C3380CC4-5D6E-409C-BE32-E72D297353CC}">
              <c16:uniqueId val="{00000000-8551-4236-91D3-252ECA4AB01B}"/>
            </c:ext>
          </c:extLst>
        </c:ser>
        <c:ser>
          <c:idx val="1"/>
          <c:order val="1"/>
          <c:tx>
            <c:strRef>
              <c:f>Hoja1!$C$1</c:f>
              <c:strCache>
                <c:ptCount val="1"/>
                <c:pt idx="0">
                  <c:v>2020-Pres</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Hoja1!$A$2:$A$19</c:f>
              <c:strCache>
                <c:ptCount val="18"/>
                <c:pt idx="0">
                  <c:v>IVA imp</c:v>
                </c:pt>
                <c:pt idx="1">
                  <c:v>Petróleo</c:v>
                </c:pt>
                <c:pt idx="2">
                  <c:v>DAI</c:v>
                </c:pt>
                <c:pt idx="3">
                  <c:v>IPRIMA</c:v>
                </c:pt>
                <c:pt idx="4">
                  <c:v>Vehículos</c:v>
                </c:pt>
                <c:pt idx="5">
                  <c:v>Salidas</c:v>
                </c:pt>
                <c:pt idx="6">
                  <c:v>Tabacos</c:v>
                </c:pt>
                <c:pt idx="7">
                  <c:v>Timbres</c:v>
                </c:pt>
                <c:pt idx="8">
                  <c:v>IVA dom</c:v>
                </c:pt>
                <c:pt idx="9">
                  <c:v>ISR</c:v>
                </c:pt>
                <c:pt idx="10">
                  <c:v>Propiedad</c:v>
                </c:pt>
                <c:pt idx="11">
                  <c:v>Bebidas</c:v>
                </c:pt>
                <c:pt idx="12">
                  <c:v>IETAAP</c:v>
                </c:pt>
                <c:pt idx="13">
                  <c:v>Otros</c:v>
                </c:pt>
                <c:pt idx="14">
                  <c:v>IEMA</c:v>
                </c:pt>
                <c:pt idx="15">
                  <c:v>Cemento</c:v>
                </c:pt>
                <c:pt idx="16">
                  <c:v>Regalías</c:v>
                </c:pt>
                <c:pt idx="17">
                  <c:v>ISO</c:v>
                </c:pt>
              </c:strCache>
            </c:strRef>
          </c:cat>
          <c:val>
            <c:numRef>
              <c:f>Hoja1!$C$2:$C$19</c:f>
              <c:numCache>
                <c:formatCode>#,##0.0</c:formatCode>
                <c:ptCount val="18"/>
                <c:pt idx="0">
                  <c:v>-1172.1450384000009</c:v>
                </c:pt>
                <c:pt idx="1">
                  <c:v>-165.91924046000008</c:v>
                </c:pt>
                <c:pt idx="2">
                  <c:v>-151.05942858000003</c:v>
                </c:pt>
                <c:pt idx="3">
                  <c:v>-137.33598796999996</c:v>
                </c:pt>
                <c:pt idx="4">
                  <c:v>-90.618956700000012</c:v>
                </c:pt>
                <c:pt idx="5">
                  <c:v>-70.832088019276213</c:v>
                </c:pt>
                <c:pt idx="6">
                  <c:v>-57.123131000000058</c:v>
                </c:pt>
                <c:pt idx="7">
                  <c:v>-79.747579390000055</c:v>
                </c:pt>
                <c:pt idx="8">
                  <c:v>-562.67969922000066</c:v>
                </c:pt>
                <c:pt idx="9">
                  <c:v>-158.36320565000096</c:v>
                </c:pt>
                <c:pt idx="10">
                  <c:v>-4.8281724699999993</c:v>
                </c:pt>
                <c:pt idx="11">
                  <c:v>11.858675570000003</c:v>
                </c:pt>
                <c:pt idx="12">
                  <c:v>0.42586694000000003</c:v>
                </c:pt>
                <c:pt idx="13">
                  <c:v>-0.40729089000000052</c:v>
                </c:pt>
                <c:pt idx="14">
                  <c:v>0.50034394000000004</c:v>
                </c:pt>
                <c:pt idx="15">
                  <c:v>0.55691722000000254</c:v>
                </c:pt>
                <c:pt idx="16">
                  <c:v>-15.293335762331395</c:v>
                </c:pt>
                <c:pt idx="17">
                  <c:v>-48.516783799999757</c:v>
                </c:pt>
              </c:numCache>
            </c:numRef>
          </c:val>
          <c:extLst>
            <c:ext xmlns:c16="http://schemas.microsoft.com/office/drawing/2014/chart" uri="{C3380CC4-5D6E-409C-BE32-E72D297353CC}">
              <c16:uniqueId val="{00000001-8551-4236-91D3-252ECA4AB01B}"/>
            </c:ext>
          </c:extLst>
        </c:ser>
        <c:dLbls>
          <c:showLegendKey val="0"/>
          <c:showVal val="0"/>
          <c:showCatName val="0"/>
          <c:showSerName val="0"/>
          <c:showPercent val="0"/>
          <c:showBubbleSize val="0"/>
        </c:dLbls>
        <c:gapWidth val="15"/>
        <c:overlap val="-20"/>
        <c:axId val="135415680"/>
        <c:axId val="135417216"/>
      </c:barChart>
      <c:catAx>
        <c:axId val="135415680"/>
        <c:scaling>
          <c:orientation val="minMax"/>
        </c:scaling>
        <c:delete val="0"/>
        <c:axPos val="l"/>
        <c:numFmt formatCode="General" sourceLinked="1"/>
        <c:majorTickMark val="none"/>
        <c:minorTickMark val="none"/>
        <c:tickLblPos val="low"/>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7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GT"/>
          </a:p>
        </c:txPr>
        <c:crossAx val="135417216"/>
        <c:crosses val="autoZero"/>
        <c:auto val="1"/>
        <c:lblAlgn val="ctr"/>
        <c:lblOffset val="100"/>
        <c:noMultiLvlLbl val="0"/>
      </c:catAx>
      <c:valAx>
        <c:axId val="135417216"/>
        <c:scaling>
          <c:orientation val="minMax"/>
        </c:scaling>
        <c:delete val="0"/>
        <c:axPos val="b"/>
        <c:majorGridlines>
          <c:spPr>
            <a:ln w="9525" cap="flat" cmpd="sng" algn="ctr">
              <a:solidFill>
                <a:schemeClr val="lt1">
                  <a:lumMod val="95000"/>
                  <a:alpha val="1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GT"/>
          </a:p>
        </c:txPr>
        <c:crossAx val="135415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sz="700"/>
      </a:pPr>
      <a:endParaRPr lang="es-G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381579406205763E-2"/>
          <c:y val="2.5744002929866325E-2"/>
          <c:w val="0.90027196826641009"/>
          <c:h val="0.77102590267990456"/>
        </c:manualLayout>
      </c:layout>
      <c:barChart>
        <c:barDir val="col"/>
        <c:grouping val="clustered"/>
        <c:varyColors val="0"/>
        <c:ser>
          <c:idx val="0"/>
          <c:order val="0"/>
          <c:tx>
            <c:strRef>
              <c:f>'Ritmo de ejecución'!$B$2</c:f>
              <c:strCache>
                <c:ptCount val="1"/>
                <c:pt idx="0">
                  <c:v>2018</c:v>
                </c:pt>
              </c:strCache>
            </c:strRef>
          </c:tx>
          <c:spPr>
            <a:solidFill>
              <a:schemeClr val="accent1"/>
            </a:solidFill>
            <a:ln>
              <a:noFill/>
            </a:ln>
            <a:effectLst/>
          </c:spPr>
          <c:invertIfNegative val="0"/>
          <c:cat>
            <c:strRef>
              <c:f>'Ritmo de ejecución'!$A$3:$A$14</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'Ritmo de ejecución'!$B$3:$B$14</c:f>
            </c:numRef>
          </c:val>
          <c:extLst>
            <c:ext xmlns:c16="http://schemas.microsoft.com/office/drawing/2014/chart" uri="{C3380CC4-5D6E-409C-BE32-E72D297353CC}">
              <c16:uniqueId val="{00000000-A52F-481C-98F5-9DA053E0CFBB}"/>
            </c:ext>
          </c:extLst>
        </c:ser>
        <c:ser>
          <c:idx val="1"/>
          <c:order val="1"/>
          <c:tx>
            <c:strRef>
              <c:f>'Ritmo de ejecución'!$C$2</c:f>
              <c:strCache>
                <c:ptCount val="1"/>
                <c:pt idx="0">
                  <c:v>2019</c:v>
                </c:pt>
              </c:strCache>
            </c:strRef>
          </c:tx>
          <c:spPr>
            <a:solidFill>
              <a:schemeClr val="accent2"/>
            </a:solidFill>
            <a:ln>
              <a:noFill/>
            </a:ln>
            <a:effectLst/>
          </c:spPr>
          <c:invertIfNegative val="0"/>
          <c:cat>
            <c:strRef>
              <c:f>'Ritmo de ejecución'!$A$3:$A$14</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'Ritmo de ejecución'!$C$3:$C$14</c:f>
            </c:numRef>
          </c:val>
          <c:extLst>
            <c:ext xmlns:c16="http://schemas.microsoft.com/office/drawing/2014/chart" uri="{C3380CC4-5D6E-409C-BE32-E72D297353CC}">
              <c16:uniqueId val="{00000001-A52F-481C-98F5-9DA053E0CFBB}"/>
            </c:ext>
          </c:extLst>
        </c:ser>
        <c:ser>
          <c:idx val="2"/>
          <c:order val="2"/>
          <c:tx>
            <c:strRef>
              <c:f>'Ritmo de ejecución'!$D$2</c:f>
              <c:strCache>
                <c:ptCount val="1"/>
                <c:pt idx="0">
                  <c:v>2020</c:v>
                </c:pt>
              </c:strCache>
            </c:strRef>
          </c:tx>
          <c:spPr>
            <a:solidFill>
              <a:schemeClr val="accent3"/>
            </a:solidFill>
            <a:ln>
              <a:noFill/>
            </a:ln>
            <a:effectLst/>
          </c:spPr>
          <c:invertIfNegative val="0"/>
          <c:cat>
            <c:strRef>
              <c:f>'Ritmo de ejecución'!$A$3:$A$14</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'Ritmo de ejecución'!$D$3:$D$14</c:f>
            </c:numRef>
          </c:val>
          <c:extLst>
            <c:ext xmlns:c16="http://schemas.microsoft.com/office/drawing/2014/chart" uri="{C3380CC4-5D6E-409C-BE32-E72D297353CC}">
              <c16:uniqueId val="{00000002-A52F-481C-98F5-9DA053E0CFBB}"/>
            </c:ext>
          </c:extLst>
        </c:ser>
        <c:dLbls>
          <c:showLegendKey val="0"/>
          <c:showVal val="0"/>
          <c:showCatName val="0"/>
          <c:showSerName val="0"/>
          <c:showPercent val="0"/>
          <c:showBubbleSize val="0"/>
        </c:dLbls>
        <c:gapWidth val="219"/>
        <c:overlap val="-27"/>
        <c:axId val="403343584"/>
        <c:axId val="403340960"/>
      </c:barChart>
      <c:barChart>
        <c:barDir val="col"/>
        <c:grouping val="clustered"/>
        <c:varyColors val="0"/>
        <c:ser>
          <c:idx val="4"/>
          <c:order val="4"/>
          <c:tx>
            <c:strRef>
              <c:f>'Ritmo de ejecución'!$F$2</c:f>
              <c:strCache>
                <c:ptCount val="1"/>
                <c:pt idx="0">
                  <c:v>2020</c:v>
                </c:pt>
              </c:strCache>
            </c:strRef>
          </c:tx>
          <c:spPr>
            <a:solidFill>
              <a:srgbClr val="FF9999"/>
            </a:solidFill>
            <a:ln w="12700">
              <a:solidFill>
                <a:schemeClr val="tx1">
                  <a:lumMod val="95000"/>
                  <a:lumOff val="5000"/>
                </a:schemeClr>
              </a:solidFill>
            </a:ln>
            <a:effectLst/>
          </c:spPr>
          <c:invertIfNegative val="0"/>
          <c:dLbls>
            <c:dLbl>
              <c:idx val="0"/>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2F-481C-98F5-9DA053E0CFBB}"/>
                </c:ext>
              </c:extLst>
            </c:dLbl>
            <c:dLbl>
              <c:idx val="1"/>
              <c:layout>
                <c:manualLayout>
                  <c:x val="0"/>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2F-481C-98F5-9DA053E0CFBB}"/>
                </c:ext>
              </c:extLst>
            </c:dLbl>
            <c:dLbl>
              <c:idx val="2"/>
              <c:layout>
                <c:manualLayout>
                  <c:x val="0"/>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2F-481C-98F5-9DA053E0CFBB}"/>
                </c:ext>
              </c:extLst>
            </c:dLbl>
            <c:dLbl>
              <c:idx val="3"/>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52F-481C-98F5-9DA053E0CFBB}"/>
                </c:ext>
              </c:extLst>
            </c:dLbl>
            <c:dLbl>
              <c:idx val="4"/>
              <c:layout>
                <c:manualLayout>
                  <c:x val="0"/>
                  <c:y val="1.8518518518518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52F-481C-98F5-9DA053E0CFBB}"/>
                </c:ext>
              </c:extLst>
            </c:dLbl>
            <c:dLbl>
              <c:idx val="5"/>
              <c:layout>
                <c:manualLayout>
                  <c:x val="-1.0185067526415994E-16"/>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52F-481C-98F5-9DA053E0CFBB}"/>
                </c:ext>
              </c:extLst>
            </c:dLbl>
            <c:dLbl>
              <c:idx val="6"/>
              <c:layout>
                <c:manualLayout>
                  <c:x val="-2.7777777777778798E-3"/>
                  <c:y val="9.25925925925921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52F-481C-98F5-9DA053E0CFBB}"/>
                </c:ext>
              </c:extLst>
            </c:dLbl>
            <c:dLbl>
              <c:idx val="7"/>
              <c:layout>
                <c:manualLayout>
                  <c:x val="-5.5555555555556572E-3"/>
                  <c:y val="1.3888888888888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52F-481C-98F5-9DA053E0CFBB}"/>
                </c:ext>
              </c:extLst>
            </c:dLbl>
            <c:dLbl>
              <c:idx val="10"/>
              <c:layout>
                <c:manualLayout>
                  <c:x val="-2.0252725062068617E-16"/>
                  <c:y val="-1.9600326198814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52F-481C-98F5-9DA053E0CFBB}"/>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'Ritmo de ejecución'!$A$3:$A$14</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'Ritmo de ejecución'!$F$3:$F$14</c:f>
              <c:numCache>
                <c:formatCode>0.0</c:formatCode>
                <c:ptCount val="12"/>
                <c:pt idx="0">
                  <c:v>4.8191861258905817</c:v>
                </c:pt>
                <c:pt idx="1">
                  <c:v>9.5655130970186519E-2</c:v>
                </c:pt>
                <c:pt idx="2">
                  <c:v>2.3974325379896584</c:v>
                </c:pt>
                <c:pt idx="3">
                  <c:v>-1.9848700717106169</c:v>
                </c:pt>
                <c:pt idx="4">
                  <c:v>4.2224631181484256</c:v>
                </c:pt>
                <c:pt idx="5">
                  <c:v>9.0680434021580965</c:v>
                </c:pt>
              </c:numCache>
            </c:numRef>
          </c:val>
          <c:extLst>
            <c:ext xmlns:c16="http://schemas.microsoft.com/office/drawing/2014/chart" uri="{C3380CC4-5D6E-409C-BE32-E72D297353CC}">
              <c16:uniqueId val="{0000000C-A52F-481C-98F5-9DA053E0CFBB}"/>
            </c:ext>
          </c:extLst>
        </c:ser>
        <c:dLbls>
          <c:showLegendKey val="0"/>
          <c:showVal val="0"/>
          <c:showCatName val="0"/>
          <c:showSerName val="0"/>
          <c:showPercent val="0"/>
          <c:showBubbleSize val="0"/>
        </c:dLbls>
        <c:gapWidth val="48"/>
        <c:axId val="403343584"/>
        <c:axId val="403340960"/>
      </c:barChart>
      <c:lineChart>
        <c:grouping val="stacked"/>
        <c:varyColors val="0"/>
        <c:ser>
          <c:idx val="3"/>
          <c:order val="3"/>
          <c:tx>
            <c:strRef>
              <c:f>'Ritmo de ejecución'!$E$2</c:f>
              <c:strCache>
                <c:ptCount val="1"/>
                <c:pt idx="0">
                  <c:v>2019</c:v>
                </c:pt>
              </c:strCache>
            </c:strRef>
          </c:tx>
          <c:spPr>
            <a:ln w="15875" cap="rnd">
              <a:solidFill>
                <a:srgbClr val="4F81BD">
                  <a:lumMod val="50000"/>
                </a:srgbClr>
              </a:solidFill>
              <a:prstDash val="dash"/>
              <a:round/>
            </a:ln>
            <a:effectLst/>
          </c:spPr>
          <c:marker>
            <c:symbol val="circle"/>
            <c:size val="3"/>
            <c:spPr>
              <a:solidFill>
                <a:schemeClr val="accent5">
                  <a:lumMod val="75000"/>
                </a:schemeClr>
              </a:solidFill>
              <a:ln w="9525">
                <a:noFill/>
              </a:ln>
              <a:effectLst/>
            </c:spPr>
          </c:marker>
          <c:dLbls>
            <c:dLbl>
              <c:idx val="0"/>
              <c:layout>
                <c:manualLayout>
                  <c:x val="-4.166658511842436E-2"/>
                  <c:y val="-4.528447018311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52F-481C-98F5-9DA053E0CFBB}"/>
                </c:ext>
              </c:extLst>
            </c:dLbl>
            <c:dLbl>
              <c:idx val="1"/>
              <c:layout>
                <c:manualLayout>
                  <c:x val="-4.7457801073284685E-2"/>
                  <c:y val="3.91657730769919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52F-481C-98F5-9DA053E0CFBB}"/>
                </c:ext>
              </c:extLst>
            </c:dLbl>
            <c:dLbl>
              <c:idx val="2"/>
              <c:layout>
                <c:manualLayout>
                  <c:x val="-2.4512797861200055E-2"/>
                  <c:y val="3.5245707837229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52F-481C-98F5-9DA053E0CFBB}"/>
                </c:ext>
              </c:extLst>
            </c:dLbl>
            <c:dLbl>
              <c:idx val="3"/>
              <c:layout>
                <c:manualLayout>
                  <c:x val="-3.6111111111111163E-2"/>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52F-481C-98F5-9DA053E0CFBB}"/>
                </c:ext>
              </c:extLst>
            </c:dLbl>
            <c:dLbl>
              <c:idx val="4"/>
              <c:layout>
                <c:manualLayout>
                  <c:x val="-3.8621271122244047E-2"/>
                  <c:y val="-4.45047784669273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52F-481C-98F5-9DA053E0CFBB}"/>
                </c:ext>
              </c:extLst>
            </c:dLbl>
            <c:dLbl>
              <c:idx val="5"/>
              <c:layout>
                <c:manualLayout>
                  <c:x val="-2.9752608335017909E-2"/>
                  <c:y val="-3.45360834288656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52F-481C-98F5-9DA053E0CFBB}"/>
                </c:ext>
              </c:extLst>
            </c:dLbl>
            <c:dLbl>
              <c:idx val="6"/>
              <c:layout>
                <c:manualLayout>
                  <c:x val="-4.1666666666666664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52F-481C-98F5-9DA053E0CFBB}"/>
                </c:ext>
              </c:extLst>
            </c:dLbl>
            <c:dLbl>
              <c:idx val="7"/>
              <c:layout>
                <c:manualLayout>
                  <c:x val="-4.1634618207439258E-2"/>
                  <c:y val="-4.16665895000280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52F-481C-98F5-9DA053E0CFBB}"/>
                </c:ext>
              </c:extLst>
            </c:dLbl>
            <c:dLbl>
              <c:idx val="8"/>
              <c:layout>
                <c:manualLayout>
                  <c:x val="-3.8664739953528475E-2"/>
                  <c:y val="-3.9200652397629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52F-481C-98F5-9DA053E0CFBB}"/>
                </c:ext>
              </c:extLst>
            </c:dLbl>
            <c:dLbl>
              <c:idx val="9"/>
              <c:layout>
                <c:manualLayout>
                  <c:x val="-2.9528397873573597E-2"/>
                  <c:y val="-3.52805871578662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52F-481C-98F5-9DA053E0CFBB}"/>
                </c:ext>
              </c:extLst>
            </c:dLbl>
            <c:dLbl>
              <c:idx val="10"/>
              <c:layout>
                <c:manualLayout>
                  <c:x val="-2.4855904255839771E-2"/>
                  <c:y val="-3.13605219181033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52F-481C-98F5-9DA053E0CFBB}"/>
                </c:ext>
              </c:extLst>
            </c:dLbl>
            <c:dLbl>
              <c:idx val="11"/>
              <c:layout>
                <c:manualLayout>
                  <c:x val="-3.5335568723623798E-2"/>
                  <c:y val="4.31207176373921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52F-481C-98F5-9DA053E0CFBB}"/>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'Ritmo de ejecución'!$A$3:$A$14</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'Ritmo de ejecución'!$E$3:$E$14</c:f>
              <c:numCache>
                <c:formatCode>0.0</c:formatCode>
                <c:ptCount val="12"/>
                <c:pt idx="0">
                  <c:v>20.715694271915368</c:v>
                </c:pt>
                <c:pt idx="1">
                  <c:v>17.630002749494039</c:v>
                </c:pt>
                <c:pt idx="2">
                  <c:v>18.165392937803176</c:v>
                </c:pt>
                <c:pt idx="3">
                  <c:v>20.703408806932089</c:v>
                </c:pt>
                <c:pt idx="4">
                  <c:v>17.578750434332633</c:v>
                </c:pt>
                <c:pt idx="5">
                  <c:v>16.508106889104582</c:v>
                </c:pt>
                <c:pt idx="6">
                  <c:v>14.01542103722484</c:v>
                </c:pt>
                <c:pt idx="7">
                  <c:v>13.125863649471839</c:v>
                </c:pt>
                <c:pt idx="8">
                  <c:v>13.157770371012447</c:v>
                </c:pt>
                <c:pt idx="9">
                  <c:v>13.088136423900721</c:v>
                </c:pt>
                <c:pt idx="10">
                  <c:v>11.442904301610966</c:v>
                </c:pt>
                <c:pt idx="11">
                  <c:v>9.8002902457205749</c:v>
                </c:pt>
              </c:numCache>
            </c:numRef>
          </c:val>
          <c:smooth val="0"/>
          <c:extLst>
            <c:ext xmlns:c16="http://schemas.microsoft.com/office/drawing/2014/chart" uri="{C3380CC4-5D6E-409C-BE32-E72D297353CC}">
              <c16:uniqueId val="{00000019-A52F-481C-98F5-9DA053E0CFBB}"/>
            </c:ext>
          </c:extLst>
        </c:ser>
        <c:dLbls>
          <c:showLegendKey val="0"/>
          <c:showVal val="0"/>
          <c:showCatName val="0"/>
          <c:showSerName val="0"/>
          <c:showPercent val="0"/>
          <c:showBubbleSize val="0"/>
        </c:dLbls>
        <c:marker val="1"/>
        <c:smooth val="0"/>
        <c:axId val="403343584"/>
        <c:axId val="403340960"/>
      </c:lineChart>
      <c:catAx>
        <c:axId val="4033435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403340960"/>
        <c:crosses val="autoZero"/>
        <c:auto val="1"/>
        <c:lblAlgn val="ctr"/>
        <c:lblOffset val="100"/>
        <c:noMultiLvlLbl val="0"/>
      </c:catAx>
      <c:valAx>
        <c:axId val="40334096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403343584"/>
        <c:crosses val="autoZero"/>
        <c:crossBetween val="between"/>
      </c:valAx>
      <c:spPr>
        <a:noFill/>
        <a:ln>
          <a:noFill/>
        </a:ln>
        <a:effectLst/>
      </c:spPr>
    </c:plotArea>
    <c:legend>
      <c:legendPos val="b"/>
      <c:layout>
        <c:manualLayout>
          <c:xMode val="edge"/>
          <c:yMode val="edge"/>
          <c:x val="0.63280130838383908"/>
          <c:y val="2.4447347818064853E-2"/>
          <c:w val="0.29299882133865246"/>
          <c:h val="0.1707181393992417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933220143728682"/>
          <c:y val="5.9523809523809521E-2"/>
          <c:w val="0.72281655141632761"/>
          <c:h val="0.8317402086102873"/>
        </c:manualLayout>
      </c:layout>
      <c:barChart>
        <c:barDir val="bar"/>
        <c:grouping val="clustered"/>
        <c:varyColors val="0"/>
        <c:ser>
          <c:idx val="0"/>
          <c:order val="0"/>
          <c:tx>
            <c:strRef>
              <c:f>'Gasto por Rubro'!$B$36</c:f>
              <c:strCache>
                <c:ptCount val="1"/>
                <c:pt idx="0">
                  <c:v>2019</c:v>
                </c:pt>
              </c:strCache>
            </c:strRef>
          </c:tx>
          <c:spPr>
            <a:solidFill>
              <a:schemeClr val="accent5">
                <a:lumMod val="75000"/>
                <a:alpha val="71000"/>
              </a:schemeClr>
            </a:solidFill>
            <a:ln>
              <a:noFill/>
            </a:ln>
            <a:effectLst>
              <a:innerShdw blurRad="63500" dist="50800" dir="13500000">
                <a:prstClr val="black">
                  <a:alpha val="50000"/>
                </a:prstClr>
              </a:innerShdw>
            </a:effectLst>
          </c:spPr>
          <c:invertIfNegative val="0"/>
          <c:dLbls>
            <c:dLbl>
              <c:idx val="1"/>
              <c:layout>
                <c:manualLayout>
                  <c:x val="-9.7046407859689241E-3"/>
                  <c:y val="-3.561933747785093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8C-4B60-98C8-E0103B22EB05}"/>
                </c:ext>
              </c:extLst>
            </c:dLbl>
            <c:dLbl>
              <c:idx val="3"/>
              <c:layout>
                <c:manualLayout>
                  <c:x val="-1.2130800982461155E-2"/>
                  <c:y val="-7.123867495570186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8C-4B60-98C8-E0103B22EB05}"/>
                </c:ext>
              </c:extLst>
            </c:dLbl>
            <c:dLbl>
              <c:idx val="5"/>
              <c:layout>
                <c:manualLayout>
                  <c:x val="-1.2130688757739063E-2"/>
                  <c:y val="2.16450216450215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8C-4B60-98C8-E0103B22EB05}"/>
                </c:ext>
              </c:extLst>
            </c:dLbl>
            <c:dLbl>
              <c:idx val="6"/>
              <c:layout>
                <c:manualLayout>
                  <c:x val="-7.2784132546434375E-3"/>
                  <c:y val="1.08225108225108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8C-4B60-98C8-E0103B22EB05}"/>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'Gasto por Rubro'!$A$37:$A$44</c:f>
              <c:strCache>
                <c:ptCount val="8"/>
                <c:pt idx="0">
                  <c:v>Intereses </c:v>
                </c:pt>
                <c:pt idx="1">
                  <c:v>Inversión Real Directa </c:v>
                </c:pt>
                <c:pt idx="2">
                  <c:v>Bienes y servicios </c:v>
                </c:pt>
                <c:pt idx="3">
                  <c:v>Trans. De Capital</c:v>
                </c:pt>
                <c:pt idx="4">
                  <c:v>Prestaciones a la S.S</c:v>
                </c:pt>
                <c:pt idx="5">
                  <c:v>Trans. Corrientes</c:v>
                </c:pt>
                <c:pt idx="6">
                  <c:v>Remuneraciones </c:v>
                </c:pt>
                <c:pt idx="7">
                  <c:v>Inversión Financiera</c:v>
                </c:pt>
              </c:strCache>
            </c:strRef>
          </c:cat>
          <c:val>
            <c:numRef>
              <c:f>'Gasto por Rubro'!$B$37:$B$44</c:f>
              <c:numCache>
                <c:formatCode>#,##0.0</c:formatCode>
                <c:ptCount val="8"/>
                <c:pt idx="0" formatCode="0.0">
                  <c:v>-52.207758529999865</c:v>
                </c:pt>
                <c:pt idx="1">
                  <c:v>1204.37237117</c:v>
                </c:pt>
                <c:pt idx="2">
                  <c:v>327.8330368500001</c:v>
                </c:pt>
                <c:pt idx="3">
                  <c:v>654.80382472000065</c:v>
                </c:pt>
                <c:pt idx="4">
                  <c:v>39.175602960000106</c:v>
                </c:pt>
                <c:pt idx="5">
                  <c:v>1501.4831674499992</c:v>
                </c:pt>
                <c:pt idx="6">
                  <c:v>752.7108228599991</c:v>
                </c:pt>
                <c:pt idx="7">
                  <c:v>0</c:v>
                </c:pt>
              </c:numCache>
            </c:numRef>
          </c:val>
          <c:extLst>
            <c:ext xmlns:c16="http://schemas.microsoft.com/office/drawing/2014/chart" uri="{C3380CC4-5D6E-409C-BE32-E72D297353CC}">
              <c16:uniqueId val="{00000004-5C8C-4B60-98C8-E0103B22EB05}"/>
            </c:ext>
          </c:extLst>
        </c:ser>
        <c:ser>
          <c:idx val="1"/>
          <c:order val="1"/>
          <c:tx>
            <c:strRef>
              <c:f>'Gasto por Rubro'!$C$36</c:f>
              <c:strCache>
                <c:ptCount val="1"/>
                <c:pt idx="0">
                  <c:v>2020</c:v>
                </c:pt>
              </c:strCache>
            </c:strRef>
          </c:tx>
          <c:spPr>
            <a:solidFill>
              <a:schemeClr val="accent2"/>
            </a:solidFill>
            <a:ln>
              <a:noFill/>
            </a:ln>
            <a:effectLst>
              <a:outerShdw blurRad="50800" dist="38100" dir="16200000" rotWithShape="0">
                <a:prstClr val="black">
                  <a:alpha val="40000"/>
                </a:prstClr>
              </a:outerShdw>
            </a:effectLst>
          </c:spPr>
          <c:invertIfNegative val="0"/>
          <c:dLbls>
            <c:dLbl>
              <c:idx val="0"/>
              <c:layout>
                <c:manualLayout>
                  <c:x val="-7.2784805894766927E-3"/>
                  <c:y val="-3.88579079514294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8C-4B60-98C8-E0103B22EB05}"/>
                </c:ext>
              </c:extLst>
            </c:dLbl>
            <c:dLbl>
              <c:idx val="1"/>
              <c:layout>
                <c:manualLayout>
                  <c:x val="-2.4259691602562419E-3"/>
                  <c:y val="-1.4247734991140373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C8C-4B60-98C8-E0103B22EB05}"/>
                </c:ext>
              </c:extLst>
            </c:dLbl>
            <c:dLbl>
              <c:idx val="2"/>
              <c:layout>
                <c:manualLayout>
                  <c:x val="-7.2784805894766927E-3"/>
                  <c:y val="-7.123867495570186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C8C-4B60-98C8-E0103B22EB05}"/>
                </c:ext>
              </c:extLst>
            </c:dLbl>
            <c:dLbl>
              <c:idx val="3"/>
              <c:layout>
                <c:manualLayout>
                  <c:x val="-7.2784805894766927E-3"/>
                  <c:y val="-7.77158159028589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C8C-4B60-98C8-E0103B22EB05}"/>
                </c:ext>
              </c:extLst>
            </c:dLbl>
            <c:dLbl>
              <c:idx val="7"/>
              <c:layout>
                <c:manualLayout>
                  <c:x val="-9.704640785969012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C8C-4B60-98C8-E0103B22EB05}"/>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'Gasto por Rubro'!$A$37:$A$44</c:f>
              <c:strCache>
                <c:ptCount val="8"/>
                <c:pt idx="0">
                  <c:v>Intereses </c:v>
                </c:pt>
                <c:pt idx="1">
                  <c:v>Inversión Real Directa </c:v>
                </c:pt>
                <c:pt idx="2">
                  <c:v>Bienes y servicios </c:v>
                </c:pt>
                <c:pt idx="3">
                  <c:v>Trans. De Capital</c:v>
                </c:pt>
                <c:pt idx="4">
                  <c:v>Prestaciones a la S.S</c:v>
                </c:pt>
                <c:pt idx="5">
                  <c:v>Trans. Corrientes</c:v>
                </c:pt>
                <c:pt idx="6">
                  <c:v>Remuneraciones </c:v>
                </c:pt>
                <c:pt idx="7">
                  <c:v>Inversión Financiera</c:v>
                </c:pt>
              </c:strCache>
            </c:strRef>
          </c:cat>
          <c:val>
            <c:numRef>
              <c:f>'Gasto por Rubro'!$C$37:$C$44</c:f>
              <c:numCache>
                <c:formatCode>#,##0.0</c:formatCode>
                <c:ptCount val="8"/>
                <c:pt idx="0" formatCode="0.0">
                  <c:v>-633.82787575000066</c:v>
                </c:pt>
                <c:pt idx="1">
                  <c:v>-500.8686958799999</c:v>
                </c:pt>
                <c:pt idx="2">
                  <c:v>-132.54038166999999</c:v>
                </c:pt>
                <c:pt idx="3">
                  <c:v>-36.130008099999486</c:v>
                </c:pt>
                <c:pt idx="4">
                  <c:v>28.207687460000216</c:v>
                </c:pt>
                <c:pt idx="5">
                  <c:v>95.14595201999964</c:v>
                </c:pt>
                <c:pt idx="6">
                  <c:v>1043.2126259800025</c:v>
                </c:pt>
                <c:pt idx="7">
                  <c:v>1450</c:v>
                </c:pt>
              </c:numCache>
            </c:numRef>
          </c:val>
          <c:extLst>
            <c:ext xmlns:c16="http://schemas.microsoft.com/office/drawing/2014/chart" uri="{C3380CC4-5D6E-409C-BE32-E72D297353CC}">
              <c16:uniqueId val="{0000000A-5C8C-4B60-98C8-E0103B22EB05}"/>
            </c:ext>
          </c:extLst>
        </c:ser>
        <c:dLbls>
          <c:showLegendKey val="0"/>
          <c:showVal val="0"/>
          <c:showCatName val="0"/>
          <c:showSerName val="0"/>
          <c:showPercent val="0"/>
          <c:showBubbleSize val="0"/>
        </c:dLbls>
        <c:gapWidth val="182"/>
        <c:axId val="567080176"/>
        <c:axId val="567080504"/>
      </c:barChart>
      <c:catAx>
        <c:axId val="56708017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67080504"/>
        <c:crosses val="autoZero"/>
        <c:auto val="1"/>
        <c:lblAlgn val="ctr"/>
        <c:lblOffset val="100"/>
        <c:noMultiLvlLbl val="0"/>
      </c:catAx>
      <c:valAx>
        <c:axId val="567080504"/>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67080176"/>
        <c:crosses val="autoZero"/>
        <c:crossBetween val="between"/>
      </c:valAx>
      <c:spPr>
        <a:noFill/>
        <a:ln>
          <a:noFill/>
        </a:ln>
        <a:effectLst/>
      </c:spPr>
    </c:plotArea>
    <c:legend>
      <c:legendPos val="b"/>
      <c:layout>
        <c:manualLayout>
          <c:xMode val="edge"/>
          <c:yMode val="edge"/>
          <c:x val="0.81055568597841465"/>
          <c:y val="0.47714064151072028"/>
          <c:w val="0.14413699899116156"/>
          <c:h val="0.14717478531770772"/>
        </c:manualLayout>
      </c:layout>
      <c:overlay val="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noFill/>
    <a:ln w="9525" cap="flat" cmpd="sng" algn="ctr">
      <a:noFill/>
      <a:round/>
    </a:ln>
    <a:effectLst/>
  </c:spPr>
  <c:txPr>
    <a:bodyPr/>
    <a:lstStyle/>
    <a:p>
      <a:pPr>
        <a:defRPr/>
      </a:pPr>
      <a:endParaRPr lang="es-GT"/>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566714950476046E-2"/>
          <c:y val="2.9585798816568046E-2"/>
          <c:w val="0.85610525764674339"/>
          <c:h val="0.82233657922937153"/>
        </c:manualLayout>
      </c:layout>
      <c:barChart>
        <c:barDir val="col"/>
        <c:grouping val="clustered"/>
        <c:varyColors val="0"/>
        <c:ser>
          <c:idx val="0"/>
          <c:order val="0"/>
          <c:tx>
            <c:strRef>
              <c:f>Sheet1!$B$1</c:f>
              <c:strCache>
                <c:ptCount val="1"/>
                <c:pt idx="0">
                  <c:v>% de ejecución</c:v>
                </c:pt>
              </c:strCache>
            </c:strRef>
          </c:tx>
          <c:spPr>
            <a:solidFill>
              <a:schemeClr val="accent1">
                <a:lumMod val="60000"/>
                <a:lumOff val="40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649C-4ED2-B3F4-6E1895A616F3}"/>
              </c:ext>
            </c:extLst>
          </c:dPt>
          <c:dPt>
            <c:idx val="6"/>
            <c:invertIfNegative val="0"/>
            <c:bubble3D val="0"/>
            <c:spPr>
              <a:solidFill>
                <a:srgbClr val="FFC000"/>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649C-4ED2-B3F4-6E1895A616F3}"/>
              </c:ext>
            </c:extLst>
          </c:dPt>
          <c:dLbls>
            <c:dLbl>
              <c:idx val="0"/>
              <c:layout>
                <c:manualLayout>
                  <c:x val="0"/>
                  <c:y val="0.1124260355029585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49C-4ED2-B3F4-6E1895A616F3}"/>
                </c:ext>
              </c:extLst>
            </c:dLbl>
            <c:dLbl>
              <c:idx val="1"/>
              <c:layout>
                <c:manualLayout>
                  <c:x val="-3.6939596106284082E-17"/>
                  <c:y val="0.1065088757396449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49C-4ED2-B3F4-6E1895A616F3}"/>
                </c:ext>
              </c:extLst>
            </c:dLbl>
            <c:dLbl>
              <c:idx val="2"/>
              <c:layout>
                <c:manualLayout>
                  <c:x val="-7.3879192212568165E-17"/>
                  <c:y val="0.1065088757396449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49C-4ED2-B3F4-6E1895A616F3}"/>
                </c:ext>
              </c:extLst>
            </c:dLbl>
            <c:dLbl>
              <c:idx val="3"/>
              <c:layout>
                <c:manualLayout>
                  <c:x val="0"/>
                  <c:y val="0.124260355029585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49C-4ED2-B3F4-6E1895A616F3}"/>
                </c:ext>
              </c:extLst>
            </c:dLbl>
            <c:dLbl>
              <c:idx val="4"/>
              <c:layout>
                <c:manualLayout>
                  <c:x val="-4.0298206729800527E-3"/>
                  <c:y val="9.46745562130177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49C-4ED2-B3F4-6E1895A616F3}"/>
                </c:ext>
              </c:extLst>
            </c:dLbl>
            <c:dLbl>
              <c:idx val="5"/>
              <c:layout>
                <c:manualLayout>
                  <c:x val="-4.0298206729800527E-3"/>
                  <c:y val="0.1065088757396450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9C-4ED2-B3F4-6E1895A616F3}"/>
                </c:ext>
              </c:extLst>
            </c:dLbl>
            <c:dLbl>
              <c:idx val="6"/>
              <c:layout>
                <c:manualLayout>
                  <c:x val="0"/>
                  <c:y val="0.10650887573964497"/>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9C-4ED2-B3F4-6E1895A616F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2015</c:v>
                </c:pt>
                <c:pt idx="1">
                  <c:v>2016</c:v>
                </c:pt>
                <c:pt idx="2">
                  <c:v>2017</c:v>
                </c:pt>
                <c:pt idx="3">
                  <c:v>2018</c:v>
                </c:pt>
                <c:pt idx="4">
                  <c:v>2019</c:v>
                </c:pt>
                <c:pt idx="5">
                  <c:v>2020 Con COVID-19</c:v>
                </c:pt>
                <c:pt idx="6">
                  <c:v>2020 Sin COVID-19</c:v>
                </c:pt>
              </c:strCache>
            </c:strRef>
          </c:cat>
          <c:val>
            <c:numRef>
              <c:f>Sheet1!$B$2:$B$8</c:f>
              <c:numCache>
                <c:formatCode>#,##0.0</c:formatCode>
                <c:ptCount val="7"/>
                <c:pt idx="0">
                  <c:v>43.942921093328415</c:v>
                </c:pt>
                <c:pt idx="1">
                  <c:v>40.325852250454666</c:v>
                </c:pt>
                <c:pt idx="2">
                  <c:v>39.600445723889734</c:v>
                </c:pt>
                <c:pt idx="3">
                  <c:v>42.079032637881717</c:v>
                </c:pt>
                <c:pt idx="4">
                  <c:v>42.937539584606547</c:v>
                </c:pt>
                <c:pt idx="5">
                  <c:v>38.32215773429575</c:v>
                </c:pt>
                <c:pt idx="6" formatCode="0.0">
                  <c:v>39.772769160488657</c:v>
                </c:pt>
              </c:numCache>
            </c:numRef>
          </c:val>
          <c:extLst>
            <c:ext xmlns:c16="http://schemas.microsoft.com/office/drawing/2014/chart" uri="{C3380CC4-5D6E-409C-BE32-E72D297353CC}">
              <c16:uniqueId val="{00000009-649C-4ED2-B3F4-6E1895A616F3}"/>
            </c:ext>
          </c:extLst>
        </c:ser>
        <c:dLbls>
          <c:showLegendKey val="0"/>
          <c:showVal val="0"/>
          <c:showCatName val="0"/>
          <c:showSerName val="0"/>
          <c:showPercent val="0"/>
          <c:showBubbleSize val="0"/>
        </c:dLbls>
        <c:gapWidth val="50"/>
        <c:overlap val="-27"/>
        <c:axId val="397837544"/>
        <c:axId val="397839512"/>
      </c:barChart>
      <c:lineChart>
        <c:grouping val="standard"/>
        <c:varyColors val="0"/>
        <c:ser>
          <c:idx val="1"/>
          <c:order val="1"/>
          <c:tx>
            <c:strRef>
              <c:f>Sheet1!$C$1</c:f>
              <c:strCache>
                <c:ptCount val="1"/>
                <c:pt idx="0">
                  <c:v>Promedio</c:v>
                </c:pt>
              </c:strCache>
            </c:strRef>
          </c:tx>
          <c:spPr>
            <a:ln w="28575" cap="rnd">
              <a:solidFill>
                <a:schemeClr val="accent2"/>
              </a:solidFill>
              <a:prstDash val="sysDash"/>
              <a:round/>
            </a:ln>
            <a:effectLst/>
          </c:spPr>
          <c:marker>
            <c:symbol val="none"/>
          </c:marker>
          <c:dLbls>
            <c:dLbl>
              <c:idx val="2"/>
              <c:layout>
                <c:manualLayout>
                  <c:x val="-0.19343155095739975"/>
                  <c:y val="-5.32544378698225E-2"/>
                </c:manualLayout>
              </c:layout>
              <c:tx>
                <c:rich>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sz="800" b="1">
                        <a:solidFill>
                          <a:srgbClr val="C00000"/>
                        </a:solidFill>
                      </a:rPr>
                      <a:t>Promedio;</a:t>
                    </a:r>
                    <a:fld id="{A9E3AF99-88C0-4867-B586-79A569D43B71}" type="VALUE">
                      <a:rPr lang="en-US" sz="800" b="1">
                        <a:solidFill>
                          <a:srgbClr val="C00000"/>
                        </a:solidFill>
                      </a:rPr>
                      <a:pPr>
                        <a:defRPr sz="800" b="1">
                          <a:solidFill>
                            <a:srgbClr val="C00000"/>
                          </a:solidFill>
                        </a:defRPr>
                      </a:pPr>
                      <a:t>[VALOR]</a:t>
                    </a:fld>
                    <a:endParaRPr lang="en-US" sz="800" b="1">
                      <a:solidFill>
                        <a:srgbClr val="C00000"/>
                      </a:solidFill>
                    </a:endParaRP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15:layout>
                    <c:manualLayout>
                      <c:w val="0.27199258766843137"/>
                      <c:h val="0.14017751479289942"/>
                    </c:manualLayout>
                  </c15:layout>
                  <c15:dlblFieldTable/>
                  <c15:showDataLabelsRange val="0"/>
                </c:ext>
                <c:ext xmlns:c16="http://schemas.microsoft.com/office/drawing/2014/chart" uri="{C3380CC4-5D6E-409C-BE32-E72D297353CC}">
                  <c16:uniqueId val="{0000000A-649C-4ED2-B3F4-6E1895A616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Sheet1!$A$2:$A$8</c:f>
              <c:strCache>
                <c:ptCount val="7"/>
                <c:pt idx="0">
                  <c:v>2015</c:v>
                </c:pt>
                <c:pt idx="1">
                  <c:v>2016</c:v>
                </c:pt>
                <c:pt idx="2">
                  <c:v>2017</c:v>
                </c:pt>
                <c:pt idx="3">
                  <c:v>2018</c:v>
                </c:pt>
                <c:pt idx="4">
                  <c:v>2019</c:v>
                </c:pt>
                <c:pt idx="5">
                  <c:v>2020 Con COVID-19</c:v>
                </c:pt>
                <c:pt idx="6">
                  <c:v>2020 Sin COVID-19</c:v>
                </c:pt>
              </c:strCache>
            </c:strRef>
          </c:cat>
          <c:val>
            <c:numRef>
              <c:f>Sheet1!$C$2:$C$8</c:f>
              <c:numCache>
                <c:formatCode>_(* #,##0.0_);_(* \(#,##0.0\);_(* "-"??_);_(@_)</c:formatCode>
                <c:ptCount val="7"/>
                <c:pt idx="0">
                  <c:v>41.777158258032216</c:v>
                </c:pt>
                <c:pt idx="1">
                  <c:v>41.777158258032216</c:v>
                </c:pt>
                <c:pt idx="2">
                  <c:v>41.777158258032216</c:v>
                </c:pt>
                <c:pt idx="3">
                  <c:v>41.777158258032216</c:v>
                </c:pt>
                <c:pt idx="4">
                  <c:v>41.777158258032216</c:v>
                </c:pt>
              </c:numCache>
            </c:numRef>
          </c:val>
          <c:smooth val="0"/>
          <c:extLst>
            <c:ext xmlns:c16="http://schemas.microsoft.com/office/drawing/2014/chart" uri="{C3380CC4-5D6E-409C-BE32-E72D297353CC}">
              <c16:uniqueId val="{0000000B-649C-4ED2-B3F4-6E1895A616F3}"/>
            </c:ext>
          </c:extLst>
        </c:ser>
        <c:dLbls>
          <c:showLegendKey val="0"/>
          <c:showVal val="0"/>
          <c:showCatName val="0"/>
          <c:showSerName val="0"/>
          <c:showPercent val="0"/>
          <c:showBubbleSize val="0"/>
        </c:dLbls>
        <c:marker val="1"/>
        <c:smooth val="0"/>
        <c:axId val="550516528"/>
        <c:axId val="550516856"/>
      </c:lineChart>
      <c:catAx>
        <c:axId val="397837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6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97839512"/>
        <c:crosses val="autoZero"/>
        <c:auto val="1"/>
        <c:lblAlgn val="ctr"/>
        <c:lblOffset val="100"/>
        <c:noMultiLvlLbl val="0"/>
      </c:catAx>
      <c:valAx>
        <c:axId val="397839512"/>
        <c:scaling>
          <c:orientation val="minMax"/>
          <c:max val="44.5"/>
          <c:min val="30.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97837544"/>
        <c:crosses val="autoZero"/>
        <c:crossBetween val="between"/>
      </c:valAx>
      <c:valAx>
        <c:axId val="550516856"/>
        <c:scaling>
          <c:orientation val="minMax"/>
        </c:scaling>
        <c:delete val="1"/>
        <c:axPos val="r"/>
        <c:numFmt formatCode="_(* #,##0.0_);_(* \(#,##0.0\);_(* &quot;-&quot;??_);_(@_)" sourceLinked="1"/>
        <c:majorTickMark val="out"/>
        <c:minorTickMark val="none"/>
        <c:tickLblPos val="nextTo"/>
        <c:crossAx val="550516528"/>
        <c:crosses val="max"/>
        <c:crossBetween val="between"/>
      </c:valAx>
      <c:catAx>
        <c:axId val="550516528"/>
        <c:scaling>
          <c:orientation val="minMax"/>
        </c:scaling>
        <c:delete val="1"/>
        <c:axPos val="b"/>
        <c:numFmt formatCode="General" sourceLinked="1"/>
        <c:majorTickMark val="out"/>
        <c:minorTickMark val="none"/>
        <c:tickLblPos val="nextTo"/>
        <c:crossAx val="55051685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v>
                </c:pt>
              </c:strCache>
            </c:strRef>
          </c:tx>
          <c:spPr>
            <a:solidFill>
              <a:schemeClr val="accent3">
                <a:lumMod val="75000"/>
              </a:schemeClr>
            </a:solidFill>
            <a:ln w="9525">
              <a:solidFill>
                <a:srgbClr val="92D050"/>
              </a:solidFill>
            </a:ln>
            <a:effectLst/>
            <a:scene3d>
              <a:camera prst="orthographicFront"/>
              <a:lightRig rig="threePt" dir="t"/>
            </a:scene3d>
            <a:sp3d/>
          </c:spPr>
          <c:invertIfNegative val="0"/>
          <c:dPt>
            <c:idx val="13"/>
            <c:invertIfNegative val="0"/>
            <c:bubble3D val="0"/>
            <c:spPr>
              <a:solidFill>
                <a:schemeClr val="accent3">
                  <a:lumMod val="60000"/>
                  <a:lumOff val="40000"/>
                </a:schemeClr>
              </a:solidFill>
              <a:ln w="9525">
                <a:solidFill>
                  <a:schemeClr val="accent3">
                    <a:lumMod val="50000"/>
                  </a:schemeClr>
                </a:solidFill>
              </a:ln>
              <a:effectLst/>
              <a:scene3d>
                <a:camera prst="orthographicFront"/>
                <a:lightRig rig="threePt" dir="t"/>
              </a:scene3d>
              <a:sp3d/>
            </c:spPr>
            <c:extLst>
              <c:ext xmlns:c16="http://schemas.microsoft.com/office/drawing/2014/chart" uri="{C3380CC4-5D6E-409C-BE32-E72D297353CC}">
                <c16:uniqueId val="{00000001-E8EC-4715-B8B3-BE14B8CD6709}"/>
              </c:ext>
            </c:extLst>
          </c:dPt>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Agricultura</c:v>
                </c:pt>
                <c:pt idx="1">
                  <c:v>Economía</c:v>
                </c:pt>
                <c:pt idx="2">
                  <c:v>Cultura</c:v>
                </c:pt>
                <c:pt idx="3">
                  <c:v>Desarrollo</c:v>
                </c:pt>
                <c:pt idx="4">
                  <c:v>Comunicaciones</c:v>
                </c:pt>
                <c:pt idx="5">
                  <c:v>Secretarías</c:v>
                </c:pt>
                <c:pt idx="6">
                  <c:v>Ambiente </c:v>
                </c:pt>
                <c:pt idx="7">
                  <c:v>Energía</c:v>
                </c:pt>
                <c:pt idx="8">
                  <c:v>Salud Pública </c:v>
                </c:pt>
                <c:pt idx="9">
                  <c:v>MINREX</c:v>
                </c:pt>
                <c:pt idx="10">
                  <c:v>Finanzas</c:v>
                </c:pt>
                <c:pt idx="11">
                  <c:v>Defensa </c:v>
                </c:pt>
                <c:pt idx="12">
                  <c:v>Gobernación</c:v>
                </c:pt>
                <c:pt idx="13">
                  <c:v>Total</c:v>
                </c:pt>
                <c:pt idx="14">
                  <c:v>Trabajo </c:v>
                </c:pt>
                <c:pt idx="15">
                  <c:v>Presidencia</c:v>
                </c:pt>
                <c:pt idx="16">
                  <c:v>Obligaciones </c:v>
                </c:pt>
                <c:pt idx="17">
                  <c:v>Deuda Pública</c:v>
                </c:pt>
                <c:pt idx="18">
                  <c:v>Educación </c:v>
                </c:pt>
                <c:pt idx="19">
                  <c:v>PGN</c:v>
                </c:pt>
              </c:strCache>
            </c:strRef>
          </c:cat>
          <c:val>
            <c:numRef>
              <c:f>Sheet1!$B$2:$B$21</c:f>
              <c:numCache>
                <c:formatCode>0.0</c:formatCode>
                <c:ptCount val="20"/>
                <c:pt idx="0">
                  <c:v>19.564050274525929</c:v>
                </c:pt>
                <c:pt idx="1">
                  <c:v>22.075254810124147</c:v>
                </c:pt>
                <c:pt idx="2">
                  <c:v>22.936194935782289</c:v>
                </c:pt>
                <c:pt idx="3">
                  <c:v>27.61717884745541</c:v>
                </c:pt>
                <c:pt idx="4">
                  <c:v>31.291186418456917</c:v>
                </c:pt>
                <c:pt idx="5">
                  <c:v>32.159242924368222</c:v>
                </c:pt>
                <c:pt idx="6">
                  <c:v>32.363898006803296</c:v>
                </c:pt>
                <c:pt idx="7">
                  <c:v>33.186448650462239</c:v>
                </c:pt>
                <c:pt idx="8">
                  <c:v>34.102858446875821</c:v>
                </c:pt>
                <c:pt idx="9">
                  <c:v>35.461467380611396</c:v>
                </c:pt>
                <c:pt idx="10">
                  <c:v>35.772880926458498</c:v>
                </c:pt>
                <c:pt idx="11">
                  <c:v>36.622150948345606</c:v>
                </c:pt>
                <c:pt idx="12">
                  <c:v>37.849615949484395</c:v>
                </c:pt>
                <c:pt idx="13">
                  <c:v>38.32215773429575</c:v>
                </c:pt>
                <c:pt idx="14">
                  <c:v>39.054147237221962</c:v>
                </c:pt>
                <c:pt idx="15">
                  <c:v>40.446971242424247</c:v>
                </c:pt>
                <c:pt idx="16">
                  <c:v>40.667785790206331</c:v>
                </c:pt>
                <c:pt idx="17">
                  <c:v>43.596768101635753</c:v>
                </c:pt>
                <c:pt idx="18">
                  <c:v>45.136353506980711</c:v>
                </c:pt>
                <c:pt idx="19">
                  <c:v>49.023861638893187</c:v>
                </c:pt>
              </c:numCache>
            </c:numRef>
          </c:val>
          <c:extLst>
            <c:ext xmlns:c16="http://schemas.microsoft.com/office/drawing/2014/chart" uri="{C3380CC4-5D6E-409C-BE32-E72D297353CC}">
              <c16:uniqueId val="{00000002-E8EC-4715-B8B3-BE14B8CD6709}"/>
            </c:ext>
          </c:extLst>
        </c:ser>
        <c:dLbls>
          <c:showLegendKey val="0"/>
          <c:showVal val="0"/>
          <c:showCatName val="0"/>
          <c:showSerName val="0"/>
          <c:showPercent val="0"/>
          <c:showBubbleSize val="0"/>
        </c:dLbls>
        <c:gapWidth val="99"/>
        <c:axId val="584502968"/>
        <c:axId val="584496080"/>
      </c:barChart>
      <c:catAx>
        <c:axId val="584502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84496080"/>
        <c:crosses val="autoZero"/>
        <c:auto val="1"/>
        <c:lblAlgn val="ctr"/>
        <c:lblOffset val="100"/>
        <c:noMultiLvlLbl val="0"/>
      </c:catAx>
      <c:valAx>
        <c:axId val="584496080"/>
        <c:scaling>
          <c:orientation val="minMax"/>
          <c:max val="5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845029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overlay val="0"/>
      <c:txPr>
        <a:bodyPr/>
        <a:lstStyle/>
        <a:p>
          <a:pPr>
            <a:defRPr lang="es-GT"/>
          </a:pPr>
          <a:endParaRPr lang="es-GT"/>
        </a:p>
      </c:txPr>
    </c:title>
    <c:autoTitleDeleted val="0"/>
    <c:plotArea>
      <c:layout>
        <c:manualLayout>
          <c:layoutTarget val="inner"/>
          <c:xMode val="edge"/>
          <c:yMode val="edge"/>
          <c:x val="2.3611111111111117E-2"/>
          <c:y val="5.7870370370370371E-2"/>
          <c:w val="0.94166666666666654"/>
          <c:h val="0.8935185185185186"/>
        </c:manualLayout>
      </c:layout>
      <c:ofPieChart>
        <c:ofPieType val="bar"/>
        <c:varyColors val="1"/>
        <c:ser>
          <c:idx val="0"/>
          <c:order val="0"/>
          <c:tx>
            <c:strRef>
              <c:f>'Bonos dash'!$F$51</c:f>
              <c:strCache>
                <c:ptCount val="1"/>
              </c:strCache>
            </c:strRef>
          </c:tx>
          <c:dLbls>
            <c:dLbl>
              <c:idx val="0"/>
              <c:layout>
                <c:manualLayout>
                  <c:x val="4.0681112981362184E-2"/>
                  <c:y val="-7.9136839697381903E-3"/>
                </c:manualLayout>
              </c:layout>
              <c:spPr/>
              <c:txPr>
                <a:bodyPr/>
                <a:lstStyle/>
                <a:p>
                  <a:pPr>
                    <a:defRPr lang="es-GT" sz="800" b="1">
                      <a:solidFill>
                        <a:schemeClr val="bg1"/>
                      </a:solidFill>
                      <a:latin typeface="Times New Roman" pitchFamily="18" charset="0"/>
                      <a:cs typeface="Times New Roman"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281-4EF4-ADDD-F47A752DC90F}"/>
                </c:ext>
              </c:extLst>
            </c:dLbl>
            <c:dLbl>
              <c:idx val="1"/>
              <c:layout>
                <c:manualLayout>
                  <c:x val="-3.0878705034270537E-2"/>
                  <c:y val="-1.4126238600136709E-2"/>
                </c:manualLayout>
              </c:layout>
              <c:spPr/>
              <c:txPr>
                <a:bodyPr/>
                <a:lstStyle/>
                <a:p>
                  <a:pPr>
                    <a:defRPr lang="es-GT" sz="900">
                      <a:solidFill>
                        <a:sysClr val="windowText" lastClr="000000"/>
                      </a:solidFill>
                      <a:latin typeface="Times New Roman" pitchFamily="18" charset="0"/>
                      <a:cs typeface="Times New Roman"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2860025565644097"/>
                      <c:h val="0.29961696890270323"/>
                    </c:manualLayout>
                  </c15:layout>
                </c:ext>
                <c:ext xmlns:c16="http://schemas.microsoft.com/office/drawing/2014/chart" uri="{C3380CC4-5D6E-409C-BE32-E72D297353CC}">
                  <c16:uniqueId val="{00000001-3281-4EF4-ADDD-F47A752DC90F}"/>
                </c:ext>
              </c:extLst>
            </c:dLbl>
            <c:dLbl>
              <c:idx val="2"/>
              <c:layout>
                <c:manualLayout>
                  <c:x val="-1.4148912278094769E-3"/>
                  <c:y val="0.11586054822807702"/>
                </c:manualLayout>
              </c:layout>
              <c:showLegendKey val="0"/>
              <c:showVal val="1"/>
              <c:showCatName val="1"/>
              <c:showSerName val="0"/>
              <c:showPercent val="1"/>
              <c:showBubbleSize val="0"/>
              <c:extLst>
                <c:ext xmlns:c15="http://schemas.microsoft.com/office/drawing/2012/chart" uri="{CE6537A1-D6FC-4f65-9D91-7224C49458BB}">
                  <c15:layout>
                    <c:manualLayout>
                      <c:w val="0.2969978098652315"/>
                      <c:h val="0.18634021007434293"/>
                    </c:manualLayout>
                  </c15:layout>
                </c:ext>
                <c:ext xmlns:c16="http://schemas.microsoft.com/office/drawing/2014/chart" uri="{C3380CC4-5D6E-409C-BE32-E72D297353CC}">
                  <c16:uniqueId val="{00000002-3281-4EF4-ADDD-F47A752DC90F}"/>
                </c:ext>
              </c:extLst>
            </c:dLbl>
            <c:dLbl>
              <c:idx val="3"/>
              <c:layout>
                <c:manualLayout>
                  <c:x val="-0.27636900309185564"/>
                  <c:y val="-1.9259760610952921E-2"/>
                </c:manualLayout>
              </c:layout>
              <c:tx>
                <c:rich>
                  <a:bodyPr/>
                  <a:lstStyle/>
                  <a:p>
                    <a:pPr>
                      <a:defRPr lang="es-GT" sz="800" b="1">
                        <a:latin typeface="Times New Roman" pitchFamily="18" charset="0"/>
                        <a:cs typeface="Times New Roman" pitchFamily="18" charset="0"/>
                      </a:defRPr>
                    </a:pPr>
                    <a:r>
                      <a:rPr lang="en-US" sz="800" b="1"/>
                      <a:t>Colocado;</a:t>
                    </a:r>
                    <a:r>
                      <a:rPr lang="en-US" sz="800" b="1" baseline="0"/>
                      <a:t> </a:t>
                    </a:r>
                    <a:fld id="{EA1B1F60-5B38-41DA-BE9A-C92DB5034322}" type="VALUE">
                      <a:rPr lang="en-US" sz="800" b="1" baseline="0"/>
                      <a:pPr>
                        <a:defRPr lang="es-GT" sz="800" b="1">
                          <a:latin typeface="Times New Roman" pitchFamily="18" charset="0"/>
                          <a:cs typeface="Times New Roman" pitchFamily="18" charset="0"/>
                        </a:defRPr>
                      </a:pPr>
                      <a:t>[VALOR]</a:t>
                    </a:fld>
                    <a:r>
                      <a:rPr lang="en-US" sz="800" b="1" baseline="0"/>
                      <a:t>; </a:t>
                    </a:r>
                    <a:fld id="{D54F9560-26B3-4101-8B3D-4FB4D0FB0F2A}" type="PERCENTAGE">
                      <a:rPr lang="en-US" sz="800" b="1" baseline="0"/>
                      <a:pPr>
                        <a:defRPr lang="es-GT" sz="800" b="1">
                          <a:latin typeface="Times New Roman" pitchFamily="18" charset="0"/>
                          <a:cs typeface="Times New Roman" pitchFamily="18" charset="0"/>
                        </a:defRPr>
                      </a:pPr>
                      <a:t>[PORCENTAJE]</a:t>
                    </a:fld>
                    <a:endParaRPr lang="en-US" sz="800" b="1"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281-4EF4-ADDD-F47A752DC90F}"/>
                </c:ext>
              </c:extLst>
            </c:dLbl>
            <c:spPr>
              <a:noFill/>
              <a:ln>
                <a:noFill/>
              </a:ln>
              <a:effectLst/>
            </c:spPr>
            <c:txPr>
              <a:bodyPr/>
              <a:lstStyle/>
              <a:p>
                <a:pPr>
                  <a:defRPr lang="es-GT" sz="900">
                    <a:latin typeface="Times New Roman" pitchFamily="18" charset="0"/>
                    <a:cs typeface="Times New Roman" pitchFamily="18" charset="0"/>
                  </a:defRPr>
                </a:pPr>
                <a:endParaRPr lang="es-GT"/>
              </a:p>
            </c:txPr>
            <c:showLegendKey val="0"/>
            <c:showVal val="1"/>
            <c:showCatName val="1"/>
            <c:showSerName val="0"/>
            <c:showPercent val="1"/>
            <c:showBubbleSize val="0"/>
            <c:showLeaderLines val="1"/>
            <c:extLst>
              <c:ext xmlns:c15="http://schemas.microsoft.com/office/drawing/2012/chart" uri="{CE6537A1-D6FC-4f65-9D91-7224C49458BB}"/>
            </c:extLst>
          </c:dLbls>
          <c:cat>
            <c:strRef>
              <c:f>'Bonos dash'!$E$52:$E$54</c:f>
              <c:strCache>
                <c:ptCount val="3"/>
                <c:pt idx="0">
                  <c:v>Por colocar</c:v>
                </c:pt>
                <c:pt idx="1">
                  <c:v>Nuevo endeudamiento</c:v>
                </c:pt>
                <c:pt idx="2">
                  <c:v>Roll over</c:v>
                </c:pt>
              </c:strCache>
            </c:strRef>
          </c:cat>
          <c:val>
            <c:numRef>
              <c:f>'Bonos dash'!$F$52:$F$54</c:f>
              <c:numCache>
                <c:formatCode>#,##0.0</c:formatCode>
                <c:ptCount val="3"/>
                <c:pt idx="0">
                  <c:v>10314.344000000001</c:v>
                </c:pt>
                <c:pt idx="1">
                  <c:v>21652.995999999999</c:v>
                </c:pt>
                <c:pt idx="2">
                  <c:v>3737.63</c:v>
                </c:pt>
              </c:numCache>
            </c:numRef>
          </c:val>
          <c:extLst>
            <c:ext xmlns:c16="http://schemas.microsoft.com/office/drawing/2014/chart" uri="{C3380CC4-5D6E-409C-BE32-E72D297353CC}">
              <c16:uniqueId val="{00000004-3281-4EF4-ADDD-F47A752DC90F}"/>
            </c:ext>
          </c:extLst>
        </c:ser>
        <c:dLbls>
          <c:showLegendKey val="0"/>
          <c:showVal val="0"/>
          <c:showCatName val="0"/>
          <c:showSerName val="0"/>
          <c:showPercent val="0"/>
          <c:showBubbleSize val="0"/>
          <c:showLeaderLines val="1"/>
        </c:dLbls>
        <c:gapWidth val="100"/>
        <c:splitType val="pos"/>
        <c:splitPos val="2"/>
        <c:secondPieSize val="75"/>
        <c:serLines/>
      </c:ofPieChart>
    </c:plotArea>
    <c:plotVisOnly val="1"/>
    <c:dispBlanksAs val="zero"/>
    <c:showDLblsOverMax val="0"/>
  </c:chart>
  <c:spPr>
    <a:solidFill>
      <a:schemeClr val="bg1"/>
    </a:solidFill>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65D22-20B5-4E69-88E6-6825F75B1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12</Pages>
  <Words>3216</Words>
  <Characters>17688</Characters>
  <Application>Microsoft Office Word</Application>
  <DocSecurity>0</DocSecurity>
  <Lines>147</Lines>
  <Paragraphs>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 Enrique De León Meneses</dc:creator>
  <cp:lastModifiedBy>Saul Enrique De León Meneses</cp:lastModifiedBy>
  <cp:revision>10</cp:revision>
  <dcterms:created xsi:type="dcterms:W3CDTF">2020-07-31T15:46:00Z</dcterms:created>
  <dcterms:modified xsi:type="dcterms:W3CDTF">2020-07-31T16:51:00Z</dcterms:modified>
</cp:coreProperties>
</file>