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188268" w:displacedByCustomXml="next"/>
    <w:sdt>
      <w:sdtPr>
        <w:rPr>
          <w:color w:val="FF0000"/>
        </w:rPr>
        <w:id w:val="-360212609"/>
        <w:docPartObj>
          <w:docPartGallery w:val="Cover Pages"/>
          <w:docPartUnique/>
        </w:docPartObj>
      </w:sdtPr>
      <w:sdtEndPr>
        <w:rPr>
          <w:rFonts w:ascii="Times New Roman" w:hAnsi="Times New Roman" w:cs="Times New Roman"/>
          <w:lang w:val="es-MX"/>
        </w:rPr>
      </w:sdtEndPr>
      <w:sdtContent>
        <w:p w14:paraId="1CA03946" w14:textId="2CEF595C" w:rsidR="004272E5" w:rsidRPr="00A37A37" w:rsidRDefault="004272E5">
          <w:pPr>
            <w:rPr>
              <w:color w:val="FF0000"/>
            </w:rPr>
          </w:pPr>
        </w:p>
        <w:p w14:paraId="5DE86655" w14:textId="0934F0E2" w:rsidR="004272E5" w:rsidRPr="00A37A37" w:rsidRDefault="004272E5">
          <w:pPr>
            <w:rPr>
              <w:rFonts w:ascii="Times New Roman" w:hAnsi="Times New Roman" w:cs="Times New Roman"/>
              <w:color w:val="FF0000"/>
              <w:lang w:val="es-MX"/>
            </w:rPr>
          </w:pPr>
          <w:r w:rsidRPr="00A37A37">
            <w:rPr>
              <w:noProof/>
              <w:color w:val="FF0000"/>
            </w:rPr>
            <w:drawing>
              <wp:anchor distT="0" distB="0" distL="114300" distR="114300" simplePos="0" relativeHeight="252063744" behindDoc="0" locked="0" layoutInCell="1" allowOverlap="1" wp14:anchorId="61A2BC69" wp14:editId="394CDE50">
                <wp:simplePos x="0" y="0"/>
                <wp:positionH relativeFrom="column">
                  <wp:posOffset>414655</wp:posOffset>
                </wp:positionH>
                <wp:positionV relativeFrom="paragraph">
                  <wp:posOffset>7253605</wp:posOffset>
                </wp:positionV>
                <wp:extent cx="1822450" cy="95694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50" cy="956945"/>
                        </a:xfrm>
                        <a:prstGeom prst="rect">
                          <a:avLst/>
                        </a:prstGeom>
                      </pic:spPr>
                    </pic:pic>
                  </a:graphicData>
                </a:graphic>
              </wp:anchor>
            </w:drawing>
          </w:r>
          <w:r w:rsidRPr="00A37A37">
            <w:rPr>
              <w:noProof/>
              <w:color w:val="FF0000"/>
            </w:rPr>
            <mc:AlternateContent>
              <mc:Choice Requires="wps">
                <w:drawing>
                  <wp:anchor distT="0" distB="0" distL="114300" distR="114300" simplePos="0" relativeHeight="252061696" behindDoc="0" locked="0" layoutInCell="1" allowOverlap="1" wp14:anchorId="579CDCC3" wp14:editId="6243B7FE">
                    <wp:simplePos x="0" y="0"/>
                    <wp:positionH relativeFrom="page">
                      <wp:posOffset>2321808</wp:posOffset>
                    </wp:positionH>
                    <wp:positionV relativeFrom="margin">
                      <wp:posOffset>8107045</wp:posOffset>
                    </wp:positionV>
                    <wp:extent cx="5753100" cy="146304"/>
                    <wp:effectExtent l="0" t="0" r="0" b="571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CC3B2" w14:textId="19451A3B" w:rsidR="004272E5" w:rsidRPr="004272E5" w:rsidRDefault="005F1AF2">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79CDCC3" id="_x0000_t202" coordsize="21600,21600" o:spt="202" path="m,l,21600r21600,l21600,xe">
                    <v:stroke joinstyle="miter"/>
                    <v:path gradientshapeok="t" o:connecttype="rect"/>
                  </v:shapetype>
                  <v:shape id="Cuadro de texto 129" o:spid="_x0000_s1026" type="#_x0000_t202" style="position:absolute;margin-left:182.8pt;margin-top:638.35pt;width:453pt;height:11.5pt;z-index:25206169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" filled="f" stroked="f" strokeweight=".5pt">
                    <v:textbox style="mso-fit-shape-to-text:t" inset="1in,0,86.4pt,0">
                      <w:txbxContent>
                        <w:p w14:paraId="2A4CC3B2" w14:textId="19451A3B" w:rsidR="004272E5" w:rsidRPr="004272E5" w:rsidRDefault="00150CD5">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v:textbox>
                    <w10:wrap type="square" anchorx="page" anchory="margin"/>
                  </v:shape>
                </w:pict>
              </mc:Fallback>
            </mc:AlternateContent>
          </w:r>
          <w:r w:rsidRPr="00A37A37">
            <w:rPr>
              <w:noProof/>
              <w:color w:val="FF0000"/>
            </w:rPr>
            <mc:AlternateContent>
              <mc:Choice Requires="wpg">
                <w:drawing>
                  <wp:anchor distT="0" distB="0" distL="114300" distR="114300" simplePos="0" relativeHeight="252058624" behindDoc="1" locked="0" layoutInCell="1" allowOverlap="1" wp14:anchorId="2DEE6ED8" wp14:editId="08CC952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7AAB0C8" w14:textId="0ABFDFCE" w:rsidR="004272E5" w:rsidRDefault="005F1AF2">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DEE6ED8" id="Grupo 125" o:spid="_x0000_s1027" style="position:absolute;margin-left:0;margin-top:0;width:540pt;height:556.55pt;z-index:-2512578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XibwUAALA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XAYF4m8FAACwEwAADgAAAAAAAAAAAAAAAAAuAgAAZHJzL2Uyb0RvYy54bWxQSwECLQAUAAYACAAA&#10;ACEASMHca9oAAAAHAQAADwAAAAAAAAAAAAAAAADJBwAAZHJzL2Rvd25yZXYueG1sUEsFBgAAAAAE&#10;AAQA8wAAANAI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7AAB0C8" w14:textId="0ABFDFCE" w:rsidR="004272E5" w:rsidRDefault="00150CD5">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A37A37">
            <w:rPr>
              <w:noProof/>
              <w:color w:val="FF0000"/>
            </w:rPr>
            <mc:AlternateContent>
              <mc:Choice Requires="wps">
                <w:drawing>
                  <wp:anchor distT="0" distB="0" distL="114300" distR="114300" simplePos="0" relativeHeight="252060672" behindDoc="0" locked="0" layoutInCell="1" allowOverlap="1" wp14:anchorId="76063B7D" wp14:editId="6825327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47D8E889" w:rsidR="004272E5" w:rsidRDefault="00971CB7">
                                    <w:pPr>
                                      <w:pStyle w:val="Sinespaciado"/>
                                      <w:spacing w:before="40" w:after="40"/>
                                      <w:rPr>
                                        <w:caps/>
                                        <w:color w:val="5B9BD5" w:themeColor="accent1"/>
                                        <w:sz w:val="28"/>
                                        <w:szCs w:val="28"/>
                                      </w:rPr>
                                    </w:pPr>
                                    <w:r>
                                      <w:rPr>
                                        <w:caps/>
                                        <w:color w:val="5B9BD5" w:themeColor="accent1"/>
                                        <w:sz w:val="28"/>
                                        <w:szCs w:val="28"/>
                                      </w:rPr>
                                      <w:t>JU</w:t>
                                    </w:r>
                                    <w:r w:rsidR="00A37A37">
                                      <w:rPr>
                                        <w:caps/>
                                        <w:color w:val="5B9BD5" w:themeColor="accent1"/>
                                        <w:sz w:val="28"/>
                                        <w:szCs w:val="28"/>
                                      </w:rPr>
                                      <w:t>l</w:t>
                                    </w:r>
                                    <w:r>
                                      <w:rPr>
                                        <w:caps/>
                                        <w:color w:val="5B9BD5" w:themeColor="accent1"/>
                                        <w:sz w:val="28"/>
                                        <w:szCs w:val="28"/>
                                      </w:rPr>
                                      <w:t>IO</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6063B7D" id="Cuadro de texto 130" o:spid="_x0000_s1030" type="#_x0000_t202" style="position:absolute;margin-left:0;margin-top:0;width:453pt;height:38.15pt;z-index:2520606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us76uI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47D8E889" w:rsidR="004272E5" w:rsidRDefault="00971CB7">
                              <w:pPr>
                                <w:pStyle w:val="Sinespaciado"/>
                                <w:spacing w:before="40" w:after="40"/>
                                <w:rPr>
                                  <w:caps/>
                                  <w:color w:val="5B9BD5" w:themeColor="accent1"/>
                                  <w:sz w:val="28"/>
                                  <w:szCs w:val="28"/>
                                </w:rPr>
                              </w:pPr>
                              <w:r>
                                <w:rPr>
                                  <w:caps/>
                                  <w:color w:val="5B9BD5" w:themeColor="accent1"/>
                                  <w:sz w:val="28"/>
                                  <w:szCs w:val="28"/>
                                </w:rPr>
                                <w:t>JU</w:t>
                              </w:r>
                              <w:r w:rsidR="00A37A37">
                                <w:rPr>
                                  <w:caps/>
                                  <w:color w:val="5B9BD5" w:themeColor="accent1"/>
                                  <w:sz w:val="28"/>
                                  <w:szCs w:val="28"/>
                                </w:rPr>
                                <w:t>l</w:t>
                              </w:r>
                              <w:r>
                                <w:rPr>
                                  <w:caps/>
                                  <w:color w:val="5B9BD5" w:themeColor="accent1"/>
                                  <w:sz w:val="28"/>
                                  <w:szCs w:val="28"/>
                                </w:rPr>
                                <w:t>IO</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v:textbox>
                    <w10:wrap type="square" anchorx="page" anchory="page"/>
                  </v:shape>
                </w:pict>
              </mc:Fallback>
            </mc:AlternateContent>
          </w:r>
          <w:r w:rsidRPr="00A37A37">
            <w:rPr>
              <w:noProof/>
              <w:color w:val="FF0000"/>
            </w:rPr>
            <mc:AlternateContent>
              <mc:Choice Requires="wps">
                <w:drawing>
                  <wp:anchor distT="0" distB="0" distL="114300" distR="114300" simplePos="0" relativeHeight="252059648" behindDoc="0" locked="0" layoutInCell="1" allowOverlap="1" wp14:anchorId="760E6D20" wp14:editId="227D59A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0E6D20" id="Rectángulo 133" o:spid="_x0000_s1031" style="position:absolute;margin-left:-4.4pt;margin-top:0;width:46.8pt;height:77.75pt;z-index:2520596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B9QqmjogIAAJIFAAAOAAAAAAAAAAAAAAAAAC4CAABkcnMv&#10;ZTJvRG9jLnhtbFBLAQItABQABgAIAAAAIQBgIiS/2QAAAAQBAAAPAAAAAAAAAAAAAAAAAPwEAABk&#10;cnMvZG93bnJldi54bWxQSwUGAAAAAAQABADzAAAAAgYAAAAA&#10;" fillcolor="#5b9bd5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v:textbox>
                    <w10:wrap anchorx="margin" anchory="page"/>
                  </v:rect>
                </w:pict>
              </mc:Fallback>
            </mc:AlternateContent>
          </w:r>
          <w:r w:rsidRPr="00A37A37">
            <w:rPr>
              <w:rFonts w:ascii="Times New Roman" w:hAnsi="Times New Roman" w:cs="Times New Roman"/>
              <w:color w:val="FF0000"/>
              <w:lang w:val="es-MX"/>
            </w:rPr>
            <w:br w:type="page"/>
          </w:r>
        </w:p>
      </w:sdtContent>
    </w:sdt>
    <w:p w14:paraId="5989F1B7" w14:textId="2CF379F9" w:rsidR="00C24781" w:rsidRPr="004902FF" w:rsidRDefault="004902FF"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4902FF">
        <w:rPr>
          <w:rFonts w:ascii="Times New Roman" w:hAnsi="Times New Roman" w:cs="Times New Roman"/>
          <w:b/>
          <w:color w:val="FFFFFF" w:themeColor="background1"/>
          <w:sz w:val="24"/>
        </w:rPr>
        <w:lastRenderedPageBreak/>
        <w:t xml:space="preserve">Aumenta </w:t>
      </w:r>
      <w:r w:rsidR="00A715C9" w:rsidRPr="004902FF">
        <w:rPr>
          <w:rFonts w:ascii="Times New Roman" w:hAnsi="Times New Roman" w:cs="Times New Roman"/>
          <w:b/>
          <w:color w:val="FFFFFF" w:themeColor="background1"/>
          <w:sz w:val="24"/>
        </w:rPr>
        <w:t>défic</w:t>
      </w:r>
      <w:r w:rsidR="005419C5" w:rsidRPr="004902FF">
        <w:rPr>
          <w:rFonts w:ascii="Times New Roman" w:hAnsi="Times New Roman" w:cs="Times New Roman"/>
          <w:b/>
          <w:color w:val="FFFFFF" w:themeColor="background1"/>
          <w:sz w:val="24"/>
        </w:rPr>
        <w:t>it</w:t>
      </w:r>
      <w:r w:rsidR="00C24781" w:rsidRPr="004902FF">
        <w:rPr>
          <w:rFonts w:ascii="Times New Roman" w:hAnsi="Times New Roman" w:cs="Times New Roman"/>
          <w:b/>
          <w:color w:val="FFFFFF" w:themeColor="background1"/>
          <w:sz w:val="24"/>
        </w:rPr>
        <w:t xml:space="preserve"> fiscal</w:t>
      </w:r>
      <w:r w:rsidR="00BE1AC0" w:rsidRPr="004902FF">
        <w:rPr>
          <w:rFonts w:ascii="Times New Roman" w:hAnsi="Times New Roman" w:cs="Times New Roman"/>
          <w:b/>
          <w:color w:val="FFFFFF" w:themeColor="background1"/>
          <w:sz w:val="24"/>
        </w:rPr>
        <w:t xml:space="preserve"> </w:t>
      </w:r>
      <w:r w:rsidR="00A715C9" w:rsidRPr="004902FF">
        <w:rPr>
          <w:rFonts w:ascii="Times New Roman" w:hAnsi="Times New Roman" w:cs="Times New Roman"/>
          <w:b/>
          <w:color w:val="FFFFFF" w:themeColor="background1"/>
          <w:sz w:val="24"/>
        </w:rPr>
        <w:t xml:space="preserve">por </w:t>
      </w:r>
      <w:r w:rsidRPr="004902FF">
        <w:rPr>
          <w:rFonts w:ascii="Times New Roman" w:hAnsi="Times New Roman" w:cs="Times New Roman"/>
          <w:b/>
          <w:color w:val="FFFFFF" w:themeColor="background1"/>
          <w:sz w:val="24"/>
        </w:rPr>
        <w:t>el dinamismo del gasto público</w:t>
      </w:r>
    </w:p>
    <w:bookmarkEnd w:id="0"/>
    <w:p w14:paraId="1C0AD3B2" w14:textId="77777777" w:rsidR="00C24781" w:rsidRPr="00A37A37" w:rsidRDefault="00C24781" w:rsidP="00960BE9">
      <w:pPr>
        <w:spacing w:after="0"/>
        <w:rPr>
          <w:rFonts w:ascii="Times New Roman" w:hAnsi="Times New Roman" w:cs="Times New Roman"/>
          <w:color w:val="FF0000"/>
          <w:sz w:val="24"/>
        </w:rPr>
      </w:pPr>
    </w:p>
    <w:p w14:paraId="666821D0" w14:textId="77777777" w:rsidR="00960BE9" w:rsidRPr="00A37A37" w:rsidRDefault="00960BE9" w:rsidP="00960BE9">
      <w:pPr>
        <w:spacing w:after="0"/>
        <w:rPr>
          <w:rFonts w:ascii="Times New Roman" w:hAnsi="Times New Roman" w:cs="Times New Roman"/>
          <w:color w:val="FF0000"/>
          <w:sz w:val="18"/>
        </w:rPr>
        <w:sectPr w:rsidR="00960BE9" w:rsidRPr="00A37A37" w:rsidSect="00422EFA">
          <w:headerReference w:type="default" r:id="rId10"/>
          <w:footerReference w:type="default" r:id="rId11"/>
          <w:pgSz w:w="12240" w:h="15840"/>
          <w:pgMar w:top="1417" w:right="1701" w:bottom="1417" w:left="1701" w:header="708" w:footer="708" w:gutter="0"/>
          <w:pgNumType w:start="0"/>
          <w:cols w:space="708"/>
          <w:titlePg/>
          <w:docGrid w:linePitch="360"/>
        </w:sectPr>
      </w:pPr>
    </w:p>
    <w:p w14:paraId="49B63D35" w14:textId="77777777" w:rsidR="006A369B" w:rsidRDefault="006A369B" w:rsidP="006A369B">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31 de julio de 2023, </w:t>
      </w:r>
      <w:r w:rsidRPr="00813F71">
        <w:rPr>
          <w:rFonts w:ascii="Times New Roman" w:hAnsi="Times New Roman" w:cs="Times New Roman"/>
          <w:lang w:val="es-MX"/>
        </w:rPr>
        <w:t xml:space="preserve">de </w:t>
      </w:r>
      <w:r w:rsidRPr="008E3436">
        <w:rPr>
          <w:rFonts w:ascii="Times New Roman" w:hAnsi="Times New Roman" w:cs="Times New Roman"/>
          <w:lang w:val="es-MX"/>
        </w:rPr>
        <w:t>Q</w:t>
      </w:r>
      <w:r>
        <w:rPr>
          <w:rFonts w:ascii="Times New Roman" w:hAnsi="Times New Roman" w:cs="Times New Roman"/>
          <w:lang w:val="es-MX"/>
        </w:rPr>
        <w:t>3,912.1</w:t>
      </w:r>
      <w:r w:rsidRPr="008E3436">
        <w:rPr>
          <w:rFonts w:ascii="Times New Roman" w:hAnsi="Times New Roman" w:cs="Times New Roman"/>
          <w:lang w:val="es-MX"/>
        </w:rPr>
        <w:t xml:space="preserve"> millones</w:t>
      </w:r>
      <w:r w:rsidRPr="00F74489">
        <w:rPr>
          <w:rFonts w:ascii="Times New Roman" w:hAnsi="Times New Roman" w:cs="Times New Roman"/>
          <w:lang w:val="es-MX"/>
        </w:rPr>
        <w:t>.</w:t>
      </w:r>
      <w:r w:rsidRPr="009A7FFB">
        <w:rPr>
          <w:rFonts w:ascii="Times New Roman" w:hAnsi="Times New Roman" w:cs="Times New Roman"/>
          <w:b/>
          <w:bCs/>
          <w:lang w:val="es-MX"/>
        </w:rPr>
        <w:t xml:space="preserve"> </w:t>
      </w:r>
      <w:r w:rsidRPr="00FF3142">
        <w:rPr>
          <w:rFonts w:ascii="Times New Roman" w:hAnsi="Times New Roman" w:cs="Times New Roman"/>
          <w:lang w:val="es-MX"/>
        </w:rPr>
        <w:t>En</w:t>
      </w:r>
      <w:r>
        <w:rPr>
          <w:rFonts w:ascii="Times New Roman" w:hAnsi="Times New Roman" w:cs="Times New Roman"/>
          <w:lang w:val="es-MX"/>
        </w:rPr>
        <w:t xml:space="preserve"> 2020 a la misma fecha se reportaba un amplio déficit fiscal, asociado a la caída de los ingresos tributarios por impacto del COVID-19, así como al dinamismo en la ejecución de los programas temporales diseñados para dar respuesta a la crisis. </w:t>
      </w:r>
    </w:p>
    <w:p w14:paraId="6F56EDCC" w14:textId="77777777" w:rsidR="006A369B" w:rsidRDefault="006A369B" w:rsidP="006A369B">
      <w:pPr>
        <w:pStyle w:val="Sinespaciado"/>
        <w:jc w:val="both"/>
        <w:rPr>
          <w:rFonts w:ascii="Times New Roman" w:hAnsi="Times New Roman" w:cs="Times New Roman"/>
          <w:lang w:val="es-MX"/>
        </w:rPr>
      </w:pPr>
    </w:p>
    <w:p w14:paraId="74ED9940" w14:textId="77777777" w:rsidR="006A369B" w:rsidRDefault="006A369B" w:rsidP="006A369B">
      <w:pPr>
        <w:pStyle w:val="Sinespaciado"/>
        <w:jc w:val="both"/>
        <w:rPr>
          <w:rFonts w:ascii="Times New Roman" w:hAnsi="Times New Roman" w:cs="Times New Roman"/>
          <w:lang w:val="es-MX"/>
        </w:rPr>
      </w:pPr>
      <w:r>
        <w:rPr>
          <w:rFonts w:ascii="Times New Roman" w:hAnsi="Times New Roman" w:cs="Times New Roman"/>
          <w:lang w:val="es-MX"/>
        </w:rPr>
        <w:t xml:space="preserve">Por su parte, en julio de 2021 y 2022 </w:t>
      </w:r>
      <w:r w:rsidRPr="00FF3142">
        <w:rPr>
          <w:rFonts w:ascii="Times New Roman" w:hAnsi="Times New Roman" w:cs="Times New Roman"/>
          <w:lang w:val="es-MX"/>
        </w:rPr>
        <w:t>se reporta</w:t>
      </w:r>
      <w:r>
        <w:rPr>
          <w:rFonts w:ascii="Times New Roman" w:hAnsi="Times New Roman" w:cs="Times New Roman"/>
          <w:lang w:val="es-MX"/>
        </w:rPr>
        <w:t xml:space="preserve"> un déficit fiscal más moderado, en el caso de 2021 se reporta una importante recuperación económica, en medio de una contracción del gasto público, para ambos años se tuvo un buen desempeño mostrado en los ingresos tributarios, lo que contribuye al resultado.</w:t>
      </w:r>
    </w:p>
    <w:p w14:paraId="5A1D2D0D" w14:textId="77777777" w:rsidR="006A369B" w:rsidRDefault="006A369B" w:rsidP="006A369B">
      <w:pPr>
        <w:pStyle w:val="Sinespaciado"/>
        <w:jc w:val="both"/>
        <w:rPr>
          <w:rFonts w:ascii="Times New Roman" w:hAnsi="Times New Roman" w:cs="Times New Roman"/>
          <w:lang w:val="es-MX"/>
        </w:rPr>
      </w:pPr>
      <w:r>
        <w:rPr>
          <w:rFonts w:ascii="Times New Roman" w:hAnsi="Times New Roman" w:cs="Times New Roman"/>
          <w:lang w:val="es-MX"/>
        </w:rPr>
        <w:t xml:space="preserve">En 2023, el déficit se debe a la desaceleración en la recaudación tributaria, principalmente en el IVA importaciones, el Impuesto sobre la Renta y otros impuestos, así como al dinamismo del gasto público, que, si bien reporta una desaceleración por tercer mes consecutivo, el nivel de ejecución se mantiene bastante alto respecto de los años anteriores. </w:t>
      </w:r>
    </w:p>
    <w:p w14:paraId="2C562EDB" w14:textId="77777777" w:rsidR="006A369B" w:rsidRDefault="006A369B" w:rsidP="006A369B">
      <w:pPr>
        <w:pStyle w:val="Sinespaciado"/>
        <w:jc w:val="both"/>
        <w:rPr>
          <w:rFonts w:ascii="Times New Roman" w:hAnsi="Times New Roman" w:cs="Times New Roman"/>
          <w:lang w:val="es-MX"/>
        </w:rPr>
      </w:pPr>
    </w:p>
    <w:p w14:paraId="177455A2" w14:textId="2BAE468E" w:rsidR="007C138E" w:rsidRPr="00A37A37" w:rsidRDefault="006A369B" w:rsidP="006A369B">
      <w:pPr>
        <w:pStyle w:val="Sinespaciado"/>
        <w:jc w:val="both"/>
        <w:rPr>
          <w:rFonts w:ascii="Times New Roman" w:hAnsi="Times New Roman" w:cs="Times New Roman"/>
          <w:color w:val="FF0000"/>
          <w:lang w:val="es-MX"/>
        </w:rPr>
        <w:sectPr w:rsidR="007C138E" w:rsidRPr="00A37A37"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 xml:space="preserve">El rubro de bienes y servicios continúa apuntalando el gasto público, específicamente en el </w:t>
      </w:r>
      <w:r w:rsidRPr="009A7FFB">
        <w:rPr>
          <w:rFonts w:ascii="Times New Roman" w:hAnsi="Times New Roman" w:cs="Times New Roman"/>
          <w:lang w:val="es-MX"/>
        </w:rPr>
        <w:t>mantenimiento y reparación de carreteras y puentes,</w:t>
      </w:r>
      <w:r>
        <w:rPr>
          <w:rFonts w:ascii="Times New Roman" w:hAnsi="Times New Roman" w:cs="Times New Roman"/>
          <w:lang w:val="es-MX"/>
        </w:rPr>
        <w:t xml:space="preserve"> realizadas por el Ministerio de </w:t>
      </w:r>
      <w:r w:rsidRPr="00BE195B">
        <w:rPr>
          <w:rFonts w:ascii="Times New Roman" w:hAnsi="Times New Roman" w:cs="Times New Roman"/>
          <w:lang w:val="es-MX"/>
        </w:rPr>
        <w:t>Comunicaciones, Infraestructura y Vivienda</w:t>
      </w:r>
      <w:r>
        <w:rPr>
          <w:rFonts w:ascii="Times New Roman" w:hAnsi="Times New Roman" w:cs="Times New Roman"/>
          <w:lang w:val="es-MX"/>
        </w:rPr>
        <w:t>, siendo la entidad de la administración pública con el mayor nivel de crecimiento interanual.</w:t>
      </w:r>
    </w:p>
    <w:p w14:paraId="54313217" w14:textId="6505F780" w:rsidR="00960BE9" w:rsidRPr="00A37A37" w:rsidRDefault="00960BE9" w:rsidP="007C138E">
      <w:pPr>
        <w:pStyle w:val="Sinespaciado"/>
        <w:jc w:val="both"/>
        <w:rPr>
          <w:rFonts w:ascii="Times New Roman" w:hAnsi="Times New Roman" w:cs="Times New Roman"/>
          <w:color w:val="FF0000"/>
          <w:sz w:val="16"/>
          <w:lang w:val="es-MX"/>
        </w:rPr>
        <w:sectPr w:rsidR="00960BE9" w:rsidRPr="00A37A37" w:rsidSect="00960BE9">
          <w:headerReference w:type="default" r:id="rId12"/>
          <w:footerReference w:type="default" r:id="rId13"/>
          <w:type w:val="continuous"/>
          <w:pgSz w:w="12240" w:h="15840"/>
          <w:pgMar w:top="1417" w:right="1701" w:bottom="1417" w:left="1701" w:header="708" w:footer="708" w:gutter="0"/>
          <w:cols w:space="708"/>
          <w:docGrid w:linePitch="360"/>
        </w:sectPr>
      </w:pPr>
    </w:p>
    <w:p w14:paraId="7E5B8A7F" w14:textId="77777777" w:rsidR="00C66E5B" w:rsidRPr="006A369B" w:rsidRDefault="00960BE9" w:rsidP="00960BE9">
      <w:pPr>
        <w:pStyle w:val="Sinespaciado"/>
        <w:jc w:val="center"/>
        <w:rPr>
          <w:rFonts w:ascii="Times New Roman" w:hAnsi="Times New Roman" w:cs="Times New Roman"/>
          <w:b/>
          <w:szCs w:val="20"/>
          <w:lang w:val="es-MX"/>
        </w:rPr>
      </w:pPr>
      <w:r w:rsidRPr="006A369B">
        <w:rPr>
          <w:rFonts w:ascii="Times New Roman" w:hAnsi="Times New Roman" w:cs="Times New Roman"/>
          <w:b/>
          <w:szCs w:val="20"/>
          <w:lang w:val="es-MX"/>
        </w:rPr>
        <w:t>Resultado Presupuestario</w:t>
      </w:r>
    </w:p>
    <w:p w14:paraId="18DD2ACB" w14:textId="77777777" w:rsidR="00960BE9" w:rsidRPr="006A369B" w:rsidRDefault="00960BE9" w:rsidP="00960BE9">
      <w:pPr>
        <w:pStyle w:val="Sinespaciado"/>
        <w:jc w:val="center"/>
        <w:rPr>
          <w:rFonts w:ascii="Times New Roman" w:hAnsi="Times New Roman" w:cs="Times New Roman"/>
          <w:sz w:val="18"/>
          <w:szCs w:val="18"/>
          <w:lang w:val="es-MX"/>
        </w:rPr>
      </w:pPr>
      <w:r w:rsidRPr="006A369B">
        <w:rPr>
          <w:rFonts w:ascii="Times New Roman" w:hAnsi="Times New Roman" w:cs="Times New Roman"/>
          <w:sz w:val="18"/>
          <w:szCs w:val="18"/>
          <w:lang w:val="es-MX"/>
        </w:rPr>
        <w:t>Cifras en millones de quetzales</w:t>
      </w:r>
    </w:p>
    <w:p w14:paraId="71C6E958" w14:textId="1A106DE3" w:rsidR="00A715C9" w:rsidRPr="006A369B" w:rsidRDefault="00A715C9" w:rsidP="00A715C9">
      <w:pPr>
        <w:pStyle w:val="Sinespaciado"/>
        <w:jc w:val="center"/>
        <w:rPr>
          <w:rFonts w:ascii="Times New Roman" w:hAnsi="Times New Roman" w:cs="Times New Roman"/>
          <w:sz w:val="18"/>
          <w:szCs w:val="18"/>
          <w:lang w:val="es-MX"/>
        </w:rPr>
      </w:pPr>
      <w:r w:rsidRPr="006A369B">
        <w:rPr>
          <w:rFonts w:ascii="Times New Roman" w:hAnsi="Times New Roman" w:cs="Times New Roman"/>
          <w:sz w:val="18"/>
          <w:szCs w:val="18"/>
          <w:lang w:val="es-MX"/>
        </w:rPr>
        <w:t xml:space="preserve">Al </w:t>
      </w:r>
      <w:r w:rsidR="005F1F2F" w:rsidRPr="006A369B">
        <w:rPr>
          <w:rFonts w:ascii="Times New Roman" w:hAnsi="Times New Roman" w:cs="Times New Roman"/>
          <w:sz w:val="18"/>
          <w:szCs w:val="18"/>
          <w:lang w:val="es-MX"/>
        </w:rPr>
        <w:t>3</w:t>
      </w:r>
      <w:r w:rsidR="006A369B" w:rsidRPr="006A369B">
        <w:rPr>
          <w:rFonts w:ascii="Times New Roman" w:hAnsi="Times New Roman" w:cs="Times New Roman"/>
          <w:sz w:val="18"/>
          <w:szCs w:val="18"/>
          <w:lang w:val="es-MX"/>
        </w:rPr>
        <w:t>1</w:t>
      </w:r>
      <w:r w:rsidRPr="006A369B">
        <w:rPr>
          <w:rFonts w:ascii="Times New Roman" w:hAnsi="Times New Roman" w:cs="Times New Roman"/>
          <w:sz w:val="18"/>
          <w:szCs w:val="18"/>
          <w:lang w:val="es-MX"/>
        </w:rPr>
        <w:t xml:space="preserve"> de </w:t>
      </w:r>
      <w:r w:rsidR="007C138E" w:rsidRPr="006A369B">
        <w:rPr>
          <w:rFonts w:ascii="Times New Roman" w:hAnsi="Times New Roman" w:cs="Times New Roman"/>
          <w:sz w:val="18"/>
          <w:szCs w:val="18"/>
          <w:lang w:val="es-MX"/>
        </w:rPr>
        <w:t>ju</w:t>
      </w:r>
      <w:r w:rsidR="006A369B" w:rsidRPr="006A369B">
        <w:rPr>
          <w:rFonts w:ascii="Times New Roman" w:hAnsi="Times New Roman" w:cs="Times New Roman"/>
          <w:sz w:val="18"/>
          <w:szCs w:val="18"/>
          <w:lang w:val="es-MX"/>
        </w:rPr>
        <w:t>l</w:t>
      </w:r>
      <w:r w:rsidR="007C138E" w:rsidRPr="006A369B">
        <w:rPr>
          <w:rFonts w:ascii="Times New Roman" w:hAnsi="Times New Roman" w:cs="Times New Roman"/>
          <w:sz w:val="18"/>
          <w:szCs w:val="18"/>
          <w:lang w:val="es-MX"/>
        </w:rPr>
        <w:t>i</w:t>
      </w:r>
      <w:r w:rsidR="00422EFA" w:rsidRPr="006A369B">
        <w:rPr>
          <w:rFonts w:ascii="Times New Roman" w:hAnsi="Times New Roman" w:cs="Times New Roman"/>
          <w:sz w:val="18"/>
          <w:szCs w:val="18"/>
          <w:lang w:val="es-MX"/>
        </w:rPr>
        <w:t>o</w:t>
      </w:r>
      <w:r w:rsidRPr="006A369B">
        <w:rPr>
          <w:rFonts w:ascii="Times New Roman" w:hAnsi="Times New Roman" w:cs="Times New Roman"/>
          <w:sz w:val="18"/>
          <w:szCs w:val="18"/>
          <w:lang w:val="es-MX"/>
        </w:rPr>
        <w:t xml:space="preserve"> de cada año</w:t>
      </w:r>
    </w:p>
    <w:p w14:paraId="034F6167" w14:textId="1885F4F7" w:rsidR="00283D03" w:rsidRPr="006A369B" w:rsidRDefault="006A369B" w:rsidP="00960BE9">
      <w:pPr>
        <w:pStyle w:val="Sinespaciado"/>
        <w:jc w:val="center"/>
        <w:rPr>
          <w:rFonts w:ascii="Times New Roman" w:hAnsi="Times New Roman" w:cs="Times New Roman"/>
          <w:lang w:val="es-MX"/>
        </w:rPr>
      </w:pPr>
      <w:r w:rsidRPr="006A369B">
        <w:rPr>
          <w:noProof/>
        </w:rPr>
        <w:drawing>
          <wp:inline distT="0" distB="0" distL="0" distR="0" wp14:anchorId="66136CF6" wp14:editId="2F98399A">
            <wp:extent cx="5329450" cy="1958454"/>
            <wp:effectExtent l="0" t="0" r="5080" b="381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5E3D25" w14:textId="2D738A0D" w:rsidR="00FD6C71" w:rsidRPr="006A369B" w:rsidRDefault="00960BE9" w:rsidP="00960BE9">
      <w:pPr>
        <w:pStyle w:val="Sinespaciado"/>
        <w:rPr>
          <w:rFonts w:ascii="Times New Roman" w:hAnsi="Times New Roman" w:cs="Times New Roman"/>
          <w:sz w:val="14"/>
          <w:szCs w:val="14"/>
          <w:lang w:val="es-MX"/>
        </w:rPr>
      </w:pPr>
      <w:r w:rsidRPr="006A369B">
        <w:rPr>
          <w:rFonts w:ascii="Times New Roman" w:hAnsi="Times New Roman" w:cs="Times New Roman"/>
          <w:sz w:val="14"/>
          <w:szCs w:val="14"/>
          <w:lang w:val="es-MX"/>
        </w:rPr>
        <w:t>Fuente: Dirección de Análisis y Política Fiscal.</w:t>
      </w:r>
    </w:p>
    <w:p w14:paraId="4D5B16DF" w14:textId="0C3BBB9F" w:rsidR="00FD6C71" w:rsidRPr="006A369B" w:rsidRDefault="00FD6C71" w:rsidP="00960BE9">
      <w:pPr>
        <w:pStyle w:val="Sinespaciado"/>
        <w:rPr>
          <w:rFonts w:ascii="Times New Roman" w:hAnsi="Times New Roman" w:cs="Times New Roman"/>
          <w:sz w:val="18"/>
          <w:szCs w:val="18"/>
          <w:lang w:val="es-MX"/>
        </w:rPr>
      </w:pPr>
    </w:p>
    <w:p w14:paraId="3A8949AB" w14:textId="6DA0C35A" w:rsidR="00960BE9" w:rsidRPr="004902FF"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4902FF">
        <w:rPr>
          <w:rFonts w:ascii="Times New Roman" w:hAnsi="Times New Roman" w:cs="Times New Roman"/>
          <w:b/>
          <w:color w:val="FFFFFF" w:themeColor="background1"/>
          <w:sz w:val="24"/>
          <w:szCs w:val="24"/>
          <w:lang w:val="es-MX"/>
        </w:rPr>
        <w:t>L</w:t>
      </w:r>
      <w:r w:rsidR="00F32FAA" w:rsidRPr="004902FF">
        <w:rPr>
          <w:rFonts w:ascii="Times New Roman" w:hAnsi="Times New Roman" w:cs="Times New Roman"/>
          <w:b/>
          <w:color w:val="FFFFFF" w:themeColor="background1"/>
          <w:sz w:val="24"/>
          <w:szCs w:val="24"/>
          <w:lang w:val="es-MX"/>
        </w:rPr>
        <w:t xml:space="preserve">a </w:t>
      </w:r>
      <w:r w:rsidRPr="004902FF">
        <w:rPr>
          <w:rFonts w:ascii="Times New Roman" w:hAnsi="Times New Roman" w:cs="Times New Roman"/>
          <w:b/>
          <w:color w:val="FFFFFF" w:themeColor="background1"/>
          <w:sz w:val="24"/>
          <w:szCs w:val="24"/>
          <w:lang w:val="es-MX"/>
        </w:rPr>
        <w:t xml:space="preserve">brecha de </w:t>
      </w:r>
      <w:r w:rsidR="00F32FAA" w:rsidRPr="004902FF">
        <w:rPr>
          <w:rFonts w:ascii="Times New Roman" w:hAnsi="Times New Roman" w:cs="Times New Roman"/>
          <w:b/>
          <w:color w:val="FFFFFF" w:themeColor="background1"/>
          <w:sz w:val="24"/>
          <w:szCs w:val="24"/>
          <w:lang w:val="es-MX"/>
        </w:rPr>
        <w:t>r</w:t>
      </w:r>
      <w:r w:rsidR="00960BE9" w:rsidRPr="004902FF">
        <w:rPr>
          <w:rFonts w:ascii="Times New Roman" w:hAnsi="Times New Roman" w:cs="Times New Roman"/>
          <w:b/>
          <w:color w:val="FFFFFF" w:themeColor="background1"/>
          <w:sz w:val="24"/>
          <w:szCs w:val="24"/>
          <w:lang w:val="es-MX"/>
        </w:rPr>
        <w:t>ecaudación</w:t>
      </w:r>
      <w:r w:rsidR="00942DFF" w:rsidRPr="004902FF">
        <w:rPr>
          <w:rFonts w:ascii="Times New Roman" w:hAnsi="Times New Roman" w:cs="Times New Roman"/>
          <w:b/>
          <w:color w:val="FFFFFF" w:themeColor="background1"/>
          <w:sz w:val="24"/>
          <w:szCs w:val="24"/>
          <w:lang w:val="es-MX"/>
        </w:rPr>
        <w:t xml:space="preserve"> </w:t>
      </w:r>
      <w:r w:rsidRPr="004902FF">
        <w:rPr>
          <w:rFonts w:ascii="Times New Roman" w:hAnsi="Times New Roman" w:cs="Times New Roman"/>
          <w:b/>
          <w:color w:val="FFFFFF" w:themeColor="background1"/>
          <w:sz w:val="24"/>
          <w:szCs w:val="24"/>
          <w:lang w:val="es-MX"/>
        </w:rPr>
        <w:t>al 3</w:t>
      </w:r>
      <w:r w:rsidR="004902FF" w:rsidRPr="004902FF">
        <w:rPr>
          <w:rFonts w:ascii="Times New Roman" w:hAnsi="Times New Roman" w:cs="Times New Roman"/>
          <w:b/>
          <w:color w:val="FFFFFF" w:themeColor="background1"/>
          <w:sz w:val="24"/>
          <w:szCs w:val="24"/>
          <w:lang w:val="es-MX"/>
        </w:rPr>
        <w:t>1</w:t>
      </w:r>
      <w:r w:rsidRPr="004902FF">
        <w:rPr>
          <w:rFonts w:ascii="Times New Roman" w:hAnsi="Times New Roman" w:cs="Times New Roman"/>
          <w:b/>
          <w:color w:val="FFFFFF" w:themeColor="background1"/>
          <w:sz w:val="24"/>
          <w:szCs w:val="24"/>
          <w:lang w:val="es-MX"/>
        </w:rPr>
        <w:t xml:space="preserve"> de </w:t>
      </w:r>
      <w:r w:rsidR="000741E6" w:rsidRPr="004902FF">
        <w:rPr>
          <w:rFonts w:ascii="Times New Roman" w:hAnsi="Times New Roman" w:cs="Times New Roman"/>
          <w:b/>
          <w:color w:val="FFFFFF" w:themeColor="background1"/>
          <w:sz w:val="24"/>
          <w:szCs w:val="24"/>
          <w:lang w:val="es-MX"/>
        </w:rPr>
        <w:t>ju</w:t>
      </w:r>
      <w:r w:rsidR="004902FF" w:rsidRPr="004902FF">
        <w:rPr>
          <w:rFonts w:ascii="Times New Roman" w:hAnsi="Times New Roman" w:cs="Times New Roman"/>
          <w:b/>
          <w:color w:val="FFFFFF" w:themeColor="background1"/>
          <w:sz w:val="24"/>
          <w:szCs w:val="24"/>
          <w:lang w:val="es-MX"/>
        </w:rPr>
        <w:t>l</w:t>
      </w:r>
      <w:r w:rsidR="000741E6" w:rsidRPr="004902FF">
        <w:rPr>
          <w:rFonts w:ascii="Times New Roman" w:hAnsi="Times New Roman" w:cs="Times New Roman"/>
          <w:b/>
          <w:color w:val="FFFFFF" w:themeColor="background1"/>
          <w:sz w:val="24"/>
          <w:szCs w:val="24"/>
          <w:lang w:val="es-MX"/>
        </w:rPr>
        <w:t>i</w:t>
      </w:r>
      <w:r w:rsidR="000E17AF" w:rsidRPr="004902FF">
        <w:rPr>
          <w:rFonts w:ascii="Times New Roman" w:hAnsi="Times New Roman" w:cs="Times New Roman"/>
          <w:b/>
          <w:color w:val="FFFFFF" w:themeColor="background1"/>
          <w:sz w:val="24"/>
          <w:szCs w:val="24"/>
          <w:lang w:val="es-MX"/>
        </w:rPr>
        <w:t>o</w:t>
      </w:r>
      <w:r w:rsidRPr="004902FF">
        <w:rPr>
          <w:rFonts w:ascii="Times New Roman" w:hAnsi="Times New Roman" w:cs="Times New Roman"/>
          <w:b/>
          <w:color w:val="FFFFFF" w:themeColor="background1"/>
          <w:sz w:val="24"/>
          <w:szCs w:val="24"/>
          <w:lang w:val="es-MX"/>
        </w:rPr>
        <w:t xml:space="preserve"> </w:t>
      </w:r>
      <w:r w:rsidR="00CF19EC" w:rsidRPr="004902FF">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A37A37" w:rsidRDefault="00960BE9" w:rsidP="00960BE9">
      <w:pPr>
        <w:pStyle w:val="Sinespaciado"/>
        <w:rPr>
          <w:rFonts w:ascii="Times New Roman" w:hAnsi="Times New Roman" w:cs="Times New Roman"/>
          <w:color w:val="FF0000"/>
          <w:sz w:val="18"/>
          <w:szCs w:val="18"/>
          <w:lang w:val="es-MX"/>
        </w:rPr>
      </w:pPr>
    </w:p>
    <w:p w14:paraId="77A2A016" w14:textId="77777777" w:rsidR="00960BE9" w:rsidRPr="00A37A37" w:rsidRDefault="00960BE9" w:rsidP="00960BE9">
      <w:pPr>
        <w:spacing w:after="0"/>
        <w:rPr>
          <w:rFonts w:ascii="Times New Roman" w:hAnsi="Times New Roman" w:cs="Times New Roman"/>
          <w:color w:val="FF0000"/>
          <w:sz w:val="24"/>
        </w:rPr>
        <w:sectPr w:rsidR="00960BE9" w:rsidRPr="00A37A37" w:rsidSect="00960BE9">
          <w:headerReference w:type="default" r:id="rId15"/>
          <w:footerReference w:type="default" r:id="rId16"/>
          <w:type w:val="continuous"/>
          <w:pgSz w:w="12240" w:h="15840"/>
          <w:pgMar w:top="1417" w:right="1701" w:bottom="1417" w:left="1701" w:header="708" w:footer="708" w:gutter="0"/>
          <w:cols w:space="708"/>
          <w:docGrid w:linePitch="360"/>
        </w:sectPr>
      </w:pPr>
    </w:p>
    <w:p w14:paraId="2C16305E" w14:textId="18A50B7F" w:rsidR="004902FF" w:rsidRDefault="004902FF" w:rsidP="004902FF">
      <w:pPr>
        <w:spacing w:after="0" w:line="240" w:lineRule="auto"/>
        <w:jc w:val="both"/>
        <w:rPr>
          <w:rFonts w:ascii="Times New Roman" w:hAnsi="Times New Roman" w:cs="Times New Roman"/>
        </w:rPr>
      </w:pPr>
      <w:r>
        <w:rPr>
          <w:rFonts w:ascii="Times New Roman" w:hAnsi="Times New Roman" w:cs="Times New Roman"/>
        </w:rPr>
        <w:t>En julio, la recaudación tributaria tiene vencimientos importantes como el tercer pago trimestral en el Impuesto Sobre la Renta y el Impuesto de Solidaridad.  Asimismo, el vencimiento anual del Impuesto Sobre Circulación de Vehículos.</w:t>
      </w:r>
    </w:p>
    <w:p w14:paraId="6A4A4B9B" w14:textId="77777777" w:rsidR="004902FF" w:rsidRDefault="004902FF" w:rsidP="004902FF">
      <w:pPr>
        <w:spacing w:after="0" w:line="240" w:lineRule="auto"/>
        <w:jc w:val="both"/>
        <w:rPr>
          <w:rFonts w:ascii="Times New Roman" w:hAnsi="Times New Roman" w:cs="Times New Roman"/>
        </w:rPr>
      </w:pPr>
    </w:p>
    <w:p w14:paraId="3F4361C2" w14:textId="77777777" w:rsidR="004902FF" w:rsidRDefault="004902FF" w:rsidP="004902FF">
      <w:pPr>
        <w:spacing w:after="0" w:line="240" w:lineRule="auto"/>
        <w:jc w:val="both"/>
        <w:rPr>
          <w:rFonts w:ascii="Times New Roman" w:hAnsi="Times New Roman" w:cs="Times New Roman"/>
        </w:rPr>
      </w:pPr>
      <w:r>
        <w:rPr>
          <w:rFonts w:ascii="Times New Roman" w:hAnsi="Times New Roman" w:cs="Times New Roman"/>
        </w:rPr>
        <w:t>Al 31 de julio la recaudación tributaria continúa superando la meta y por lo tanto ampliándose la brecha, principalmente, por una dinámica positiva en el Impuesto Sobre la Renta (ISR), Impuesto de Solidaridad (ISO), e Impuesto al Valor Agregado (IVA).</w:t>
      </w:r>
    </w:p>
    <w:p w14:paraId="7D108C63" w14:textId="77777777" w:rsidR="004902FF" w:rsidRDefault="004902FF" w:rsidP="004902FF">
      <w:pPr>
        <w:spacing w:after="0" w:line="240" w:lineRule="auto"/>
        <w:jc w:val="both"/>
        <w:rPr>
          <w:rFonts w:ascii="Times New Roman" w:hAnsi="Times New Roman" w:cs="Times New Roman"/>
        </w:rPr>
      </w:pPr>
      <w:r>
        <w:rPr>
          <w:rFonts w:ascii="Times New Roman" w:hAnsi="Times New Roman" w:cs="Times New Roman"/>
        </w:rPr>
        <w:t>La evolución de la recaudación tributaria total neta de julio alcanzó</w:t>
      </w:r>
      <w:r w:rsidRPr="004C1154">
        <w:rPr>
          <w:rFonts w:ascii="Times New Roman" w:hAnsi="Times New Roman" w:cs="Times New Roman"/>
        </w:rPr>
        <w:t xml:space="preserve"> </w:t>
      </w:r>
      <w:r w:rsidRPr="0006703E">
        <w:rPr>
          <w:rFonts w:ascii="Times New Roman" w:hAnsi="Times New Roman" w:cs="Times New Roman"/>
        </w:rPr>
        <w:t>Q11,110.4</w:t>
      </w:r>
      <w:r>
        <w:rPr>
          <w:rFonts w:ascii="Times New Roman" w:hAnsi="Times New Roman" w:cs="Times New Roman"/>
        </w:rPr>
        <w:t xml:space="preserve"> millones, superior en </w:t>
      </w:r>
      <w:r w:rsidRPr="0006703E">
        <w:rPr>
          <w:rFonts w:ascii="Times New Roman" w:hAnsi="Times New Roman" w:cs="Times New Roman"/>
        </w:rPr>
        <w:t>Q1,1</w:t>
      </w:r>
      <w:r>
        <w:rPr>
          <w:rFonts w:ascii="Times New Roman" w:hAnsi="Times New Roman" w:cs="Times New Roman"/>
        </w:rPr>
        <w:t xml:space="preserve">88.0 millones respecto a lo establecido en la meta que se situaba en </w:t>
      </w:r>
      <w:r w:rsidRPr="0006703E">
        <w:rPr>
          <w:rFonts w:ascii="Times New Roman" w:hAnsi="Times New Roman" w:cs="Times New Roman"/>
        </w:rPr>
        <w:t>Q9,922.4</w:t>
      </w:r>
      <w:r>
        <w:rPr>
          <w:rFonts w:ascii="Times New Roman" w:hAnsi="Times New Roman" w:cs="Times New Roman"/>
        </w:rPr>
        <w:t xml:space="preserve"> millones.</w:t>
      </w:r>
      <w:r w:rsidDel="00C835AD">
        <w:rPr>
          <w:rFonts w:ascii="Times New Roman" w:hAnsi="Times New Roman" w:cs="Times New Roman"/>
        </w:rPr>
        <w:t xml:space="preserve"> </w:t>
      </w:r>
    </w:p>
    <w:p w14:paraId="7EE6A2E1" w14:textId="77777777" w:rsidR="004902FF" w:rsidRDefault="004902FF" w:rsidP="004902FF">
      <w:pPr>
        <w:spacing w:after="0" w:line="240" w:lineRule="auto"/>
        <w:jc w:val="both"/>
        <w:rPr>
          <w:rFonts w:ascii="Times New Roman" w:hAnsi="Times New Roman" w:cs="Times New Roman"/>
        </w:rPr>
      </w:pPr>
    </w:p>
    <w:p w14:paraId="133693BF" w14:textId="77777777" w:rsidR="004902FF" w:rsidRDefault="004902FF" w:rsidP="004902FF">
      <w:pPr>
        <w:spacing w:after="0" w:line="23" w:lineRule="atLeast"/>
        <w:contextualSpacing/>
        <w:jc w:val="both"/>
        <w:rPr>
          <w:rFonts w:ascii="Times New Roman" w:hAnsi="Times New Roman" w:cs="Times New Roman"/>
        </w:rPr>
      </w:pPr>
      <w:r>
        <w:rPr>
          <w:rFonts w:ascii="Times New Roman" w:hAnsi="Times New Roman" w:cs="Times New Roman"/>
        </w:rPr>
        <w:t xml:space="preserve">La recaudación tributaria total neta acumulada a julio reflejó una brecha positiva acumulada </w:t>
      </w:r>
      <w:r w:rsidRPr="00B10AF8">
        <w:rPr>
          <w:rFonts w:ascii="Times New Roman" w:hAnsi="Times New Roman" w:cs="Times New Roman"/>
        </w:rPr>
        <w:t xml:space="preserve">de </w:t>
      </w:r>
      <w:r w:rsidRPr="0006703E">
        <w:rPr>
          <w:rFonts w:ascii="Times New Roman" w:hAnsi="Times New Roman" w:cs="Times New Roman"/>
        </w:rPr>
        <w:t>Q5,6</w:t>
      </w:r>
      <w:r>
        <w:rPr>
          <w:rFonts w:ascii="Times New Roman" w:hAnsi="Times New Roman" w:cs="Times New Roman"/>
        </w:rPr>
        <w:t xml:space="preserve">58.4 </w:t>
      </w:r>
      <w:r w:rsidRPr="00500AD2">
        <w:rPr>
          <w:rFonts w:ascii="Times New Roman" w:hAnsi="Times New Roman" w:cs="Times New Roman"/>
        </w:rPr>
        <w:t>millones respecto a la meta</w:t>
      </w:r>
      <w:r>
        <w:rPr>
          <w:rFonts w:ascii="Times New Roman" w:hAnsi="Times New Roman" w:cs="Times New Roman"/>
        </w:rPr>
        <w:t>,</w:t>
      </w:r>
      <w:r w:rsidRPr="00500AD2">
        <w:rPr>
          <w:rFonts w:ascii="Times New Roman" w:hAnsi="Times New Roman" w:cs="Times New Roman"/>
        </w:rPr>
        <w:t xml:space="preserve"> </w:t>
      </w:r>
      <w:r>
        <w:rPr>
          <w:rFonts w:ascii="Times New Roman" w:hAnsi="Times New Roman" w:cs="Times New Roman"/>
        </w:rPr>
        <w:t xml:space="preserve">siendo los impuestos que contribuyeron en mayor cuantía </w:t>
      </w:r>
      <w:r w:rsidRPr="00500AD2">
        <w:rPr>
          <w:rFonts w:ascii="Times New Roman" w:hAnsi="Times New Roman" w:cs="Times New Roman"/>
        </w:rPr>
        <w:t xml:space="preserve">el ISR, </w:t>
      </w:r>
      <w:r>
        <w:rPr>
          <w:rFonts w:ascii="Times New Roman" w:hAnsi="Times New Roman" w:cs="Times New Roman"/>
        </w:rPr>
        <w:t xml:space="preserve">ISO, </w:t>
      </w:r>
      <w:r w:rsidRPr="00500AD2">
        <w:rPr>
          <w:rFonts w:ascii="Times New Roman" w:hAnsi="Times New Roman" w:cs="Times New Roman"/>
        </w:rPr>
        <w:t>IVA total, D</w:t>
      </w:r>
      <w:r>
        <w:rPr>
          <w:rFonts w:ascii="Times New Roman" w:hAnsi="Times New Roman" w:cs="Times New Roman"/>
        </w:rPr>
        <w:t xml:space="preserve">erechos </w:t>
      </w:r>
      <w:r w:rsidRPr="00500AD2">
        <w:rPr>
          <w:rFonts w:ascii="Times New Roman" w:hAnsi="Times New Roman" w:cs="Times New Roman"/>
        </w:rPr>
        <w:t>A</w:t>
      </w:r>
      <w:r>
        <w:rPr>
          <w:rFonts w:ascii="Times New Roman" w:hAnsi="Times New Roman" w:cs="Times New Roman"/>
        </w:rPr>
        <w:t xml:space="preserve">rancelarios a la </w:t>
      </w:r>
      <w:r w:rsidRPr="00500AD2">
        <w:rPr>
          <w:rFonts w:ascii="Times New Roman" w:hAnsi="Times New Roman" w:cs="Times New Roman"/>
        </w:rPr>
        <w:t>I</w:t>
      </w:r>
      <w:r>
        <w:rPr>
          <w:rFonts w:ascii="Times New Roman" w:hAnsi="Times New Roman" w:cs="Times New Roman"/>
        </w:rPr>
        <w:t>mportación (DAI)</w:t>
      </w:r>
      <w:r w:rsidRPr="00500AD2">
        <w:rPr>
          <w:rFonts w:ascii="Times New Roman" w:hAnsi="Times New Roman" w:cs="Times New Roman"/>
        </w:rPr>
        <w:t xml:space="preserve">, Circulación de Vehículos </w:t>
      </w:r>
      <w:r>
        <w:rPr>
          <w:rFonts w:ascii="Times New Roman" w:hAnsi="Times New Roman" w:cs="Times New Roman"/>
        </w:rPr>
        <w:t>e</w:t>
      </w:r>
      <w:r w:rsidRPr="00500AD2">
        <w:rPr>
          <w:rFonts w:ascii="Times New Roman" w:hAnsi="Times New Roman" w:cs="Times New Roman"/>
        </w:rPr>
        <w:t xml:space="preserve"> IPRIMA. </w:t>
      </w:r>
    </w:p>
    <w:p w14:paraId="1A22CC63" w14:textId="7DE69D89" w:rsidR="000904DE" w:rsidRPr="00A37A37" w:rsidRDefault="004902FF" w:rsidP="004902FF">
      <w:pPr>
        <w:spacing w:after="0" w:line="23" w:lineRule="atLeast"/>
        <w:contextualSpacing/>
        <w:jc w:val="both"/>
        <w:rPr>
          <w:rFonts w:ascii="Times New Roman" w:hAnsi="Times New Roman" w:cs="Times New Roman"/>
          <w:color w:val="FF0000"/>
        </w:rPr>
      </w:pPr>
      <w:r>
        <w:rPr>
          <w:rFonts w:ascii="Times New Roman" w:hAnsi="Times New Roman" w:cs="Times New Roman"/>
        </w:rPr>
        <w:lastRenderedPageBreak/>
        <w:t xml:space="preserve">A julio únicamente las Regalías e Hidrocarburos Compartibles no alcanzaron la meta y generó una brecha </w:t>
      </w:r>
      <w:r w:rsidRPr="005E386C">
        <w:rPr>
          <w:rFonts w:ascii="Times New Roman" w:hAnsi="Times New Roman" w:cs="Times New Roman"/>
        </w:rPr>
        <w:t xml:space="preserve">negativa </w:t>
      </w:r>
      <w:r>
        <w:rPr>
          <w:rFonts w:ascii="Times New Roman" w:hAnsi="Times New Roman" w:cs="Times New Roman"/>
        </w:rPr>
        <w:t xml:space="preserve">acumulada de </w:t>
      </w:r>
      <w:r w:rsidRPr="0006703E">
        <w:rPr>
          <w:rFonts w:ascii="Times New Roman" w:hAnsi="Times New Roman" w:cs="Times New Roman"/>
        </w:rPr>
        <w:t>Q57.1</w:t>
      </w:r>
      <w:r>
        <w:rPr>
          <w:rFonts w:ascii="Times New Roman" w:hAnsi="Times New Roman" w:cs="Times New Roman"/>
        </w:rPr>
        <w:t xml:space="preserve"> millones</w:t>
      </w:r>
      <w:r w:rsidRPr="005E386C">
        <w:rPr>
          <w:rFonts w:ascii="Times New Roman" w:hAnsi="Times New Roman" w:cs="Times New Roman"/>
        </w:rPr>
        <w:t>.</w:t>
      </w:r>
    </w:p>
    <w:p w14:paraId="127E3350" w14:textId="77777777" w:rsidR="004E251A" w:rsidRPr="004902FF" w:rsidRDefault="004E251A" w:rsidP="000904DE">
      <w:pPr>
        <w:spacing w:after="0" w:line="240" w:lineRule="auto"/>
        <w:jc w:val="both"/>
        <w:rPr>
          <w:rFonts w:ascii="Times New Roman" w:hAnsi="Times New Roman" w:cs="Times New Roman"/>
          <w:sz w:val="14"/>
          <w:szCs w:val="14"/>
        </w:rPr>
      </w:pPr>
    </w:p>
    <w:p w14:paraId="75F2DB15" w14:textId="45991957" w:rsidR="00F32FAA" w:rsidRPr="004902FF" w:rsidRDefault="00CF19EC" w:rsidP="00F32FAA">
      <w:pPr>
        <w:spacing w:after="0" w:line="240" w:lineRule="auto"/>
        <w:jc w:val="center"/>
        <w:rPr>
          <w:rFonts w:ascii="Times New Roman" w:hAnsi="Times New Roman" w:cs="Times New Roman"/>
          <w:b/>
        </w:rPr>
      </w:pPr>
      <w:r w:rsidRPr="004902FF">
        <w:rPr>
          <w:rFonts w:ascii="Times New Roman" w:hAnsi="Times New Roman" w:cs="Times New Roman"/>
          <w:b/>
        </w:rPr>
        <w:t>Brecha mensual de r</w:t>
      </w:r>
      <w:r w:rsidR="00F32FAA" w:rsidRPr="004902FF">
        <w:rPr>
          <w:rFonts w:ascii="Times New Roman" w:hAnsi="Times New Roman" w:cs="Times New Roman"/>
          <w:b/>
        </w:rPr>
        <w:t>ecaudación respecto a presupuesto</w:t>
      </w:r>
    </w:p>
    <w:p w14:paraId="00CBA7BA" w14:textId="3D5BFB04" w:rsidR="00F32FAA" w:rsidRPr="004902FF" w:rsidRDefault="004902FF" w:rsidP="00F32FAA">
      <w:pPr>
        <w:spacing w:after="0" w:line="240" w:lineRule="auto"/>
        <w:jc w:val="center"/>
        <w:rPr>
          <w:rFonts w:ascii="Times New Roman" w:hAnsi="Times New Roman" w:cs="Times New Roman"/>
          <w:bCs/>
          <w:sz w:val="18"/>
          <w:szCs w:val="18"/>
        </w:rPr>
      </w:pPr>
      <w:r w:rsidRPr="004902FF">
        <w:rPr>
          <w:noProof/>
          <w:lang w:eastAsia="es-GT"/>
        </w:rPr>
        <w:drawing>
          <wp:anchor distT="0" distB="0" distL="114300" distR="114300" simplePos="0" relativeHeight="252100608" behindDoc="0" locked="0" layoutInCell="1" allowOverlap="1" wp14:anchorId="741A382D" wp14:editId="3E68BAC3">
            <wp:simplePos x="0" y="0"/>
            <wp:positionH relativeFrom="margin">
              <wp:posOffset>-1962</wp:posOffset>
            </wp:positionH>
            <wp:positionV relativeFrom="paragraph">
              <wp:posOffset>130791</wp:posOffset>
            </wp:positionV>
            <wp:extent cx="2639060" cy="1521725"/>
            <wp:effectExtent l="0" t="0" r="8890" b="2540"/>
            <wp:wrapNone/>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F32FAA" w:rsidRPr="004902FF">
        <w:rPr>
          <w:rFonts w:ascii="Times New Roman" w:hAnsi="Times New Roman" w:cs="Times New Roman"/>
          <w:bCs/>
          <w:sz w:val="18"/>
          <w:szCs w:val="18"/>
        </w:rPr>
        <w:t>En millones de quetzales</w:t>
      </w:r>
    </w:p>
    <w:p w14:paraId="427FDE91" w14:textId="30DA2F79" w:rsidR="000E17AF" w:rsidRPr="004902FF" w:rsidRDefault="000E17AF" w:rsidP="00F32FAA">
      <w:pPr>
        <w:spacing w:after="0" w:line="240" w:lineRule="auto"/>
        <w:jc w:val="center"/>
        <w:rPr>
          <w:rFonts w:ascii="Times New Roman" w:hAnsi="Times New Roman" w:cs="Times New Roman"/>
          <w:bCs/>
          <w:sz w:val="20"/>
          <w:szCs w:val="20"/>
        </w:rPr>
      </w:pPr>
    </w:p>
    <w:p w14:paraId="4D685BE4" w14:textId="0649A684" w:rsidR="00CF19EC" w:rsidRPr="004902FF" w:rsidRDefault="00CF19EC" w:rsidP="00F32FAA">
      <w:pPr>
        <w:spacing w:after="0" w:line="240" w:lineRule="auto"/>
        <w:jc w:val="center"/>
        <w:rPr>
          <w:rFonts w:ascii="Times New Roman" w:hAnsi="Times New Roman" w:cs="Times New Roman"/>
          <w:bCs/>
          <w:sz w:val="20"/>
          <w:szCs w:val="20"/>
        </w:rPr>
      </w:pPr>
    </w:p>
    <w:p w14:paraId="5285C42F" w14:textId="70C41BAF" w:rsidR="00CF19EC" w:rsidRPr="004902FF" w:rsidRDefault="00CF19EC" w:rsidP="00F32FAA">
      <w:pPr>
        <w:spacing w:after="0" w:line="240" w:lineRule="auto"/>
        <w:jc w:val="center"/>
        <w:rPr>
          <w:rFonts w:ascii="Times New Roman" w:hAnsi="Times New Roman" w:cs="Times New Roman"/>
          <w:bCs/>
          <w:sz w:val="20"/>
          <w:szCs w:val="20"/>
        </w:rPr>
      </w:pPr>
    </w:p>
    <w:p w14:paraId="2E66F5E5" w14:textId="63FFC6AA" w:rsidR="00CF19EC" w:rsidRPr="004902FF" w:rsidRDefault="00CF19EC" w:rsidP="00F32FAA">
      <w:pPr>
        <w:spacing w:after="0" w:line="240" w:lineRule="auto"/>
        <w:jc w:val="center"/>
        <w:rPr>
          <w:rFonts w:ascii="Times New Roman" w:hAnsi="Times New Roman" w:cs="Times New Roman"/>
          <w:bCs/>
          <w:sz w:val="20"/>
          <w:szCs w:val="20"/>
        </w:rPr>
      </w:pPr>
    </w:p>
    <w:p w14:paraId="6675664F" w14:textId="40E2DCE2" w:rsidR="000E17AF" w:rsidRPr="004902FF" w:rsidRDefault="000E17AF" w:rsidP="00F32FAA">
      <w:pPr>
        <w:spacing w:after="0" w:line="240" w:lineRule="auto"/>
        <w:jc w:val="center"/>
        <w:rPr>
          <w:rFonts w:ascii="Times New Roman" w:hAnsi="Times New Roman" w:cs="Times New Roman"/>
          <w:bCs/>
          <w:sz w:val="20"/>
          <w:szCs w:val="20"/>
        </w:rPr>
      </w:pPr>
    </w:p>
    <w:p w14:paraId="7AEFA66A" w14:textId="77777777" w:rsidR="000E17AF" w:rsidRPr="004902FF" w:rsidRDefault="000E17AF" w:rsidP="00F32FAA">
      <w:pPr>
        <w:spacing w:after="0" w:line="240" w:lineRule="auto"/>
        <w:jc w:val="center"/>
        <w:rPr>
          <w:rFonts w:ascii="Times New Roman" w:hAnsi="Times New Roman" w:cs="Times New Roman"/>
          <w:bCs/>
          <w:sz w:val="20"/>
          <w:szCs w:val="20"/>
        </w:rPr>
      </w:pPr>
    </w:p>
    <w:p w14:paraId="3860FF8B" w14:textId="7C385647" w:rsidR="00CF19EC" w:rsidRPr="004902FF" w:rsidRDefault="00CF19EC" w:rsidP="00F32FAA">
      <w:pPr>
        <w:spacing w:after="0" w:line="240" w:lineRule="auto"/>
        <w:jc w:val="center"/>
        <w:rPr>
          <w:rFonts w:ascii="Times New Roman" w:hAnsi="Times New Roman" w:cs="Times New Roman"/>
          <w:bCs/>
          <w:sz w:val="20"/>
          <w:szCs w:val="20"/>
        </w:rPr>
      </w:pPr>
    </w:p>
    <w:p w14:paraId="1852D962" w14:textId="3D6A342E" w:rsidR="00CF19EC" w:rsidRPr="004902FF" w:rsidRDefault="00CF19EC" w:rsidP="00F32FAA">
      <w:pPr>
        <w:spacing w:after="0" w:line="240" w:lineRule="auto"/>
        <w:jc w:val="center"/>
        <w:rPr>
          <w:rFonts w:ascii="Times New Roman" w:hAnsi="Times New Roman" w:cs="Times New Roman"/>
          <w:bCs/>
          <w:sz w:val="20"/>
          <w:szCs w:val="20"/>
        </w:rPr>
      </w:pPr>
    </w:p>
    <w:p w14:paraId="2E60AFAA" w14:textId="4E3FD643" w:rsidR="00CF19EC" w:rsidRPr="004902FF" w:rsidRDefault="00CF19EC" w:rsidP="00F32FAA">
      <w:pPr>
        <w:spacing w:after="0" w:line="240" w:lineRule="auto"/>
        <w:jc w:val="center"/>
        <w:rPr>
          <w:rFonts w:ascii="Times New Roman" w:hAnsi="Times New Roman" w:cs="Times New Roman"/>
          <w:bCs/>
          <w:sz w:val="20"/>
          <w:szCs w:val="20"/>
        </w:rPr>
      </w:pPr>
    </w:p>
    <w:p w14:paraId="020BA973" w14:textId="77777777" w:rsidR="00CF19EC" w:rsidRPr="004902FF" w:rsidRDefault="00CF19EC" w:rsidP="00F32FAA">
      <w:pPr>
        <w:spacing w:after="0" w:line="240" w:lineRule="auto"/>
        <w:jc w:val="center"/>
        <w:rPr>
          <w:rFonts w:ascii="Times New Roman" w:hAnsi="Times New Roman" w:cs="Times New Roman"/>
          <w:bCs/>
          <w:sz w:val="20"/>
          <w:szCs w:val="20"/>
        </w:rPr>
      </w:pPr>
    </w:p>
    <w:p w14:paraId="2BA88355" w14:textId="77777777" w:rsidR="004902FF" w:rsidRDefault="004902FF" w:rsidP="00942DFF">
      <w:pPr>
        <w:spacing w:after="0" w:line="240" w:lineRule="auto"/>
        <w:jc w:val="both"/>
        <w:rPr>
          <w:rFonts w:ascii="Times New Roman" w:hAnsi="Times New Roman" w:cs="Times New Roman"/>
          <w:sz w:val="14"/>
          <w:szCs w:val="20"/>
        </w:rPr>
      </w:pPr>
    </w:p>
    <w:p w14:paraId="37FFCB33" w14:textId="2FCECD58" w:rsidR="00942DFF" w:rsidRPr="004902FF" w:rsidRDefault="00942DFF" w:rsidP="00942DFF">
      <w:pPr>
        <w:spacing w:after="0" w:line="240" w:lineRule="auto"/>
        <w:jc w:val="both"/>
        <w:rPr>
          <w:rFonts w:ascii="Times New Roman" w:hAnsi="Times New Roman" w:cs="Times New Roman"/>
          <w:sz w:val="20"/>
          <w:szCs w:val="20"/>
        </w:rPr>
      </w:pPr>
      <w:r w:rsidRPr="004902FF">
        <w:rPr>
          <w:rFonts w:ascii="Times New Roman" w:hAnsi="Times New Roman" w:cs="Times New Roman"/>
          <w:sz w:val="14"/>
          <w:szCs w:val="20"/>
        </w:rPr>
        <w:t>Fuente: Ministerio de Finanzas Públicas.</w:t>
      </w:r>
    </w:p>
    <w:p w14:paraId="6B2345C2" w14:textId="77777777" w:rsidR="00942DFF" w:rsidRPr="004902FF" w:rsidRDefault="00942DFF" w:rsidP="00942DFF">
      <w:pPr>
        <w:spacing w:after="0" w:line="240" w:lineRule="auto"/>
        <w:jc w:val="both"/>
        <w:rPr>
          <w:rFonts w:ascii="Times New Roman" w:hAnsi="Times New Roman" w:cs="Times New Roman"/>
          <w:color w:val="FF0000"/>
          <w:sz w:val="14"/>
          <w:szCs w:val="14"/>
        </w:rPr>
      </w:pPr>
    </w:p>
    <w:p w14:paraId="3546B2F5" w14:textId="4C5533E6" w:rsidR="00942DFF" w:rsidRPr="00A37A37" w:rsidRDefault="004902FF" w:rsidP="00F32FAA">
      <w:pPr>
        <w:spacing w:after="0" w:line="240" w:lineRule="auto"/>
        <w:jc w:val="both"/>
        <w:rPr>
          <w:rFonts w:ascii="Times New Roman" w:hAnsi="Times New Roman" w:cs="Times New Roman"/>
          <w:color w:val="FF0000"/>
        </w:rPr>
      </w:pPr>
      <w:r>
        <w:rPr>
          <w:rFonts w:ascii="Times New Roman" w:hAnsi="Times New Roman" w:cs="Times New Roman"/>
        </w:rPr>
        <w:t>Las expectativas de cierre para este ejercicio 2023, considerando el esfuerzo administrativo de la SAT durante el segundo semestre, promoviendo el objetivo de reducir las brechas de incumplimiento, permitiría que se superen los Q86,247.6 millones, que corresponden a la meta establecida en el presupuesto anual.</w:t>
      </w:r>
    </w:p>
    <w:p w14:paraId="21B35E8D" w14:textId="77777777" w:rsidR="00F32FAA" w:rsidRPr="00A37A37" w:rsidRDefault="00F32FAA" w:rsidP="00F32FAA">
      <w:pPr>
        <w:spacing w:after="0" w:line="240" w:lineRule="auto"/>
        <w:jc w:val="both"/>
        <w:rPr>
          <w:rFonts w:ascii="Times New Roman" w:hAnsi="Times New Roman" w:cs="Times New Roman"/>
          <w:color w:val="FF0000"/>
        </w:rPr>
      </w:pPr>
    </w:p>
    <w:p w14:paraId="1AF6DA7D" w14:textId="5FABD3B7" w:rsidR="00F32FAA" w:rsidRPr="004902FF" w:rsidRDefault="00F32FAA" w:rsidP="00F32FAA">
      <w:pPr>
        <w:spacing w:after="0" w:line="240" w:lineRule="auto"/>
        <w:jc w:val="center"/>
        <w:rPr>
          <w:rFonts w:ascii="Times New Roman" w:hAnsi="Times New Roman" w:cs="Times New Roman"/>
          <w:b/>
        </w:rPr>
      </w:pPr>
      <w:r w:rsidRPr="004902FF">
        <w:rPr>
          <w:rFonts w:ascii="Times New Roman" w:hAnsi="Times New Roman" w:cs="Times New Roman"/>
          <w:b/>
        </w:rPr>
        <w:t>Variación de la recaudación tributaria neta acumulada a</w:t>
      </w:r>
      <w:r w:rsidR="00CF19EC" w:rsidRPr="004902FF">
        <w:rPr>
          <w:rFonts w:ascii="Times New Roman" w:hAnsi="Times New Roman" w:cs="Times New Roman"/>
          <w:b/>
        </w:rPr>
        <w:t xml:space="preserve"> </w:t>
      </w:r>
      <w:r w:rsidR="00DF3517" w:rsidRPr="004902FF">
        <w:rPr>
          <w:rFonts w:ascii="Times New Roman" w:hAnsi="Times New Roman" w:cs="Times New Roman"/>
          <w:b/>
        </w:rPr>
        <w:t>ju</w:t>
      </w:r>
      <w:r w:rsidR="004902FF" w:rsidRPr="004902FF">
        <w:rPr>
          <w:rFonts w:ascii="Times New Roman" w:hAnsi="Times New Roman" w:cs="Times New Roman"/>
          <w:b/>
        </w:rPr>
        <w:t>l</w:t>
      </w:r>
      <w:r w:rsidR="00DF3517" w:rsidRPr="004902FF">
        <w:rPr>
          <w:rFonts w:ascii="Times New Roman" w:hAnsi="Times New Roman" w:cs="Times New Roman"/>
          <w:b/>
        </w:rPr>
        <w:t>i</w:t>
      </w:r>
      <w:r w:rsidR="000E17AF" w:rsidRPr="004902FF">
        <w:rPr>
          <w:rFonts w:ascii="Times New Roman" w:hAnsi="Times New Roman" w:cs="Times New Roman"/>
          <w:b/>
        </w:rPr>
        <w:t>o</w:t>
      </w:r>
    </w:p>
    <w:p w14:paraId="0B28ADED" w14:textId="7F6FB859" w:rsidR="00F32FAA" w:rsidRPr="004902FF" w:rsidRDefault="004902FF" w:rsidP="00F32FAA">
      <w:pPr>
        <w:spacing w:after="0" w:line="240" w:lineRule="auto"/>
        <w:jc w:val="center"/>
        <w:rPr>
          <w:rFonts w:ascii="Times New Roman" w:hAnsi="Times New Roman" w:cs="Times New Roman"/>
          <w:sz w:val="18"/>
          <w:szCs w:val="20"/>
        </w:rPr>
      </w:pPr>
      <w:r w:rsidRPr="004902FF">
        <w:rPr>
          <w:noProof/>
          <w:lang w:eastAsia="es-GT"/>
        </w:rPr>
        <w:drawing>
          <wp:anchor distT="0" distB="0" distL="114300" distR="114300" simplePos="0" relativeHeight="252102656" behindDoc="0" locked="0" layoutInCell="1" allowOverlap="1" wp14:anchorId="2F14474F" wp14:editId="1117FF52">
            <wp:simplePos x="0" y="0"/>
            <wp:positionH relativeFrom="column">
              <wp:posOffset>-1962</wp:posOffset>
            </wp:positionH>
            <wp:positionV relativeFrom="paragraph">
              <wp:posOffset>131881</wp:posOffset>
            </wp:positionV>
            <wp:extent cx="2688590" cy="1439839"/>
            <wp:effectExtent l="0" t="0" r="0" b="8255"/>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32FAA" w:rsidRPr="004902FF">
        <w:rPr>
          <w:rFonts w:ascii="Times New Roman" w:hAnsi="Times New Roman" w:cs="Times New Roman"/>
          <w:sz w:val="18"/>
          <w:szCs w:val="20"/>
        </w:rPr>
        <w:t>Millones de quetzales</w:t>
      </w:r>
    </w:p>
    <w:p w14:paraId="02DFA41A" w14:textId="48910B6A" w:rsidR="00CF19EC" w:rsidRPr="004902FF" w:rsidRDefault="00CF19EC" w:rsidP="00F32FAA">
      <w:pPr>
        <w:spacing w:after="0" w:line="240" w:lineRule="auto"/>
        <w:jc w:val="center"/>
        <w:rPr>
          <w:rFonts w:ascii="Times New Roman" w:hAnsi="Times New Roman" w:cs="Times New Roman"/>
          <w:sz w:val="20"/>
        </w:rPr>
      </w:pPr>
    </w:p>
    <w:p w14:paraId="5138E015" w14:textId="406EDA0E" w:rsidR="00CF19EC" w:rsidRPr="004902FF" w:rsidRDefault="00CF19EC" w:rsidP="00F32FAA">
      <w:pPr>
        <w:spacing w:after="0" w:line="240" w:lineRule="auto"/>
        <w:jc w:val="center"/>
        <w:rPr>
          <w:rFonts w:ascii="Times New Roman" w:hAnsi="Times New Roman" w:cs="Times New Roman"/>
          <w:sz w:val="20"/>
        </w:rPr>
      </w:pPr>
    </w:p>
    <w:p w14:paraId="33DE841C" w14:textId="107B49B6" w:rsidR="00CF19EC" w:rsidRPr="004902FF" w:rsidRDefault="00CF19EC" w:rsidP="00F32FAA">
      <w:pPr>
        <w:spacing w:after="0" w:line="240" w:lineRule="auto"/>
        <w:jc w:val="center"/>
        <w:rPr>
          <w:rFonts w:ascii="Times New Roman" w:hAnsi="Times New Roman" w:cs="Times New Roman"/>
          <w:sz w:val="20"/>
        </w:rPr>
      </w:pPr>
    </w:p>
    <w:p w14:paraId="748F4C00" w14:textId="7BDCD3E5" w:rsidR="00CF19EC" w:rsidRPr="004902FF" w:rsidRDefault="00CF19EC" w:rsidP="00F32FAA">
      <w:pPr>
        <w:spacing w:after="0" w:line="240" w:lineRule="auto"/>
        <w:jc w:val="center"/>
        <w:rPr>
          <w:rFonts w:ascii="Times New Roman" w:hAnsi="Times New Roman" w:cs="Times New Roman"/>
          <w:sz w:val="20"/>
        </w:rPr>
      </w:pPr>
    </w:p>
    <w:p w14:paraId="6077C81E" w14:textId="55B04673" w:rsidR="00CF19EC" w:rsidRPr="004902FF" w:rsidRDefault="00CF19EC" w:rsidP="00F32FAA">
      <w:pPr>
        <w:spacing w:after="0" w:line="240" w:lineRule="auto"/>
        <w:jc w:val="center"/>
        <w:rPr>
          <w:rFonts w:ascii="Times New Roman" w:hAnsi="Times New Roman" w:cs="Times New Roman"/>
          <w:sz w:val="20"/>
        </w:rPr>
      </w:pPr>
    </w:p>
    <w:p w14:paraId="6C7B9351" w14:textId="1A6640A7" w:rsidR="00CF19EC" w:rsidRPr="004902FF" w:rsidRDefault="00CF19EC" w:rsidP="00F32FAA">
      <w:pPr>
        <w:spacing w:after="0" w:line="240" w:lineRule="auto"/>
        <w:jc w:val="center"/>
        <w:rPr>
          <w:rFonts w:ascii="Times New Roman" w:hAnsi="Times New Roman" w:cs="Times New Roman"/>
          <w:sz w:val="20"/>
        </w:rPr>
      </w:pPr>
    </w:p>
    <w:p w14:paraId="58053EF5" w14:textId="25318783" w:rsidR="00CF19EC" w:rsidRPr="004902FF" w:rsidRDefault="00CF19EC" w:rsidP="00F32FAA">
      <w:pPr>
        <w:spacing w:after="0" w:line="240" w:lineRule="auto"/>
        <w:jc w:val="center"/>
        <w:rPr>
          <w:rFonts w:ascii="Times New Roman" w:hAnsi="Times New Roman" w:cs="Times New Roman"/>
          <w:sz w:val="20"/>
        </w:rPr>
      </w:pPr>
    </w:p>
    <w:p w14:paraId="522FA5BA" w14:textId="75845BBE" w:rsidR="00CF19EC" w:rsidRPr="004902FF" w:rsidRDefault="00CF19EC" w:rsidP="00F32FAA">
      <w:pPr>
        <w:spacing w:after="0" w:line="240" w:lineRule="auto"/>
        <w:jc w:val="center"/>
        <w:rPr>
          <w:rFonts w:ascii="Times New Roman" w:hAnsi="Times New Roman" w:cs="Times New Roman"/>
          <w:sz w:val="20"/>
        </w:rPr>
      </w:pPr>
    </w:p>
    <w:p w14:paraId="53E4EC53" w14:textId="67B844BF" w:rsidR="00CF19EC" w:rsidRPr="004902FF" w:rsidRDefault="00CF19EC" w:rsidP="00F32FAA">
      <w:pPr>
        <w:spacing w:after="0" w:line="240" w:lineRule="auto"/>
        <w:jc w:val="center"/>
        <w:rPr>
          <w:rFonts w:ascii="Times New Roman" w:hAnsi="Times New Roman" w:cs="Times New Roman"/>
          <w:sz w:val="20"/>
        </w:rPr>
      </w:pPr>
    </w:p>
    <w:p w14:paraId="29B30D21" w14:textId="59798BBB" w:rsidR="00CF19EC" w:rsidRPr="004902FF" w:rsidRDefault="00CF19EC" w:rsidP="00F32FAA">
      <w:pPr>
        <w:spacing w:after="0" w:line="240" w:lineRule="auto"/>
        <w:jc w:val="center"/>
        <w:rPr>
          <w:rFonts w:ascii="Times New Roman" w:hAnsi="Times New Roman" w:cs="Times New Roman"/>
          <w:sz w:val="20"/>
        </w:rPr>
      </w:pPr>
    </w:p>
    <w:p w14:paraId="16E54075" w14:textId="16569073" w:rsidR="00942DFF" w:rsidRPr="004902FF" w:rsidRDefault="00942DFF" w:rsidP="00942DFF">
      <w:pPr>
        <w:spacing w:after="0" w:line="240" w:lineRule="auto"/>
        <w:jc w:val="both"/>
        <w:rPr>
          <w:rFonts w:ascii="Times New Roman" w:hAnsi="Times New Roman" w:cs="Times New Roman"/>
          <w:sz w:val="20"/>
          <w:szCs w:val="20"/>
        </w:rPr>
      </w:pPr>
      <w:r w:rsidRPr="004902FF">
        <w:rPr>
          <w:rFonts w:ascii="Times New Roman" w:hAnsi="Times New Roman" w:cs="Times New Roman"/>
          <w:sz w:val="14"/>
          <w:szCs w:val="20"/>
        </w:rPr>
        <w:t>Fuente: Ministerio de Finanzas Públicas.</w:t>
      </w:r>
    </w:p>
    <w:p w14:paraId="37A38E53" w14:textId="77777777" w:rsidR="004902FF" w:rsidRDefault="004902FF" w:rsidP="00CF19EC">
      <w:pPr>
        <w:spacing w:after="0" w:line="240" w:lineRule="auto"/>
        <w:jc w:val="both"/>
        <w:rPr>
          <w:rFonts w:ascii="Times New Roman" w:hAnsi="Times New Roman" w:cs="Times New Roman"/>
        </w:rPr>
      </w:pPr>
    </w:p>
    <w:p w14:paraId="3E7E73EE" w14:textId="319EE428" w:rsidR="00942DFF" w:rsidRPr="004902FF" w:rsidRDefault="004902FF" w:rsidP="00CF19EC">
      <w:pPr>
        <w:spacing w:after="0" w:line="240" w:lineRule="auto"/>
        <w:jc w:val="both"/>
        <w:rPr>
          <w:rFonts w:ascii="Times New Roman" w:hAnsi="Times New Roman" w:cs="Times New Roman"/>
        </w:rPr>
      </w:pPr>
      <w:r>
        <w:rPr>
          <w:rFonts w:ascii="Times New Roman" w:hAnsi="Times New Roman" w:cs="Times New Roman"/>
        </w:rPr>
        <w:t xml:space="preserve">En materia de la recaudación asociada al comercio exterior, el ritmo de crecimiento de esta, respecto a lo observado en 2022, no es el mismo, si bien se genera una brecha positiva acumulada a julio respecto a la meta de </w:t>
      </w:r>
      <w:r w:rsidRPr="0006703E">
        <w:rPr>
          <w:rFonts w:ascii="Times New Roman" w:hAnsi="Times New Roman" w:cs="Times New Roman"/>
        </w:rPr>
        <w:t>Q667.4</w:t>
      </w:r>
      <w:r>
        <w:rPr>
          <w:rFonts w:ascii="Times New Roman" w:hAnsi="Times New Roman" w:cs="Times New Roman"/>
        </w:rPr>
        <w:t xml:space="preserve"> millones, con relación a lo observado en 2022 la brecha es negativa en </w:t>
      </w:r>
      <w:r w:rsidRPr="0006703E">
        <w:rPr>
          <w:rFonts w:ascii="Times New Roman" w:hAnsi="Times New Roman" w:cs="Times New Roman"/>
        </w:rPr>
        <w:t>Q39.9</w:t>
      </w:r>
      <w:r>
        <w:rPr>
          <w:rFonts w:ascii="Times New Roman" w:hAnsi="Times New Roman" w:cs="Times New Roman"/>
        </w:rPr>
        <w:t xml:space="preserve"> millones, es decir, 0.3% menos de forma interanual.  Este  resultado combina, el seguimiento de las medidas implementadas en 2022 en el ramo de aduanas, en donde se continúan </w:t>
      </w:r>
      <w:r>
        <w:rPr>
          <w:rFonts w:ascii="Times New Roman" w:hAnsi="Times New Roman" w:cs="Times New Roman"/>
        </w:rPr>
        <w:t xml:space="preserve">implementando acciones para combatir la defraudación y el contrabando que redundaron en mayor eficiencia del control aduanero, seguimiento del plan de combate al contrabando aduanero puesta en marcha a través de puestos de control interinstitucional (a la fecha van 7), a la simplificación, 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 fortalecimiento de la valoración aduanera  y a las mejoras en el tiempo de atención de solicitudes entre otras.  De no estar activas las medidas indicadas, la brecha </w:t>
      </w:r>
      <w:r w:rsidRPr="00AE7560">
        <w:rPr>
          <w:rFonts w:ascii="Times New Roman" w:hAnsi="Times New Roman" w:cs="Times New Roman"/>
        </w:rPr>
        <w:t>(Q39.9 millones) respecto</w:t>
      </w:r>
      <w:r>
        <w:rPr>
          <w:rFonts w:ascii="Times New Roman" w:hAnsi="Times New Roman" w:cs="Times New Roman"/>
        </w:rPr>
        <w:t xml:space="preserve"> a lo observado en 2022 sería mucho mayor.</w:t>
      </w:r>
      <w:r w:rsidR="00942DFF" w:rsidRPr="004902FF">
        <w:rPr>
          <w:rFonts w:ascii="Times New Roman" w:hAnsi="Times New Roman" w:cs="Times New Roman"/>
        </w:rPr>
        <w:t xml:space="preserve"> </w:t>
      </w:r>
    </w:p>
    <w:p w14:paraId="309456F1" w14:textId="0B301CC1" w:rsidR="00684381" w:rsidRPr="005606B1" w:rsidRDefault="00684381" w:rsidP="005F1F2F">
      <w:pPr>
        <w:spacing w:after="0" w:line="240" w:lineRule="auto"/>
        <w:jc w:val="both"/>
        <w:rPr>
          <w:rFonts w:ascii="Times New Roman" w:hAnsi="Times New Roman" w:cs="Times New Roman"/>
          <w:b/>
          <w:color w:val="FF0000"/>
          <w:sz w:val="18"/>
          <w:szCs w:val="18"/>
        </w:rPr>
      </w:pPr>
    </w:p>
    <w:p w14:paraId="6F33F3AC" w14:textId="5E745957" w:rsidR="005F1F2F" w:rsidRPr="004902FF" w:rsidRDefault="005F1F2F" w:rsidP="005F1F2F">
      <w:pPr>
        <w:spacing w:after="0" w:line="240" w:lineRule="auto"/>
        <w:jc w:val="both"/>
        <w:rPr>
          <w:rFonts w:ascii="Times New Roman" w:hAnsi="Times New Roman" w:cs="Times New Roman"/>
          <w:b/>
        </w:rPr>
      </w:pPr>
      <w:r w:rsidRPr="004902FF">
        <w:rPr>
          <w:rFonts w:ascii="Times New Roman" w:hAnsi="Times New Roman" w:cs="Times New Roman"/>
          <w:b/>
        </w:rPr>
        <w:t>El Impuesto Sobre la Renta y el ISO</w:t>
      </w:r>
    </w:p>
    <w:p w14:paraId="371808E4" w14:textId="77777777" w:rsidR="005F1F2F" w:rsidRPr="00A37A37" w:rsidRDefault="005F1F2F" w:rsidP="005F1F2F">
      <w:pPr>
        <w:spacing w:after="0" w:line="240" w:lineRule="auto"/>
        <w:jc w:val="both"/>
        <w:rPr>
          <w:rFonts w:ascii="Times New Roman" w:hAnsi="Times New Roman" w:cs="Times New Roman"/>
          <w:b/>
          <w:color w:val="FF0000"/>
          <w:sz w:val="14"/>
        </w:rPr>
      </w:pPr>
    </w:p>
    <w:p w14:paraId="13A74353" w14:textId="79887894" w:rsidR="004902FF" w:rsidRPr="006A2A15" w:rsidRDefault="004902FF" w:rsidP="004902FF">
      <w:pPr>
        <w:spacing w:after="0" w:line="240" w:lineRule="auto"/>
        <w:jc w:val="both"/>
        <w:rPr>
          <w:rFonts w:ascii="Times New Roman" w:hAnsi="Times New Roman" w:cs="Times New Roman"/>
        </w:rPr>
      </w:pPr>
      <w:r>
        <w:rPr>
          <w:rFonts w:ascii="Times New Roman" w:hAnsi="Times New Roman" w:cs="Times New Roman"/>
        </w:rPr>
        <w:t>En julio, estos dos impuestos tienen vencimiento trimestral, el ISR en el régimen S</w:t>
      </w:r>
      <w:r w:rsidRPr="00DE6849">
        <w:rPr>
          <w:rFonts w:ascii="Times New Roman" w:hAnsi="Times New Roman" w:cs="Times New Roman"/>
        </w:rPr>
        <w:t xml:space="preserve">obre </w:t>
      </w:r>
      <w:r>
        <w:rPr>
          <w:rFonts w:ascii="Times New Roman" w:hAnsi="Times New Roman" w:cs="Times New Roman"/>
        </w:rPr>
        <w:t>U</w:t>
      </w:r>
      <w:r w:rsidRPr="00DE6849">
        <w:rPr>
          <w:rFonts w:ascii="Times New Roman" w:hAnsi="Times New Roman" w:cs="Times New Roman"/>
        </w:rPr>
        <w:t>tilidades de</w:t>
      </w:r>
      <w:r>
        <w:rPr>
          <w:rFonts w:ascii="Times New Roman" w:hAnsi="Times New Roman" w:cs="Times New Roman"/>
        </w:rPr>
        <w:t xml:space="preserve"> A</w:t>
      </w:r>
      <w:r w:rsidRPr="00DE6849">
        <w:rPr>
          <w:rFonts w:ascii="Times New Roman" w:hAnsi="Times New Roman" w:cs="Times New Roman"/>
        </w:rPr>
        <w:t xml:space="preserve">ctividades </w:t>
      </w:r>
      <w:r>
        <w:rPr>
          <w:rFonts w:ascii="Times New Roman" w:hAnsi="Times New Roman" w:cs="Times New Roman"/>
        </w:rPr>
        <w:t>L</w:t>
      </w:r>
      <w:r w:rsidRPr="00DE6849">
        <w:rPr>
          <w:rFonts w:ascii="Times New Roman" w:hAnsi="Times New Roman" w:cs="Times New Roman"/>
        </w:rPr>
        <w:t xml:space="preserve">ucrativas, correspondientes al </w:t>
      </w:r>
      <w:r>
        <w:rPr>
          <w:rFonts w:ascii="Times New Roman" w:hAnsi="Times New Roman" w:cs="Times New Roman"/>
        </w:rPr>
        <w:t>período</w:t>
      </w:r>
      <w:r w:rsidRPr="00DE6849">
        <w:rPr>
          <w:rFonts w:ascii="Times New Roman" w:hAnsi="Times New Roman" w:cs="Times New Roman"/>
        </w:rPr>
        <w:t xml:space="preserve"> de</w:t>
      </w:r>
      <w:r>
        <w:rPr>
          <w:rFonts w:ascii="Times New Roman" w:hAnsi="Times New Roman" w:cs="Times New Roman"/>
        </w:rPr>
        <w:t>l</w:t>
      </w:r>
      <w:r w:rsidRPr="00DE6849">
        <w:rPr>
          <w:rFonts w:ascii="Times New Roman" w:hAnsi="Times New Roman" w:cs="Times New Roman"/>
        </w:rPr>
        <w:t xml:space="preserve"> 1 de </w:t>
      </w:r>
      <w:r>
        <w:rPr>
          <w:rFonts w:ascii="Times New Roman" w:hAnsi="Times New Roman" w:cs="Times New Roman"/>
        </w:rPr>
        <w:t>a</w:t>
      </w:r>
      <w:r w:rsidRPr="00DE6849">
        <w:rPr>
          <w:rFonts w:ascii="Times New Roman" w:hAnsi="Times New Roman" w:cs="Times New Roman"/>
        </w:rPr>
        <w:t xml:space="preserve">bril al 30 de </w:t>
      </w:r>
      <w:r>
        <w:rPr>
          <w:rFonts w:ascii="Times New Roman" w:hAnsi="Times New Roman" w:cs="Times New Roman"/>
        </w:rPr>
        <w:t>j</w:t>
      </w:r>
      <w:r w:rsidRPr="00DE6849">
        <w:rPr>
          <w:rFonts w:ascii="Times New Roman" w:hAnsi="Times New Roman" w:cs="Times New Roman"/>
        </w:rPr>
        <w:t>unio de 202</w:t>
      </w:r>
      <w:r>
        <w:rPr>
          <w:rFonts w:ascii="Times New Roman" w:hAnsi="Times New Roman" w:cs="Times New Roman"/>
        </w:rPr>
        <w:t>3 y el ISO el p</w:t>
      </w:r>
      <w:r w:rsidRPr="00DE6849">
        <w:rPr>
          <w:rFonts w:ascii="Times New Roman" w:hAnsi="Times New Roman" w:cs="Times New Roman"/>
        </w:rPr>
        <w:t xml:space="preserve">ago correspondiente al trimestre del 1 de </w:t>
      </w:r>
      <w:r>
        <w:rPr>
          <w:rFonts w:ascii="Times New Roman" w:hAnsi="Times New Roman" w:cs="Times New Roman"/>
        </w:rPr>
        <w:t>a</w:t>
      </w:r>
      <w:r w:rsidRPr="00DE6849">
        <w:rPr>
          <w:rFonts w:ascii="Times New Roman" w:hAnsi="Times New Roman" w:cs="Times New Roman"/>
        </w:rPr>
        <w:t xml:space="preserve">bril al 30 de </w:t>
      </w:r>
      <w:r>
        <w:rPr>
          <w:rFonts w:ascii="Times New Roman" w:hAnsi="Times New Roman" w:cs="Times New Roman"/>
        </w:rPr>
        <w:t>j</w:t>
      </w:r>
      <w:r w:rsidRPr="00DE6849">
        <w:rPr>
          <w:rFonts w:ascii="Times New Roman" w:hAnsi="Times New Roman" w:cs="Times New Roman"/>
        </w:rPr>
        <w:t>unio</w:t>
      </w:r>
      <w:r>
        <w:rPr>
          <w:rFonts w:ascii="Times New Roman" w:hAnsi="Times New Roman" w:cs="Times New Roman"/>
        </w:rPr>
        <w:t xml:space="preserve">.  Se recaudaron por estos dos impuestos </w:t>
      </w:r>
      <w:r w:rsidRPr="00AE7560">
        <w:rPr>
          <w:rFonts w:ascii="Times New Roman" w:hAnsi="Times New Roman" w:cs="Times New Roman"/>
        </w:rPr>
        <w:t>Q5,857.0</w:t>
      </w:r>
      <w:r>
        <w:rPr>
          <w:rFonts w:ascii="Times New Roman" w:hAnsi="Times New Roman" w:cs="Times New Roman"/>
        </w:rPr>
        <w:t xml:space="preserve"> millones de un estimado de Q4,799.1 millones, lo que generó una brecha positiva </w:t>
      </w:r>
      <w:r w:rsidRPr="00AE7560">
        <w:rPr>
          <w:rFonts w:ascii="Times New Roman" w:hAnsi="Times New Roman" w:cs="Times New Roman"/>
        </w:rPr>
        <w:t>de Q1,057.9</w:t>
      </w:r>
      <w:r>
        <w:rPr>
          <w:rFonts w:ascii="Times New Roman" w:hAnsi="Times New Roman" w:cs="Times New Roman"/>
        </w:rPr>
        <w:t xml:space="preserve"> millones respecto a la meta. </w:t>
      </w:r>
    </w:p>
    <w:p w14:paraId="12CE8D5D" w14:textId="77777777" w:rsidR="004902FF" w:rsidRPr="006A2A15" w:rsidRDefault="004902FF" w:rsidP="004902FF">
      <w:pPr>
        <w:spacing w:after="0" w:line="240" w:lineRule="auto"/>
        <w:jc w:val="both"/>
        <w:rPr>
          <w:rFonts w:ascii="Times New Roman" w:hAnsi="Times New Roman" w:cs="Times New Roman"/>
        </w:rPr>
      </w:pPr>
    </w:p>
    <w:p w14:paraId="1911E3D5" w14:textId="77777777" w:rsidR="004902FF" w:rsidRPr="006A2A15" w:rsidRDefault="004902FF" w:rsidP="004902FF">
      <w:pPr>
        <w:spacing w:after="0" w:line="240" w:lineRule="auto"/>
        <w:jc w:val="both"/>
        <w:rPr>
          <w:rFonts w:ascii="Times New Roman" w:hAnsi="Times New Roman" w:cs="Times New Roman"/>
        </w:rPr>
      </w:pPr>
      <w:r w:rsidRPr="006A2A15">
        <w:rPr>
          <w:rFonts w:ascii="Times New Roman" w:hAnsi="Times New Roman" w:cs="Times New Roman"/>
        </w:rPr>
        <w:t xml:space="preserve">De manera acumulada estos dos impuestos </w:t>
      </w:r>
      <w:r>
        <w:rPr>
          <w:rFonts w:ascii="Times New Roman" w:hAnsi="Times New Roman" w:cs="Times New Roman"/>
        </w:rPr>
        <w:t>superan</w:t>
      </w:r>
      <w:r w:rsidRPr="006A2A15">
        <w:rPr>
          <w:rFonts w:ascii="Times New Roman" w:hAnsi="Times New Roman" w:cs="Times New Roman"/>
        </w:rPr>
        <w:t xml:space="preserve"> por </w:t>
      </w:r>
      <w:r w:rsidRPr="00AE7560">
        <w:rPr>
          <w:rFonts w:ascii="Times New Roman" w:hAnsi="Times New Roman" w:cs="Times New Roman"/>
        </w:rPr>
        <w:t>Q3,622.6</w:t>
      </w:r>
      <w:r>
        <w:rPr>
          <w:rFonts w:ascii="Times New Roman" w:hAnsi="Times New Roman" w:cs="Times New Roman"/>
        </w:rPr>
        <w:t xml:space="preserve"> </w:t>
      </w:r>
      <w:r w:rsidRPr="006A2A15">
        <w:rPr>
          <w:rFonts w:ascii="Times New Roman" w:hAnsi="Times New Roman" w:cs="Times New Roman"/>
        </w:rPr>
        <w:t>millones</w:t>
      </w:r>
      <w:r>
        <w:rPr>
          <w:rFonts w:ascii="Times New Roman" w:hAnsi="Times New Roman" w:cs="Times New Roman"/>
        </w:rPr>
        <w:t xml:space="preserve"> la meta</w:t>
      </w:r>
      <w:r w:rsidRPr="006A2A15">
        <w:rPr>
          <w:rFonts w:ascii="Times New Roman" w:hAnsi="Times New Roman" w:cs="Times New Roman"/>
        </w:rPr>
        <w:t xml:space="preserve"> determinada</w:t>
      </w:r>
      <w:r>
        <w:rPr>
          <w:rFonts w:ascii="Times New Roman" w:hAnsi="Times New Roman" w:cs="Times New Roman"/>
        </w:rPr>
        <w:t>,</w:t>
      </w:r>
      <w:r w:rsidRPr="006A2A15">
        <w:rPr>
          <w:rFonts w:ascii="Times New Roman" w:hAnsi="Times New Roman" w:cs="Times New Roman"/>
        </w:rPr>
        <w:t xml:space="preserve"> principalmente por </w:t>
      </w:r>
      <w:r>
        <w:rPr>
          <w:rFonts w:ascii="Times New Roman" w:hAnsi="Times New Roman" w:cs="Times New Roman"/>
        </w:rPr>
        <w:t xml:space="preserve">el </w:t>
      </w:r>
      <w:r w:rsidRPr="006A2A15">
        <w:rPr>
          <w:rFonts w:ascii="Times New Roman" w:hAnsi="Times New Roman" w:cs="Times New Roman"/>
        </w:rPr>
        <w:t xml:space="preserve">ISR que contribuye de manera positiva </w:t>
      </w:r>
      <w:r>
        <w:rPr>
          <w:rFonts w:ascii="Times New Roman" w:hAnsi="Times New Roman" w:cs="Times New Roman"/>
        </w:rPr>
        <w:t>con</w:t>
      </w:r>
      <w:r w:rsidRPr="006A2A15">
        <w:rPr>
          <w:rFonts w:ascii="Times New Roman" w:hAnsi="Times New Roman" w:cs="Times New Roman"/>
        </w:rPr>
        <w:t xml:space="preserve"> </w:t>
      </w:r>
      <w:r w:rsidRPr="00AE7560">
        <w:rPr>
          <w:rFonts w:ascii="Times New Roman" w:hAnsi="Times New Roman" w:cs="Times New Roman"/>
        </w:rPr>
        <w:t>Q2,781.0</w:t>
      </w:r>
      <w:r>
        <w:rPr>
          <w:rFonts w:ascii="Times New Roman" w:hAnsi="Times New Roman" w:cs="Times New Roman"/>
        </w:rPr>
        <w:t xml:space="preserve"> </w:t>
      </w:r>
      <w:r w:rsidRPr="006A2A15">
        <w:rPr>
          <w:rFonts w:ascii="Times New Roman" w:hAnsi="Times New Roman" w:cs="Times New Roman"/>
        </w:rPr>
        <w:t>millones.</w:t>
      </w:r>
    </w:p>
    <w:p w14:paraId="5E5E1AF3" w14:textId="77777777" w:rsidR="004902FF" w:rsidRPr="006A2A15" w:rsidRDefault="004902FF" w:rsidP="004902FF">
      <w:pPr>
        <w:spacing w:after="0" w:line="240" w:lineRule="auto"/>
        <w:jc w:val="both"/>
        <w:rPr>
          <w:rFonts w:ascii="Times New Roman" w:hAnsi="Times New Roman" w:cs="Times New Roman"/>
        </w:rPr>
      </w:pPr>
    </w:p>
    <w:p w14:paraId="7C76D9CB" w14:textId="5B3CBB6F" w:rsidR="00942DFF" w:rsidRPr="00A37A37" w:rsidRDefault="004902FF" w:rsidP="004902FF">
      <w:pPr>
        <w:spacing w:after="0" w:line="23" w:lineRule="atLeast"/>
        <w:contextualSpacing/>
        <w:jc w:val="both"/>
        <w:rPr>
          <w:rFonts w:ascii="Times New Roman" w:hAnsi="Times New Roman" w:cs="Times New Roman"/>
          <w:color w:val="FF0000"/>
        </w:rPr>
      </w:pPr>
      <w:r w:rsidRPr="006A2A15">
        <w:rPr>
          <w:rFonts w:ascii="Times New Roman" w:hAnsi="Times New Roman" w:cs="Times New Roman"/>
        </w:rPr>
        <w:t xml:space="preserve">Aspectos relevantes que contribuyen con el desempeño del ISR son las medidas que ha venido desarrollando </w:t>
      </w:r>
      <w:r>
        <w:rPr>
          <w:rFonts w:ascii="Times New Roman" w:hAnsi="Times New Roman" w:cs="Times New Roman"/>
        </w:rPr>
        <w:t xml:space="preserve">la </w:t>
      </w:r>
      <w:r w:rsidRPr="006A2A15">
        <w:rPr>
          <w:rFonts w:ascii="Times New Roman" w:hAnsi="Times New Roman" w:cs="Times New Roman"/>
        </w:rPr>
        <w:t>SAT mediante fiscalización por sector económico.</w:t>
      </w:r>
    </w:p>
    <w:p w14:paraId="1EB85644" w14:textId="77777777" w:rsidR="005606B1" w:rsidRDefault="005606B1" w:rsidP="005F1F2F">
      <w:pPr>
        <w:spacing w:after="0" w:line="240" w:lineRule="auto"/>
        <w:jc w:val="both"/>
        <w:rPr>
          <w:rFonts w:ascii="Times New Roman" w:hAnsi="Times New Roman" w:cs="Times New Roman"/>
          <w:color w:val="FF0000"/>
        </w:rPr>
      </w:pPr>
    </w:p>
    <w:p w14:paraId="7C028651" w14:textId="0280B54F" w:rsidR="005F1F2F" w:rsidRPr="0047180E" w:rsidRDefault="005F1F2F" w:rsidP="005F1F2F">
      <w:pPr>
        <w:spacing w:after="0" w:line="240" w:lineRule="auto"/>
        <w:jc w:val="both"/>
        <w:rPr>
          <w:rFonts w:ascii="Times New Roman" w:hAnsi="Times New Roman" w:cs="Times New Roman"/>
          <w:b/>
        </w:rPr>
      </w:pPr>
      <w:r w:rsidRPr="0047180E">
        <w:rPr>
          <w:rFonts w:ascii="Times New Roman" w:hAnsi="Times New Roman" w:cs="Times New Roman"/>
          <w:b/>
        </w:rPr>
        <w:t>El Impuesto al Valor Agregado</w:t>
      </w:r>
    </w:p>
    <w:p w14:paraId="07E7BDED" w14:textId="77777777" w:rsidR="005F1F2F" w:rsidRPr="0047180E" w:rsidRDefault="005F1F2F" w:rsidP="0047180E">
      <w:pPr>
        <w:spacing w:after="0" w:line="240" w:lineRule="auto"/>
        <w:jc w:val="both"/>
        <w:rPr>
          <w:rFonts w:ascii="Times New Roman" w:hAnsi="Times New Roman" w:cs="Times New Roman"/>
          <w:sz w:val="18"/>
        </w:rPr>
      </w:pPr>
    </w:p>
    <w:p w14:paraId="1BDE1671" w14:textId="181BE9B8" w:rsidR="0047180E" w:rsidRDefault="0047180E" w:rsidP="0047180E">
      <w:pPr>
        <w:spacing w:after="0" w:line="240" w:lineRule="auto"/>
        <w:jc w:val="both"/>
        <w:rPr>
          <w:rFonts w:ascii="Times New Roman" w:hAnsi="Times New Roman" w:cs="Times New Roman"/>
        </w:rPr>
      </w:pPr>
      <w:r>
        <w:rPr>
          <w:rFonts w:ascii="Times New Roman" w:hAnsi="Times New Roman" w:cs="Times New Roman"/>
        </w:rPr>
        <w:t xml:space="preserve">Este impuesto, en julio, generó una brecha positiva de </w:t>
      </w:r>
      <w:r w:rsidRPr="00AE7560">
        <w:rPr>
          <w:rFonts w:ascii="Times New Roman" w:hAnsi="Times New Roman" w:cs="Times New Roman"/>
        </w:rPr>
        <w:t>Q100.9</w:t>
      </w:r>
      <w:r>
        <w:rPr>
          <w:rFonts w:ascii="Times New Roman" w:hAnsi="Times New Roman" w:cs="Times New Roman"/>
        </w:rPr>
        <w:t xml:space="preserve"> millones, explicada en su mayoría por el IVA asociado al consumo </w:t>
      </w:r>
      <w:r>
        <w:rPr>
          <w:rFonts w:ascii="Times New Roman" w:hAnsi="Times New Roman" w:cs="Times New Roman"/>
        </w:rPr>
        <w:lastRenderedPageBreak/>
        <w:t xml:space="preserve">interno, el IVA asociado al comercio exterior, luego de meses de no alcanzar la meta logró superarla en julio por </w:t>
      </w:r>
      <w:r w:rsidRPr="00AE7560">
        <w:rPr>
          <w:rFonts w:ascii="Times New Roman" w:hAnsi="Times New Roman" w:cs="Times New Roman"/>
        </w:rPr>
        <w:t>Q5.4</w:t>
      </w:r>
      <w:r>
        <w:rPr>
          <w:rFonts w:ascii="Times New Roman" w:hAnsi="Times New Roman" w:cs="Times New Roman"/>
        </w:rPr>
        <w:t xml:space="preserve"> millones.  La dinámica observada en los últimos dos años en este impuesto se ha ralentizado principalmente como reflejo a las oscilaciones en el precio de los combustibles.</w:t>
      </w:r>
    </w:p>
    <w:p w14:paraId="320FA7DF" w14:textId="77777777" w:rsidR="0047180E" w:rsidRDefault="0047180E" w:rsidP="0047180E">
      <w:pPr>
        <w:spacing w:after="0" w:line="240" w:lineRule="auto"/>
        <w:jc w:val="both"/>
        <w:rPr>
          <w:rFonts w:ascii="Times New Roman" w:hAnsi="Times New Roman" w:cs="Times New Roman"/>
        </w:rPr>
      </w:pPr>
    </w:p>
    <w:p w14:paraId="2F2EAEC8" w14:textId="01E1FC8F" w:rsidR="0047180E" w:rsidRDefault="0047180E" w:rsidP="0047180E">
      <w:pPr>
        <w:spacing w:after="0" w:line="240" w:lineRule="auto"/>
        <w:contextualSpacing/>
        <w:jc w:val="both"/>
        <w:rPr>
          <w:rFonts w:ascii="Times New Roman" w:hAnsi="Times New Roman" w:cs="Times New Roman"/>
          <w:color w:val="FF0000"/>
        </w:rPr>
      </w:pPr>
      <w:r>
        <w:rPr>
          <w:rFonts w:ascii="Times New Roman" w:hAnsi="Times New Roman" w:cs="Times New Roman"/>
        </w:rPr>
        <w:t xml:space="preserve">Como referencia al desempeño del IVA de importaciones, se asume que las oscilaciones en el precio del barril de petróleo han impactado en la recaudación porque en julio 2022 el precio del barril era de US$99.39 dólares y en 2023 se ubicó en US$76.03 dólares, según la U.S. Energy </w:t>
      </w:r>
      <w:proofErr w:type="spellStart"/>
      <w:r>
        <w:rPr>
          <w:rFonts w:ascii="Times New Roman" w:hAnsi="Times New Roman" w:cs="Times New Roman"/>
        </w:rPr>
        <w:t>Information</w:t>
      </w:r>
      <w:proofErr w:type="spellEnd"/>
      <w:r>
        <w:rPr>
          <w:rFonts w:ascii="Times New Roman" w:hAnsi="Times New Roman" w:cs="Times New Roman"/>
        </w:rPr>
        <w:t xml:space="preserve"> </w:t>
      </w:r>
      <w:proofErr w:type="spellStart"/>
      <w:r>
        <w:rPr>
          <w:rFonts w:ascii="Times New Roman" w:hAnsi="Times New Roman" w:cs="Times New Roman"/>
        </w:rPr>
        <w:t>Administration</w:t>
      </w:r>
      <w:proofErr w:type="spellEnd"/>
      <w:r>
        <w:rPr>
          <w:rFonts w:ascii="Times New Roman" w:hAnsi="Times New Roman" w:cs="Times New Roman"/>
        </w:rPr>
        <w:t>.</w:t>
      </w:r>
    </w:p>
    <w:p w14:paraId="24EBF05E" w14:textId="0093B6B7" w:rsidR="0047180E" w:rsidRDefault="0047180E" w:rsidP="005F1F2F">
      <w:pPr>
        <w:spacing w:after="0" w:line="240" w:lineRule="auto"/>
        <w:jc w:val="both"/>
        <w:rPr>
          <w:rFonts w:ascii="Times New Roman" w:hAnsi="Times New Roman" w:cs="Times New Roman"/>
          <w:color w:val="FF0000"/>
        </w:rPr>
      </w:pPr>
    </w:p>
    <w:p w14:paraId="3A0142CE" w14:textId="20C7FA1F" w:rsidR="0047180E" w:rsidRPr="00F31E06" w:rsidRDefault="0047180E" w:rsidP="0047180E">
      <w:pPr>
        <w:spacing w:after="0" w:line="240" w:lineRule="auto"/>
        <w:jc w:val="center"/>
        <w:rPr>
          <w:rFonts w:ascii="Times New Roman" w:hAnsi="Times New Roman" w:cs="Times New Roman"/>
          <w:b/>
        </w:rPr>
      </w:pPr>
      <w:r w:rsidRPr="00F31E06">
        <w:rPr>
          <w:rFonts w:ascii="Times New Roman" w:hAnsi="Times New Roman" w:cs="Times New Roman"/>
          <w:b/>
        </w:rPr>
        <w:t>Precio del Petróleo</w:t>
      </w:r>
      <w:r>
        <w:rPr>
          <w:rFonts w:ascii="Times New Roman" w:hAnsi="Times New Roman" w:cs="Times New Roman"/>
          <w:b/>
        </w:rPr>
        <w:t xml:space="preserve"> WTI</w:t>
      </w:r>
    </w:p>
    <w:p w14:paraId="5D6CB020" w14:textId="15BEF85E" w:rsidR="0047180E" w:rsidRPr="0047180E" w:rsidRDefault="0047180E" w:rsidP="0047180E">
      <w:pPr>
        <w:spacing w:after="0" w:line="240" w:lineRule="auto"/>
        <w:jc w:val="center"/>
        <w:rPr>
          <w:rFonts w:ascii="Times New Roman" w:hAnsi="Times New Roman" w:cs="Times New Roman"/>
          <w:bCs/>
          <w:sz w:val="18"/>
          <w:szCs w:val="18"/>
        </w:rPr>
      </w:pPr>
      <w:r w:rsidRPr="0047180E">
        <w:rPr>
          <w:rFonts w:ascii="Times New Roman" w:hAnsi="Times New Roman" w:cs="Times New Roman"/>
          <w:bCs/>
          <w:sz w:val="18"/>
          <w:szCs w:val="18"/>
        </w:rPr>
        <w:t>Dólares por barril</w:t>
      </w:r>
    </w:p>
    <w:p w14:paraId="2DADACEB" w14:textId="5A4AE538" w:rsidR="0047180E" w:rsidRDefault="005606B1" w:rsidP="0047180E">
      <w:pPr>
        <w:spacing w:after="0" w:line="240" w:lineRule="auto"/>
        <w:jc w:val="center"/>
        <w:rPr>
          <w:rFonts w:ascii="Times New Roman" w:hAnsi="Times New Roman" w:cs="Times New Roman"/>
          <w:b/>
        </w:rPr>
      </w:pPr>
      <w:r w:rsidRPr="0047180E">
        <w:rPr>
          <w:bCs/>
          <w:noProof/>
          <w:sz w:val="18"/>
          <w:szCs w:val="18"/>
          <w:lang w:eastAsia="es-GT"/>
        </w:rPr>
        <w:drawing>
          <wp:anchor distT="0" distB="0" distL="114300" distR="114300" simplePos="0" relativeHeight="252106752" behindDoc="0" locked="0" layoutInCell="1" allowOverlap="1" wp14:anchorId="7442F06F" wp14:editId="561FA3E5">
            <wp:simplePos x="0" y="0"/>
            <wp:positionH relativeFrom="margin">
              <wp:posOffset>-8786</wp:posOffset>
            </wp:positionH>
            <wp:positionV relativeFrom="paragraph">
              <wp:posOffset>27997</wp:posOffset>
            </wp:positionV>
            <wp:extent cx="2632710" cy="1344304"/>
            <wp:effectExtent l="0" t="0" r="0" b="8255"/>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ACF7F6C" w14:textId="77777777" w:rsidR="0047180E" w:rsidRDefault="0047180E" w:rsidP="0047180E">
      <w:pPr>
        <w:spacing w:after="0" w:line="240" w:lineRule="auto"/>
        <w:jc w:val="center"/>
        <w:rPr>
          <w:rFonts w:ascii="Times New Roman" w:hAnsi="Times New Roman" w:cs="Times New Roman"/>
          <w:b/>
        </w:rPr>
      </w:pPr>
    </w:p>
    <w:p w14:paraId="05583A17" w14:textId="77777777" w:rsidR="0047180E" w:rsidRDefault="0047180E" w:rsidP="0047180E">
      <w:pPr>
        <w:spacing w:after="0" w:line="240" w:lineRule="auto"/>
        <w:jc w:val="center"/>
        <w:rPr>
          <w:rFonts w:ascii="Times New Roman" w:hAnsi="Times New Roman" w:cs="Times New Roman"/>
          <w:b/>
        </w:rPr>
      </w:pPr>
    </w:p>
    <w:p w14:paraId="24B92E8B" w14:textId="77777777" w:rsidR="0047180E" w:rsidRDefault="0047180E" w:rsidP="0047180E">
      <w:pPr>
        <w:spacing w:after="0" w:line="240" w:lineRule="auto"/>
        <w:jc w:val="center"/>
        <w:rPr>
          <w:rFonts w:ascii="Times New Roman" w:hAnsi="Times New Roman" w:cs="Times New Roman"/>
          <w:b/>
        </w:rPr>
      </w:pPr>
    </w:p>
    <w:p w14:paraId="6F3B4816" w14:textId="77777777" w:rsidR="0047180E" w:rsidRDefault="0047180E" w:rsidP="0047180E">
      <w:pPr>
        <w:spacing w:after="0" w:line="240" w:lineRule="auto"/>
        <w:jc w:val="center"/>
        <w:rPr>
          <w:rFonts w:ascii="Times New Roman" w:hAnsi="Times New Roman" w:cs="Times New Roman"/>
          <w:b/>
        </w:rPr>
      </w:pPr>
    </w:p>
    <w:p w14:paraId="504959AB" w14:textId="77777777" w:rsidR="0047180E" w:rsidRDefault="0047180E" w:rsidP="0047180E">
      <w:pPr>
        <w:spacing w:after="0" w:line="240" w:lineRule="auto"/>
        <w:jc w:val="center"/>
        <w:rPr>
          <w:rFonts w:ascii="Times New Roman" w:hAnsi="Times New Roman" w:cs="Times New Roman"/>
          <w:b/>
        </w:rPr>
      </w:pPr>
    </w:p>
    <w:p w14:paraId="2901E1B2" w14:textId="77777777" w:rsidR="0047180E" w:rsidRDefault="0047180E" w:rsidP="0047180E">
      <w:pPr>
        <w:spacing w:after="0" w:line="240" w:lineRule="auto"/>
        <w:jc w:val="center"/>
        <w:rPr>
          <w:rFonts w:ascii="Times New Roman" w:hAnsi="Times New Roman" w:cs="Times New Roman"/>
          <w:b/>
        </w:rPr>
      </w:pPr>
    </w:p>
    <w:p w14:paraId="483C24B5" w14:textId="77777777" w:rsidR="0047180E" w:rsidRDefault="0047180E" w:rsidP="0047180E">
      <w:pPr>
        <w:spacing w:after="0" w:line="240" w:lineRule="auto"/>
        <w:jc w:val="center"/>
        <w:rPr>
          <w:rFonts w:ascii="Times New Roman" w:hAnsi="Times New Roman" w:cs="Times New Roman"/>
          <w:b/>
        </w:rPr>
      </w:pPr>
    </w:p>
    <w:p w14:paraId="622EC918" w14:textId="77777777" w:rsidR="0047180E" w:rsidRDefault="0047180E" w:rsidP="0047180E">
      <w:pPr>
        <w:spacing w:after="0" w:line="240" w:lineRule="auto"/>
        <w:jc w:val="both"/>
        <w:rPr>
          <w:rFonts w:ascii="Times New Roman" w:hAnsi="Times New Roman" w:cs="Times New Roman"/>
          <w:color w:val="000000" w:themeColor="text1"/>
          <w:sz w:val="16"/>
          <w:szCs w:val="16"/>
          <w:lang w:val="es-MX"/>
        </w:rPr>
      </w:pPr>
    </w:p>
    <w:p w14:paraId="37E591C9" w14:textId="77777777" w:rsidR="0047180E" w:rsidRPr="0047180E" w:rsidRDefault="0047180E" w:rsidP="0047180E">
      <w:pPr>
        <w:spacing w:after="0" w:line="240" w:lineRule="auto"/>
        <w:jc w:val="both"/>
        <w:rPr>
          <w:rFonts w:ascii="Times New Roman" w:hAnsi="Times New Roman" w:cs="Times New Roman"/>
          <w:sz w:val="14"/>
          <w:szCs w:val="14"/>
          <w:lang w:val="en-US"/>
        </w:rPr>
      </w:pPr>
      <w:r w:rsidRPr="0047180E">
        <w:rPr>
          <w:rFonts w:ascii="Times New Roman" w:hAnsi="Times New Roman" w:cs="Times New Roman"/>
          <w:color w:val="000000" w:themeColor="text1"/>
          <w:sz w:val="14"/>
          <w:szCs w:val="14"/>
          <w:lang w:val="en-US"/>
        </w:rPr>
        <w:t xml:space="preserve">Fuente: </w:t>
      </w:r>
      <w:r w:rsidRPr="0047180E">
        <w:rPr>
          <w:rFonts w:ascii="Times New Roman" w:hAnsi="Times New Roman" w:cs="Times New Roman"/>
          <w:sz w:val="14"/>
          <w:szCs w:val="14"/>
          <w:lang w:val="en-US"/>
        </w:rPr>
        <w:t>U.S. Energy Information Administration.</w:t>
      </w:r>
    </w:p>
    <w:p w14:paraId="7D168D5B" w14:textId="77777777" w:rsidR="0047180E" w:rsidRPr="0047180E" w:rsidRDefault="0047180E" w:rsidP="0047180E">
      <w:pPr>
        <w:spacing w:after="0" w:line="240" w:lineRule="auto"/>
        <w:jc w:val="both"/>
        <w:rPr>
          <w:rFonts w:ascii="Times New Roman" w:hAnsi="Times New Roman" w:cs="Times New Roman"/>
          <w:lang w:val="en-US"/>
        </w:rPr>
      </w:pPr>
    </w:p>
    <w:p w14:paraId="3DD54693" w14:textId="6539C4E2" w:rsidR="0047180E" w:rsidRPr="0047180E" w:rsidRDefault="0047180E" w:rsidP="0047180E">
      <w:pPr>
        <w:spacing w:after="0" w:line="240" w:lineRule="auto"/>
        <w:jc w:val="both"/>
        <w:rPr>
          <w:rFonts w:ascii="Times New Roman" w:hAnsi="Times New Roman" w:cs="Times New Roman"/>
        </w:rPr>
      </w:pPr>
      <w:r>
        <w:rPr>
          <w:rFonts w:ascii="Times New Roman" w:hAnsi="Times New Roman" w:cs="Times New Roman"/>
        </w:rPr>
        <w:t xml:space="preserve">De manera acumulada, el IVA total genera brecha </w:t>
      </w:r>
      <w:r w:rsidRPr="00AE7560">
        <w:rPr>
          <w:rFonts w:ascii="Times New Roman" w:hAnsi="Times New Roman" w:cs="Times New Roman"/>
        </w:rPr>
        <w:t xml:space="preserve">positiva de Q1,683.9 millones respecto la meta de presupuesto y Q1,746.0 millones respecto a lo observado en 2022.  Destaca que el IVA asociado al consumo interno mantiene el mayor aporte, reflejando crecimientos de 10.1% respecto a la meta de presupuesto y </w:t>
      </w:r>
      <w:r w:rsidRPr="0047180E">
        <w:rPr>
          <w:rFonts w:ascii="Times New Roman" w:hAnsi="Times New Roman" w:cs="Times New Roman"/>
        </w:rPr>
        <w:t>19.0% respecto a lo observado en 2022.</w:t>
      </w:r>
    </w:p>
    <w:p w14:paraId="7D33E934" w14:textId="55A29CB7" w:rsidR="005F1F2F" w:rsidRPr="0047180E" w:rsidRDefault="005F1F2F" w:rsidP="005F1F2F">
      <w:pPr>
        <w:spacing w:after="0" w:line="240" w:lineRule="auto"/>
        <w:jc w:val="both"/>
        <w:rPr>
          <w:rFonts w:ascii="Times New Roman" w:hAnsi="Times New Roman" w:cs="Times New Roman"/>
          <w:sz w:val="18"/>
          <w:szCs w:val="18"/>
        </w:rPr>
      </w:pPr>
    </w:p>
    <w:p w14:paraId="54C08EB5" w14:textId="77777777" w:rsidR="00CF19EC" w:rsidRPr="0047180E" w:rsidRDefault="00CF19EC" w:rsidP="00CF19EC">
      <w:pPr>
        <w:spacing w:after="0" w:line="240" w:lineRule="auto"/>
        <w:jc w:val="both"/>
        <w:rPr>
          <w:rFonts w:ascii="Times New Roman" w:hAnsi="Times New Roman" w:cs="Times New Roman"/>
          <w:b/>
          <w:bCs/>
        </w:rPr>
      </w:pPr>
      <w:r w:rsidRPr="0047180E">
        <w:rPr>
          <w:rFonts w:ascii="Times New Roman" w:hAnsi="Times New Roman" w:cs="Times New Roman"/>
          <w:b/>
          <w:bCs/>
        </w:rPr>
        <w:t>Los demás impuestos</w:t>
      </w:r>
    </w:p>
    <w:p w14:paraId="7A2F98BB" w14:textId="77777777" w:rsidR="00CF19EC" w:rsidRPr="0047180E" w:rsidRDefault="00CF19EC" w:rsidP="00CF19EC">
      <w:pPr>
        <w:spacing w:after="0" w:line="240" w:lineRule="auto"/>
        <w:jc w:val="both"/>
        <w:rPr>
          <w:rFonts w:ascii="Times New Roman" w:hAnsi="Times New Roman" w:cs="Times New Roman"/>
          <w:b/>
          <w:bCs/>
          <w:sz w:val="14"/>
        </w:rPr>
      </w:pPr>
    </w:p>
    <w:p w14:paraId="02C6AB8A" w14:textId="76FFA17E" w:rsidR="0047180E" w:rsidRPr="00AA1A3A" w:rsidRDefault="0047180E" w:rsidP="0047180E">
      <w:pPr>
        <w:spacing w:after="0" w:line="240" w:lineRule="auto"/>
        <w:jc w:val="both"/>
        <w:rPr>
          <w:rFonts w:ascii="Times New Roman" w:hAnsi="Times New Roman" w:cs="Times New Roman"/>
        </w:rPr>
      </w:pPr>
      <w:r w:rsidRPr="0047180E">
        <w:rPr>
          <w:rFonts w:ascii="Times New Roman" w:hAnsi="Times New Roman" w:cs="Times New Roman"/>
        </w:rPr>
        <w:t xml:space="preserve">En la recaudación de julio destaca que el Impuesto </w:t>
      </w:r>
      <w:r>
        <w:rPr>
          <w:rFonts w:ascii="Times New Roman" w:hAnsi="Times New Roman" w:cs="Times New Roman"/>
        </w:rPr>
        <w:t xml:space="preserve">al Patrimonio, el </w:t>
      </w:r>
      <w:r w:rsidRPr="00AA1A3A">
        <w:rPr>
          <w:rFonts w:ascii="Times New Roman" w:hAnsi="Times New Roman" w:cs="Times New Roman"/>
        </w:rPr>
        <w:t xml:space="preserve">Impuesto </w:t>
      </w:r>
      <w:r>
        <w:rPr>
          <w:rFonts w:ascii="Times New Roman" w:hAnsi="Times New Roman" w:cs="Times New Roman"/>
        </w:rPr>
        <w:t xml:space="preserve">a los Derivados del Petróleo y las Regalías e Hidrocarburos Compartibles </w:t>
      </w:r>
      <w:r w:rsidRPr="00AA1A3A">
        <w:rPr>
          <w:rFonts w:ascii="Times New Roman" w:hAnsi="Times New Roman" w:cs="Times New Roman"/>
        </w:rPr>
        <w:t xml:space="preserve">no alcanzaron la meta mensual dejando de percibir en conjunto </w:t>
      </w:r>
      <w:r w:rsidRPr="00AE7560">
        <w:rPr>
          <w:rFonts w:ascii="Times New Roman" w:hAnsi="Times New Roman" w:cs="Times New Roman"/>
        </w:rPr>
        <w:t>Q67.2</w:t>
      </w:r>
      <w:r>
        <w:rPr>
          <w:rFonts w:ascii="Times New Roman" w:hAnsi="Times New Roman" w:cs="Times New Roman"/>
        </w:rPr>
        <w:t xml:space="preserve"> </w:t>
      </w:r>
      <w:r w:rsidRPr="00AA1A3A">
        <w:rPr>
          <w:rFonts w:ascii="Times New Roman" w:hAnsi="Times New Roman" w:cs="Times New Roman"/>
        </w:rPr>
        <w:t>millones respecto a la meta de presupuesto.</w:t>
      </w:r>
    </w:p>
    <w:p w14:paraId="1AAF7419" w14:textId="77777777" w:rsidR="0047180E" w:rsidRPr="00AA1A3A" w:rsidRDefault="0047180E" w:rsidP="0047180E">
      <w:pPr>
        <w:spacing w:after="0" w:line="240" w:lineRule="auto"/>
        <w:jc w:val="both"/>
        <w:rPr>
          <w:rFonts w:ascii="Times New Roman" w:hAnsi="Times New Roman" w:cs="Times New Roman"/>
        </w:rPr>
      </w:pPr>
    </w:p>
    <w:p w14:paraId="5805A7F1" w14:textId="77777777" w:rsidR="0047180E" w:rsidRDefault="0047180E" w:rsidP="0047180E">
      <w:pPr>
        <w:spacing w:after="0" w:line="240" w:lineRule="auto"/>
        <w:jc w:val="both"/>
        <w:rPr>
          <w:rFonts w:ascii="Times New Roman" w:hAnsi="Times New Roman" w:cs="Times New Roman"/>
        </w:rPr>
      </w:pPr>
      <w:r w:rsidRPr="00AA1A3A">
        <w:rPr>
          <w:rFonts w:ascii="Times New Roman" w:hAnsi="Times New Roman" w:cs="Times New Roman"/>
        </w:rPr>
        <w:t xml:space="preserve">De manera acumulada el </w:t>
      </w:r>
      <w:r>
        <w:rPr>
          <w:rFonts w:ascii="Times New Roman" w:hAnsi="Times New Roman" w:cs="Times New Roman"/>
        </w:rPr>
        <w:t>I</w:t>
      </w:r>
      <w:r w:rsidRPr="00AA1A3A">
        <w:rPr>
          <w:rFonts w:ascii="Times New Roman" w:hAnsi="Times New Roman" w:cs="Times New Roman"/>
        </w:rPr>
        <w:t xml:space="preserve">mpuesto </w:t>
      </w:r>
      <w:r>
        <w:rPr>
          <w:rFonts w:ascii="Times New Roman" w:hAnsi="Times New Roman" w:cs="Times New Roman"/>
        </w:rPr>
        <w:t>a la Circulación de Vehículos</w:t>
      </w:r>
      <w:r w:rsidRPr="00AA1A3A">
        <w:rPr>
          <w:rFonts w:ascii="Times New Roman" w:hAnsi="Times New Roman" w:cs="Times New Roman"/>
        </w:rPr>
        <w:t xml:space="preserve"> genera brecha </w:t>
      </w:r>
      <w:r>
        <w:rPr>
          <w:rFonts w:ascii="Times New Roman" w:hAnsi="Times New Roman" w:cs="Times New Roman"/>
        </w:rPr>
        <w:t xml:space="preserve">positiva </w:t>
      </w:r>
      <w:r w:rsidRPr="00AA1A3A">
        <w:rPr>
          <w:rFonts w:ascii="Times New Roman" w:hAnsi="Times New Roman" w:cs="Times New Roman"/>
        </w:rPr>
        <w:t>de Q</w:t>
      </w:r>
      <w:r>
        <w:rPr>
          <w:rFonts w:ascii="Times New Roman" w:hAnsi="Times New Roman" w:cs="Times New Roman"/>
        </w:rPr>
        <w:t xml:space="preserve">19.0 </w:t>
      </w:r>
      <w:r w:rsidRPr="00AA1A3A">
        <w:rPr>
          <w:rFonts w:ascii="Times New Roman" w:hAnsi="Times New Roman" w:cs="Times New Roman"/>
        </w:rPr>
        <w:t>millones</w:t>
      </w:r>
      <w:r>
        <w:rPr>
          <w:rFonts w:ascii="Times New Roman" w:hAnsi="Times New Roman" w:cs="Times New Roman"/>
        </w:rPr>
        <w:t>.</w:t>
      </w:r>
      <w:r w:rsidDel="009972C0">
        <w:rPr>
          <w:rFonts w:ascii="Times New Roman" w:hAnsi="Times New Roman" w:cs="Times New Roman"/>
        </w:rPr>
        <w:t xml:space="preserve"> </w:t>
      </w:r>
    </w:p>
    <w:p w14:paraId="2552C515" w14:textId="77777777" w:rsidR="0047180E" w:rsidRDefault="0047180E" w:rsidP="0047180E">
      <w:pPr>
        <w:spacing w:after="0" w:line="240" w:lineRule="auto"/>
        <w:jc w:val="both"/>
        <w:rPr>
          <w:rFonts w:ascii="Times New Roman" w:hAnsi="Times New Roman" w:cs="Times New Roman"/>
        </w:rPr>
      </w:pPr>
      <w:r>
        <w:rPr>
          <w:rFonts w:ascii="Times New Roman" w:hAnsi="Times New Roman" w:cs="Times New Roman"/>
        </w:rPr>
        <w:t>Además, d</w:t>
      </w:r>
      <w:r w:rsidRPr="00AA1A3A">
        <w:rPr>
          <w:rFonts w:ascii="Times New Roman" w:hAnsi="Times New Roman" w:cs="Times New Roman"/>
        </w:rPr>
        <w:t>estaca que los impuestos internos</w:t>
      </w:r>
      <w:r>
        <w:rPr>
          <w:rFonts w:ascii="Times New Roman" w:hAnsi="Times New Roman" w:cs="Times New Roman"/>
        </w:rPr>
        <w:t xml:space="preserve"> a julio vienen disminuyeron ligeramente respecto al crecimiento mensual, pasando de 13.9% observado en junio a 13.0% en el mes de julio.</w:t>
      </w:r>
    </w:p>
    <w:p w14:paraId="735F8FDE" w14:textId="77777777" w:rsidR="0047180E" w:rsidRDefault="0047180E" w:rsidP="0047180E">
      <w:pPr>
        <w:spacing w:after="0" w:line="240" w:lineRule="auto"/>
        <w:jc w:val="both"/>
        <w:rPr>
          <w:rFonts w:ascii="Times New Roman" w:hAnsi="Times New Roman" w:cs="Times New Roman"/>
        </w:rPr>
      </w:pPr>
    </w:p>
    <w:p w14:paraId="6DF0024E" w14:textId="341F1E4D" w:rsidR="00CF19EC" w:rsidRPr="00A37A37" w:rsidRDefault="0047180E" w:rsidP="0047180E">
      <w:pPr>
        <w:spacing w:after="0" w:line="23" w:lineRule="atLeast"/>
        <w:contextualSpacing/>
        <w:jc w:val="both"/>
        <w:rPr>
          <w:rFonts w:ascii="Times New Roman" w:hAnsi="Times New Roman" w:cs="Times New Roman"/>
          <w:color w:val="FF0000"/>
        </w:rPr>
      </w:pPr>
      <w:r>
        <w:rPr>
          <w:rFonts w:ascii="Times New Roman" w:hAnsi="Times New Roman" w:cs="Times New Roman"/>
        </w:rPr>
        <w:t>Por su parte, los impuestos asociados al comercio exterior mantienen el mismo ritmo de decrecimiento respecto a lo observado en junio 2023 (0.3%).  Vale indicar que este comportamiento negativo se empezó a observar en el mes de abril del año en curso.</w:t>
      </w:r>
    </w:p>
    <w:p w14:paraId="00425F09" w14:textId="0A9266D5" w:rsidR="00B15E0D" w:rsidRDefault="00B15E0D" w:rsidP="00CF19EC">
      <w:pPr>
        <w:spacing w:after="0" w:line="240" w:lineRule="auto"/>
        <w:jc w:val="both"/>
        <w:rPr>
          <w:rFonts w:ascii="Times New Roman" w:hAnsi="Times New Roman" w:cs="Times New Roman"/>
          <w:b/>
          <w:bCs/>
          <w:color w:val="FF0000"/>
        </w:rPr>
      </w:pPr>
    </w:p>
    <w:p w14:paraId="13F217EF" w14:textId="757E77A2" w:rsidR="0047180E" w:rsidRPr="00F31E06" w:rsidRDefault="005606B1" w:rsidP="0047180E">
      <w:pPr>
        <w:spacing w:after="0" w:line="240" w:lineRule="auto"/>
        <w:jc w:val="center"/>
        <w:rPr>
          <w:rFonts w:ascii="Times New Roman" w:hAnsi="Times New Roman" w:cs="Times New Roman"/>
          <w:b/>
        </w:rPr>
      </w:pPr>
      <w:r w:rsidRPr="00286DB5">
        <w:rPr>
          <w:noProof/>
          <w:lang w:eastAsia="es-GT"/>
        </w:rPr>
        <w:drawing>
          <wp:anchor distT="0" distB="0" distL="114300" distR="114300" simplePos="0" relativeHeight="252108800" behindDoc="0" locked="0" layoutInCell="1" allowOverlap="1" wp14:anchorId="2D2905A7" wp14:editId="485D4D58">
            <wp:simplePos x="0" y="0"/>
            <wp:positionH relativeFrom="column">
              <wp:posOffset>-49530</wp:posOffset>
            </wp:positionH>
            <wp:positionV relativeFrom="paragraph">
              <wp:posOffset>314960</wp:posOffset>
            </wp:positionV>
            <wp:extent cx="2632710" cy="1610360"/>
            <wp:effectExtent l="0" t="0" r="0" b="8890"/>
            <wp:wrapNone/>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47180E">
        <w:rPr>
          <w:rFonts w:ascii="Times New Roman" w:hAnsi="Times New Roman" w:cs="Times New Roman"/>
          <w:b/>
        </w:rPr>
        <w:t>Comportamiento de la recaudación tributaria en porcentajes de variación</w:t>
      </w:r>
    </w:p>
    <w:p w14:paraId="498CF2B5" w14:textId="3274F169" w:rsidR="0047180E" w:rsidRDefault="0047180E" w:rsidP="0047180E">
      <w:pPr>
        <w:spacing w:after="0" w:line="240" w:lineRule="auto"/>
        <w:jc w:val="center"/>
        <w:rPr>
          <w:rFonts w:ascii="Times New Roman" w:hAnsi="Times New Roman" w:cs="Times New Roman"/>
          <w:b/>
        </w:rPr>
      </w:pPr>
    </w:p>
    <w:p w14:paraId="3F47DD26" w14:textId="4470180E" w:rsidR="0047180E" w:rsidRDefault="0047180E" w:rsidP="0047180E">
      <w:pPr>
        <w:spacing w:after="0" w:line="240" w:lineRule="auto"/>
        <w:jc w:val="center"/>
        <w:rPr>
          <w:rFonts w:ascii="Times New Roman" w:hAnsi="Times New Roman" w:cs="Times New Roman"/>
          <w:b/>
        </w:rPr>
      </w:pPr>
    </w:p>
    <w:p w14:paraId="42FBDB03" w14:textId="1D1F4276" w:rsidR="0047180E" w:rsidRDefault="0047180E" w:rsidP="0047180E">
      <w:pPr>
        <w:spacing w:after="0" w:line="240" w:lineRule="auto"/>
        <w:jc w:val="center"/>
        <w:rPr>
          <w:rFonts w:ascii="Times New Roman" w:hAnsi="Times New Roman" w:cs="Times New Roman"/>
          <w:b/>
        </w:rPr>
      </w:pPr>
    </w:p>
    <w:p w14:paraId="530DE49F" w14:textId="5265682C" w:rsidR="0047180E" w:rsidRDefault="0047180E" w:rsidP="0047180E">
      <w:pPr>
        <w:spacing w:after="0" w:line="240" w:lineRule="auto"/>
        <w:jc w:val="center"/>
        <w:rPr>
          <w:rFonts w:ascii="Times New Roman" w:hAnsi="Times New Roman" w:cs="Times New Roman"/>
          <w:b/>
        </w:rPr>
      </w:pPr>
    </w:p>
    <w:p w14:paraId="57087C21" w14:textId="439B0C50" w:rsidR="0047180E" w:rsidRDefault="0047180E" w:rsidP="0047180E">
      <w:pPr>
        <w:spacing w:after="0" w:line="240" w:lineRule="auto"/>
        <w:jc w:val="center"/>
        <w:rPr>
          <w:rFonts w:ascii="Times New Roman" w:hAnsi="Times New Roman" w:cs="Times New Roman"/>
          <w:b/>
        </w:rPr>
      </w:pPr>
    </w:p>
    <w:p w14:paraId="7B8EEC0E" w14:textId="7A7F2210" w:rsidR="0047180E" w:rsidRDefault="0047180E" w:rsidP="0047180E">
      <w:pPr>
        <w:spacing w:after="0" w:line="240" w:lineRule="auto"/>
        <w:jc w:val="center"/>
        <w:rPr>
          <w:rFonts w:ascii="Times New Roman" w:hAnsi="Times New Roman" w:cs="Times New Roman"/>
          <w:b/>
        </w:rPr>
      </w:pPr>
    </w:p>
    <w:p w14:paraId="3502CEC5" w14:textId="21347BCF" w:rsidR="0047180E" w:rsidRDefault="0047180E" w:rsidP="0047180E">
      <w:pPr>
        <w:spacing w:after="0" w:line="240" w:lineRule="auto"/>
        <w:jc w:val="center"/>
        <w:rPr>
          <w:rFonts w:ascii="Times New Roman" w:hAnsi="Times New Roman" w:cs="Times New Roman"/>
          <w:b/>
        </w:rPr>
      </w:pPr>
    </w:p>
    <w:p w14:paraId="47C334CE" w14:textId="77777777" w:rsidR="0047180E" w:rsidRDefault="0047180E" w:rsidP="0047180E">
      <w:pPr>
        <w:spacing w:after="0" w:line="240" w:lineRule="auto"/>
        <w:jc w:val="center"/>
        <w:rPr>
          <w:rFonts w:ascii="Times New Roman" w:hAnsi="Times New Roman" w:cs="Times New Roman"/>
          <w:b/>
        </w:rPr>
      </w:pPr>
    </w:p>
    <w:p w14:paraId="26CDA97D" w14:textId="3B9B4141" w:rsidR="0047180E" w:rsidRDefault="0047180E" w:rsidP="0047180E">
      <w:pPr>
        <w:spacing w:after="0" w:line="240" w:lineRule="auto"/>
        <w:jc w:val="center"/>
        <w:rPr>
          <w:rFonts w:ascii="Times New Roman" w:hAnsi="Times New Roman" w:cs="Times New Roman"/>
          <w:b/>
        </w:rPr>
      </w:pPr>
    </w:p>
    <w:p w14:paraId="4E231E7F" w14:textId="77777777" w:rsidR="00785591" w:rsidRDefault="00785591" w:rsidP="0047180E">
      <w:pPr>
        <w:spacing w:after="0" w:line="240" w:lineRule="auto"/>
        <w:jc w:val="center"/>
        <w:rPr>
          <w:rFonts w:ascii="Times New Roman" w:hAnsi="Times New Roman" w:cs="Times New Roman"/>
          <w:b/>
        </w:rPr>
      </w:pPr>
    </w:p>
    <w:p w14:paraId="090C0503" w14:textId="77777777" w:rsidR="0047180E" w:rsidRPr="0047180E" w:rsidRDefault="0047180E" w:rsidP="0047180E">
      <w:pPr>
        <w:spacing w:after="0" w:line="240" w:lineRule="auto"/>
        <w:jc w:val="both"/>
        <w:rPr>
          <w:rFonts w:ascii="Times New Roman" w:hAnsi="Times New Roman" w:cs="Times New Roman"/>
          <w:color w:val="000000" w:themeColor="text1"/>
          <w:sz w:val="14"/>
          <w:szCs w:val="14"/>
          <w:lang w:val="es-MX"/>
        </w:rPr>
      </w:pPr>
      <w:r w:rsidRPr="0047180E">
        <w:rPr>
          <w:rFonts w:ascii="Times New Roman" w:hAnsi="Times New Roman" w:cs="Times New Roman"/>
          <w:color w:val="000000" w:themeColor="text1"/>
          <w:sz w:val="14"/>
          <w:szCs w:val="14"/>
          <w:lang w:val="es-MX"/>
        </w:rPr>
        <w:t>Fuente: Dirección de Análisis y Política Fiscal.</w:t>
      </w:r>
    </w:p>
    <w:p w14:paraId="2D7F9E8B" w14:textId="77777777" w:rsidR="0047180E" w:rsidRPr="0047180E" w:rsidRDefault="0047180E" w:rsidP="00CF19EC">
      <w:pPr>
        <w:spacing w:after="0" w:line="240" w:lineRule="auto"/>
        <w:jc w:val="both"/>
        <w:rPr>
          <w:rFonts w:ascii="Times New Roman" w:hAnsi="Times New Roman" w:cs="Times New Roman"/>
          <w:b/>
          <w:bCs/>
          <w:color w:val="FF0000"/>
          <w:lang w:val="es-MX"/>
        </w:rPr>
      </w:pPr>
    </w:p>
    <w:p w14:paraId="1AE36763" w14:textId="1711614E" w:rsidR="00CF19EC" w:rsidRPr="0047180E" w:rsidRDefault="00CF19EC" w:rsidP="00CF19EC">
      <w:pPr>
        <w:spacing w:after="0" w:line="240" w:lineRule="auto"/>
        <w:jc w:val="both"/>
        <w:rPr>
          <w:rFonts w:ascii="Times New Roman" w:hAnsi="Times New Roman" w:cs="Times New Roman"/>
          <w:b/>
          <w:bCs/>
        </w:rPr>
      </w:pPr>
      <w:r w:rsidRPr="0047180E">
        <w:rPr>
          <w:rFonts w:ascii="Times New Roman" w:hAnsi="Times New Roman" w:cs="Times New Roman"/>
          <w:b/>
          <w:bCs/>
        </w:rPr>
        <w:t xml:space="preserve">Estructura de la recaudación tributaria acumulada a </w:t>
      </w:r>
      <w:r w:rsidR="00DF3517" w:rsidRPr="0047180E">
        <w:rPr>
          <w:rFonts w:ascii="Times New Roman" w:hAnsi="Times New Roman" w:cs="Times New Roman"/>
          <w:b/>
          <w:bCs/>
        </w:rPr>
        <w:t>ju</w:t>
      </w:r>
      <w:r w:rsidR="0047180E" w:rsidRPr="0047180E">
        <w:rPr>
          <w:rFonts w:ascii="Times New Roman" w:hAnsi="Times New Roman" w:cs="Times New Roman"/>
          <w:b/>
          <w:bCs/>
        </w:rPr>
        <w:t>l</w:t>
      </w:r>
      <w:r w:rsidR="00DF3517" w:rsidRPr="0047180E">
        <w:rPr>
          <w:rFonts w:ascii="Times New Roman" w:hAnsi="Times New Roman" w:cs="Times New Roman"/>
          <w:b/>
          <w:bCs/>
        </w:rPr>
        <w:t>i</w:t>
      </w:r>
      <w:r w:rsidR="00FC45AB" w:rsidRPr="0047180E">
        <w:rPr>
          <w:rFonts w:ascii="Times New Roman" w:hAnsi="Times New Roman" w:cs="Times New Roman"/>
          <w:b/>
          <w:bCs/>
        </w:rPr>
        <w:t>o</w:t>
      </w:r>
      <w:r w:rsidRPr="0047180E">
        <w:rPr>
          <w:rFonts w:ascii="Times New Roman" w:hAnsi="Times New Roman" w:cs="Times New Roman"/>
          <w:b/>
          <w:bCs/>
        </w:rPr>
        <w:t xml:space="preserve"> 2023</w:t>
      </w:r>
    </w:p>
    <w:p w14:paraId="210200CE" w14:textId="77777777" w:rsidR="00CF19EC" w:rsidRPr="0047180E" w:rsidRDefault="00CF19EC" w:rsidP="00CF19EC">
      <w:pPr>
        <w:spacing w:after="0" w:line="240" w:lineRule="auto"/>
        <w:jc w:val="both"/>
        <w:rPr>
          <w:rFonts w:ascii="Times New Roman" w:hAnsi="Times New Roman" w:cs="Times New Roman"/>
          <w:sz w:val="16"/>
        </w:rPr>
      </w:pPr>
    </w:p>
    <w:p w14:paraId="64E5AF62" w14:textId="1A05EF43" w:rsidR="00CF19EC" w:rsidRPr="00A37A37" w:rsidRDefault="0047180E" w:rsidP="00CF19EC">
      <w:pPr>
        <w:spacing w:after="0" w:line="240" w:lineRule="auto"/>
        <w:jc w:val="both"/>
        <w:rPr>
          <w:rFonts w:ascii="Times New Roman" w:hAnsi="Times New Roman" w:cs="Times New Roman"/>
          <w:color w:val="FF0000"/>
        </w:rPr>
      </w:pPr>
      <w:r w:rsidRPr="0047180E">
        <w:rPr>
          <w:rFonts w:ascii="Times New Roman" w:hAnsi="Times New Roman" w:cs="Times New Roman"/>
        </w:rPr>
        <w:t xml:space="preserve">La recaudación tributaria a julio 2023 mantiene </w:t>
      </w:r>
      <w:r>
        <w:rPr>
          <w:rFonts w:ascii="Times New Roman" w:hAnsi="Times New Roman" w:cs="Times New Roman"/>
        </w:rPr>
        <w:t xml:space="preserve">la estructura y el desempeño positivo explicado principalmente por impuestos como el ISR, ISO y el IVA que en conjunto representan el </w:t>
      </w:r>
      <w:r w:rsidRPr="00D9799D">
        <w:rPr>
          <w:rFonts w:ascii="Times New Roman" w:hAnsi="Times New Roman" w:cs="Times New Roman"/>
        </w:rPr>
        <w:t>93.7%</w:t>
      </w:r>
      <w:r>
        <w:rPr>
          <w:rFonts w:ascii="Times New Roman" w:hAnsi="Times New Roman" w:cs="Times New Roman"/>
        </w:rPr>
        <w:t xml:space="preserve"> de la recaudación observada total.</w:t>
      </w:r>
    </w:p>
    <w:p w14:paraId="4C94EC2A" w14:textId="77777777" w:rsidR="00FC45AB" w:rsidRPr="00785591" w:rsidRDefault="00FC45AB" w:rsidP="00CF19EC">
      <w:pPr>
        <w:spacing w:after="0" w:line="240" w:lineRule="auto"/>
        <w:jc w:val="both"/>
        <w:rPr>
          <w:rFonts w:ascii="Times New Roman" w:hAnsi="Times New Roman" w:cs="Times New Roman"/>
          <w:color w:val="FF0000"/>
          <w:sz w:val="20"/>
          <w:szCs w:val="20"/>
        </w:rPr>
      </w:pPr>
    </w:p>
    <w:p w14:paraId="6781FB43" w14:textId="77777777" w:rsidR="00CF19EC" w:rsidRPr="0047180E" w:rsidRDefault="00CF19EC" w:rsidP="00CF19EC">
      <w:pPr>
        <w:spacing w:after="0" w:line="240" w:lineRule="auto"/>
        <w:jc w:val="center"/>
        <w:rPr>
          <w:rFonts w:ascii="Times New Roman" w:hAnsi="Times New Roman" w:cs="Times New Roman"/>
          <w:b/>
          <w:bCs/>
        </w:rPr>
      </w:pPr>
      <w:r w:rsidRPr="0047180E">
        <w:rPr>
          <w:rFonts w:ascii="Times New Roman" w:hAnsi="Times New Roman" w:cs="Times New Roman"/>
          <w:b/>
          <w:bCs/>
        </w:rPr>
        <w:t xml:space="preserve">Aporte por impuesto a la recaudación </w:t>
      </w:r>
    </w:p>
    <w:p w14:paraId="009125D7" w14:textId="74D7853D" w:rsidR="00CF19EC" w:rsidRPr="0047180E" w:rsidRDefault="00CF19EC" w:rsidP="00CF19EC">
      <w:pPr>
        <w:spacing w:after="0" w:line="240" w:lineRule="auto"/>
        <w:jc w:val="center"/>
        <w:rPr>
          <w:rFonts w:ascii="Times New Roman" w:hAnsi="Times New Roman" w:cs="Times New Roman"/>
          <w:b/>
          <w:bCs/>
        </w:rPr>
      </w:pPr>
      <w:r w:rsidRPr="0047180E">
        <w:rPr>
          <w:rFonts w:ascii="Times New Roman" w:hAnsi="Times New Roman" w:cs="Times New Roman"/>
          <w:b/>
          <w:bCs/>
        </w:rPr>
        <w:t xml:space="preserve">Tributaria acumulada a </w:t>
      </w:r>
      <w:r w:rsidR="00DF3517" w:rsidRPr="0047180E">
        <w:rPr>
          <w:rFonts w:ascii="Times New Roman" w:hAnsi="Times New Roman" w:cs="Times New Roman"/>
          <w:b/>
          <w:bCs/>
        </w:rPr>
        <w:t>ju</w:t>
      </w:r>
      <w:r w:rsidR="0047180E" w:rsidRPr="0047180E">
        <w:rPr>
          <w:rFonts w:ascii="Times New Roman" w:hAnsi="Times New Roman" w:cs="Times New Roman"/>
          <w:b/>
          <w:bCs/>
        </w:rPr>
        <w:t>l</w:t>
      </w:r>
      <w:r w:rsidR="00DF3517" w:rsidRPr="0047180E">
        <w:rPr>
          <w:rFonts w:ascii="Times New Roman" w:hAnsi="Times New Roman" w:cs="Times New Roman"/>
          <w:b/>
          <w:bCs/>
        </w:rPr>
        <w:t>i</w:t>
      </w:r>
      <w:r w:rsidR="00FC45AB" w:rsidRPr="0047180E">
        <w:rPr>
          <w:rFonts w:ascii="Times New Roman" w:hAnsi="Times New Roman" w:cs="Times New Roman"/>
          <w:b/>
          <w:bCs/>
        </w:rPr>
        <w:t>o</w:t>
      </w:r>
      <w:r w:rsidRPr="0047180E">
        <w:rPr>
          <w:rFonts w:ascii="Times New Roman" w:hAnsi="Times New Roman" w:cs="Times New Roman"/>
          <w:b/>
          <w:bCs/>
        </w:rPr>
        <w:t xml:space="preserve"> 2023</w:t>
      </w:r>
    </w:p>
    <w:p w14:paraId="1F081108" w14:textId="422C3C62" w:rsidR="00DF3517" w:rsidRPr="0047180E" w:rsidRDefault="0047180E" w:rsidP="00FC45AB">
      <w:pPr>
        <w:spacing w:after="0" w:line="240" w:lineRule="auto"/>
        <w:jc w:val="both"/>
        <w:rPr>
          <w:rFonts w:ascii="Times New Roman" w:hAnsi="Times New Roman" w:cs="Times New Roman"/>
          <w:sz w:val="16"/>
          <w:szCs w:val="16"/>
          <w:lang w:val="es-MX"/>
        </w:rPr>
      </w:pPr>
      <w:r w:rsidRPr="0047180E">
        <w:rPr>
          <w:noProof/>
          <w:lang w:eastAsia="es-GT"/>
        </w:rPr>
        <w:drawing>
          <wp:inline distT="0" distB="0" distL="0" distR="0" wp14:anchorId="3615421C" wp14:editId="7D8F8E52">
            <wp:extent cx="2756535" cy="1869743"/>
            <wp:effectExtent l="0" t="0" r="5715"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8E43D6" w14:textId="49034F5A" w:rsidR="00684381" w:rsidRPr="0047180E" w:rsidRDefault="00CF19EC" w:rsidP="00FC45AB">
      <w:pPr>
        <w:spacing w:after="0" w:line="240" w:lineRule="auto"/>
        <w:jc w:val="both"/>
        <w:rPr>
          <w:rFonts w:ascii="Times New Roman" w:hAnsi="Times New Roman" w:cs="Times New Roman"/>
          <w:sz w:val="14"/>
          <w:szCs w:val="14"/>
          <w:lang w:val="es-MX"/>
        </w:rPr>
      </w:pPr>
      <w:r w:rsidRPr="0047180E">
        <w:rPr>
          <w:rFonts w:ascii="Times New Roman" w:hAnsi="Times New Roman" w:cs="Times New Roman"/>
          <w:sz w:val="14"/>
          <w:szCs w:val="14"/>
          <w:lang w:val="es-MX"/>
        </w:rPr>
        <w:t>Fuente: Dirección de Análisis y Política Fiscal.</w:t>
      </w:r>
    </w:p>
    <w:p w14:paraId="3665C059" w14:textId="2ED1D529" w:rsidR="00CF19EC" w:rsidRPr="0047180E" w:rsidRDefault="00CF19EC" w:rsidP="00CF19EC">
      <w:pPr>
        <w:spacing w:after="0" w:line="240" w:lineRule="auto"/>
        <w:jc w:val="both"/>
        <w:rPr>
          <w:rFonts w:ascii="Times New Roman" w:hAnsi="Times New Roman" w:cs="Times New Roman"/>
          <w:b/>
          <w:bCs/>
        </w:rPr>
      </w:pPr>
      <w:r w:rsidRPr="0047180E">
        <w:rPr>
          <w:rFonts w:ascii="Times New Roman" w:hAnsi="Times New Roman" w:cs="Times New Roman"/>
          <w:b/>
          <w:bCs/>
        </w:rPr>
        <w:lastRenderedPageBreak/>
        <w:t>Expectativas de cierre 2023</w:t>
      </w:r>
    </w:p>
    <w:p w14:paraId="74C5987F" w14:textId="77777777" w:rsidR="00684381" w:rsidRPr="0047180E" w:rsidRDefault="00684381" w:rsidP="00CF19EC">
      <w:pPr>
        <w:spacing w:after="0" w:line="240" w:lineRule="auto"/>
        <w:jc w:val="both"/>
        <w:rPr>
          <w:rFonts w:ascii="Times New Roman" w:hAnsi="Times New Roman" w:cs="Times New Roman"/>
          <w:sz w:val="16"/>
        </w:rPr>
      </w:pPr>
    </w:p>
    <w:p w14:paraId="4031623B" w14:textId="0E5A9284" w:rsidR="00CF19EC" w:rsidRPr="00A37A37" w:rsidRDefault="0047180E" w:rsidP="00CF19EC">
      <w:pPr>
        <w:spacing w:after="0" w:line="240" w:lineRule="auto"/>
        <w:jc w:val="both"/>
        <w:rPr>
          <w:rFonts w:ascii="Times New Roman" w:hAnsi="Times New Roman" w:cs="Times New Roman"/>
          <w:color w:val="FF0000"/>
        </w:rPr>
      </w:pPr>
      <w:r w:rsidRPr="0047180E">
        <w:rPr>
          <w:rFonts w:ascii="Times New Roman" w:hAnsi="Times New Roman" w:cs="Times New Roman"/>
        </w:rPr>
        <w:t xml:space="preserve">De conformidad con los resultados obtenidos de recaudación tributaria </w:t>
      </w:r>
      <w:r>
        <w:rPr>
          <w:rFonts w:ascii="Times New Roman" w:hAnsi="Times New Roman" w:cs="Times New Roman"/>
        </w:rPr>
        <w:t xml:space="preserve">al mes de julio y bajo el escenario de pleno cumplimiento de las metas mensuales para el resto del año, el resultado </w:t>
      </w:r>
      <w:r w:rsidRPr="00D9799D">
        <w:rPr>
          <w:rFonts w:ascii="Times New Roman" w:hAnsi="Times New Roman" w:cs="Times New Roman"/>
        </w:rPr>
        <w:t>del ejercicio fiscal a diciembre 2023 puede rondar los Q91,906.0 millones, es decir, de agosto a diciembre, la meta se cumple en 100% y a ello se adiciona la recaudación observada a julio, en la que ya incluye la brecha positiva por Q5,658.4 millones.</w:t>
      </w:r>
    </w:p>
    <w:p w14:paraId="69111A20" w14:textId="50243DFA" w:rsidR="005F1F2F" w:rsidRPr="00A37A37" w:rsidRDefault="005F1F2F" w:rsidP="005F1F2F">
      <w:pPr>
        <w:spacing w:after="0" w:line="240" w:lineRule="auto"/>
        <w:jc w:val="both"/>
        <w:rPr>
          <w:rFonts w:ascii="Times New Roman" w:hAnsi="Times New Roman" w:cs="Times New Roman"/>
          <w:color w:val="FF0000"/>
        </w:rPr>
      </w:pPr>
    </w:p>
    <w:p w14:paraId="7DF2B080" w14:textId="1E16BA00" w:rsidR="00684381" w:rsidRPr="0047180E" w:rsidRDefault="00684381" w:rsidP="00684381">
      <w:pPr>
        <w:spacing w:after="0" w:line="240" w:lineRule="auto"/>
        <w:jc w:val="center"/>
        <w:rPr>
          <w:rFonts w:ascii="Times New Roman" w:hAnsi="Times New Roman" w:cs="Times New Roman"/>
          <w:b/>
          <w:bCs/>
        </w:rPr>
      </w:pPr>
      <w:r w:rsidRPr="0047180E">
        <w:rPr>
          <w:rFonts w:ascii="Times New Roman" w:hAnsi="Times New Roman" w:cs="Times New Roman"/>
          <w:b/>
          <w:bCs/>
        </w:rPr>
        <w:t>Estimación de ejercicio fiscal 202</w:t>
      </w:r>
      <w:r w:rsidR="0047180E">
        <w:rPr>
          <w:rFonts w:ascii="Times New Roman" w:hAnsi="Times New Roman" w:cs="Times New Roman"/>
          <w:b/>
          <w:bCs/>
        </w:rPr>
        <w:t>3</w:t>
      </w:r>
    </w:p>
    <w:p w14:paraId="626A1FAD" w14:textId="77777777" w:rsidR="00684381" w:rsidRPr="0047180E" w:rsidRDefault="00684381" w:rsidP="00684381">
      <w:pPr>
        <w:spacing w:after="0" w:line="240" w:lineRule="auto"/>
        <w:jc w:val="center"/>
        <w:rPr>
          <w:rFonts w:ascii="Times New Roman" w:hAnsi="Times New Roman" w:cs="Times New Roman"/>
          <w:sz w:val="18"/>
          <w:szCs w:val="18"/>
        </w:rPr>
      </w:pPr>
      <w:r w:rsidRPr="0047180E">
        <w:rPr>
          <w:rFonts w:ascii="Times New Roman" w:hAnsi="Times New Roman" w:cs="Times New Roman"/>
          <w:sz w:val="18"/>
          <w:szCs w:val="18"/>
        </w:rPr>
        <w:t>Millones de quetzales</w:t>
      </w:r>
    </w:p>
    <w:p w14:paraId="7C0E1E9F" w14:textId="2E016828" w:rsidR="005F1F2F" w:rsidRPr="0047180E" w:rsidRDefault="0047180E" w:rsidP="005F1F2F">
      <w:pPr>
        <w:spacing w:after="0" w:line="240" w:lineRule="auto"/>
        <w:jc w:val="both"/>
        <w:rPr>
          <w:rFonts w:ascii="Times New Roman" w:hAnsi="Times New Roman" w:cs="Times New Roman"/>
        </w:rPr>
      </w:pPr>
      <w:r w:rsidRPr="0047180E">
        <w:rPr>
          <w:noProof/>
          <w:lang w:eastAsia="es-GT"/>
        </w:rPr>
        <w:drawing>
          <wp:inline distT="0" distB="0" distL="0" distR="0" wp14:anchorId="07058FE4" wp14:editId="5DD9FA2A">
            <wp:extent cx="2581275" cy="1446662"/>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EA9A98" w14:textId="02246372" w:rsidR="00684381" w:rsidRPr="0047180E" w:rsidRDefault="005F1F2F" w:rsidP="00B15E0D">
      <w:pPr>
        <w:spacing w:line="240" w:lineRule="auto"/>
        <w:jc w:val="both"/>
        <w:rPr>
          <w:rFonts w:ascii="Times New Roman" w:hAnsi="Times New Roman" w:cs="Times New Roman"/>
          <w:b/>
          <w:bCs/>
          <w:sz w:val="20"/>
          <w:szCs w:val="20"/>
        </w:rPr>
      </w:pPr>
      <w:r w:rsidRPr="0047180E">
        <w:rPr>
          <w:rFonts w:ascii="Times New Roman" w:hAnsi="Times New Roman" w:cs="Times New Roman"/>
          <w:sz w:val="14"/>
          <w:szCs w:val="20"/>
        </w:rPr>
        <w:t>Fuente: Ministerio de Finanzas Públicas.</w:t>
      </w:r>
    </w:p>
    <w:p w14:paraId="3CBE9AF0" w14:textId="5FD16A5F" w:rsidR="00684381" w:rsidRPr="00A37A37" w:rsidRDefault="00684381" w:rsidP="00286DB5">
      <w:pPr>
        <w:spacing w:after="0" w:line="240" w:lineRule="auto"/>
        <w:jc w:val="both"/>
        <w:rPr>
          <w:rFonts w:ascii="Times New Roman" w:hAnsi="Times New Roman" w:cs="Times New Roman"/>
          <w:color w:val="FF0000"/>
        </w:rPr>
        <w:sectPr w:rsidR="00684381" w:rsidRPr="00A37A37" w:rsidSect="001C5B4A">
          <w:headerReference w:type="default" r:id="rId23"/>
          <w:footerReference w:type="default" r:id="rId24"/>
          <w:type w:val="continuous"/>
          <w:pgSz w:w="12240" w:h="15840"/>
          <w:pgMar w:top="1417" w:right="1701" w:bottom="1417" w:left="1701" w:header="708" w:footer="708" w:gutter="0"/>
          <w:cols w:num="2" w:space="708"/>
          <w:docGrid w:linePitch="360"/>
        </w:sectPr>
      </w:pPr>
    </w:p>
    <w:p w14:paraId="2F6BE948" w14:textId="3DCB858D" w:rsidR="00960BE9" w:rsidRPr="006A369B" w:rsidRDefault="007C138E"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6A369B">
        <w:rPr>
          <w:rFonts w:ascii="Times New Roman" w:hAnsi="Times New Roman" w:cs="Times New Roman"/>
          <w:b/>
          <w:color w:val="FFFFFF" w:themeColor="background1"/>
          <w:sz w:val="24"/>
          <w:szCs w:val="24"/>
        </w:rPr>
        <w:t xml:space="preserve">La ejecución </w:t>
      </w:r>
      <w:r w:rsidR="008B01A3" w:rsidRPr="006A369B">
        <w:rPr>
          <w:rFonts w:ascii="Times New Roman" w:hAnsi="Times New Roman" w:cs="Times New Roman"/>
          <w:b/>
          <w:color w:val="FFFFFF" w:themeColor="background1"/>
          <w:sz w:val="24"/>
          <w:szCs w:val="24"/>
        </w:rPr>
        <w:t xml:space="preserve">del gasto </w:t>
      </w:r>
      <w:r w:rsidRPr="006A369B">
        <w:rPr>
          <w:rFonts w:ascii="Times New Roman" w:hAnsi="Times New Roman" w:cs="Times New Roman"/>
          <w:b/>
          <w:color w:val="FFFFFF" w:themeColor="background1"/>
          <w:sz w:val="24"/>
          <w:szCs w:val="24"/>
        </w:rPr>
        <w:t xml:space="preserve">mantiene un alto crecimiento, aunque </w:t>
      </w:r>
      <w:r w:rsidR="006A369B" w:rsidRPr="006A369B">
        <w:rPr>
          <w:rFonts w:ascii="Times New Roman" w:hAnsi="Times New Roman" w:cs="Times New Roman"/>
          <w:b/>
          <w:color w:val="FFFFFF" w:themeColor="background1"/>
          <w:sz w:val="24"/>
          <w:szCs w:val="24"/>
        </w:rPr>
        <w:t>continúa la</w:t>
      </w:r>
      <w:r w:rsidRPr="006A369B">
        <w:rPr>
          <w:rFonts w:ascii="Times New Roman" w:hAnsi="Times New Roman" w:cs="Times New Roman"/>
          <w:b/>
          <w:color w:val="FFFFFF" w:themeColor="background1"/>
          <w:sz w:val="24"/>
          <w:szCs w:val="24"/>
        </w:rPr>
        <w:t xml:space="preserve"> </w:t>
      </w:r>
      <w:r w:rsidR="00EE6DAE" w:rsidRPr="006A369B">
        <w:rPr>
          <w:rFonts w:ascii="Times New Roman" w:hAnsi="Times New Roman" w:cs="Times New Roman"/>
          <w:b/>
          <w:color w:val="FFFFFF" w:themeColor="background1"/>
          <w:sz w:val="24"/>
          <w:szCs w:val="24"/>
        </w:rPr>
        <w:t>desaceleración</w:t>
      </w:r>
      <w:r w:rsidRPr="006A369B">
        <w:rPr>
          <w:rFonts w:ascii="Times New Roman" w:hAnsi="Times New Roman" w:cs="Times New Roman"/>
          <w:b/>
          <w:color w:val="FFFFFF" w:themeColor="background1"/>
          <w:sz w:val="24"/>
          <w:szCs w:val="24"/>
        </w:rPr>
        <w:t xml:space="preserve"> intermensual</w:t>
      </w:r>
    </w:p>
    <w:bookmarkEnd w:id="2"/>
    <w:p w14:paraId="59E13956" w14:textId="77777777" w:rsidR="00F23E3F" w:rsidRPr="00A37A37" w:rsidRDefault="00F23E3F" w:rsidP="00F23E3F">
      <w:pPr>
        <w:pStyle w:val="Sinespaciado"/>
        <w:rPr>
          <w:rFonts w:ascii="Times New Roman" w:hAnsi="Times New Roman" w:cs="Times New Roman"/>
          <w:color w:val="FF0000"/>
          <w:sz w:val="18"/>
          <w:szCs w:val="18"/>
          <w:lang w:val="es-MX"/>
        </w:rPr>
      </w:pPr>
    </w:p>
    <w:p w14:paraId="30616B57" w14:textId="77777777" w:rsidR="00F23E3F" w:rsidRPr="00A37A37" w:rsidRDefault="00F23E3F" w:rsidP="00F23E3F">
      <w:pPr>
        <w:spacing w:after="0"/>
        <w:rPr>
          <w:rFonts w:ascii="Times New Roman" w:hAnsi="Times New Roman" w:cs="Times New Roman"/>
          <w:color w:val="FF0000"/>
          <w:sz w:val="24"/>
        </w:rPr>
        <w:sectPr w:rsidR="00F23E3F" w:rsidRPr="00A37A37" w:rsidSect="00960BE9">
          <w:headerReference w:type="default" r:id="rId25"/>
          <w:footerReference w:type="default" r:id="rId26"/>
          <w:type w:val="continuous"/>
          <w:pgSz w:w="12240" w:h="15840"/>
          <w:pgMar w:top="1417" w:right="1701" w:bottom="1417" w:left="1701" w:header="708" w:footer="708" w:gutter="0"/>
          <w:cols w:space="708"/>
          <w:docGrid w:linePitch="360"/>
        </w:sectPr>
      </w:pPr>
    </w:p>
    <w:p w14:paraId="413FF151" w14:textId="50596000" w:rsidR="00684381" w:rsidRDefault="006A369B" w:rsidP="00A02F83">
      <w:pPr>
        <w:pStyle w:val="Sinespaciado"/>
        <w:jc w:val="both"/>
        <w:rPr>
          <w:rFonts w:ascii="Times New Roman" w:hAnsi="Times New Roman" w:cs="Times New Roman"/>
          <w:lang w:val="es-MX"/>
        </w:rPr>
      </w:pPr>
      <w:r>
        <w:rPr>
          <w:rFonts w:ascii="Times New Roman" w:hAnsi="Times New Roman" w:cs="Times New Roman"/>
          <w:lang w:val="es-MX"/>
        </w:rPr>
        <w:t xml:space="preserve">La ejecución del gasto público a julio,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64</w:t>
      </w:r>
      <w:r w:rsidRPr="00A229C9">
        <w:rPr>
          <w:rFonts w:ascii="Times New Roman" w:hAnsi="Times New Roman" w:cs="Times New Roman"/>
          <w:lang w:val="es-MX"/>
        </w:rPr>
        <w:t>,</w:t>
      </w:r>
      <w:r>
        <w:rPr>
          <w:rFonts w:ascii="Times New Roman" w:hAnsi="Times New Roman" w:cs="Times New Roman"/>
          <w:lang w:val="es-MX"/>
        </w:rPr>
        <w:t>222.1</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 xml:space="preserve">interanual de </w:t>
      </w:r>
      <w:r>
        <w:rPr>
          <w:rFonts w:ascii="Times New Roman" w:hAnsi="Times New Roman" w:cs="Times New Roman"/>
          <w:lang w:val="es-MX"/>
        </w:rPr>
        <w:t>15</w:t>
      </w:r>
      <w:r w:rsidRPr="00131732">
        <w:rPr>
          <w:rFonts w:ascii="Times New Roman" w:hAnsi="Times New Roman" w:cs="Times New Roman"/>
          <w:lang w:val="es-MX"/>
        </w:rPr>
        <w:t>.</w:t>
      </w:r>
      <w:r>
        <w:rPr>
          <w:rFonts w:ascii="Times New Roman" w:hAnsi="Times New Roman" w:cs="Times New Roman"/>
          <w:lang w:val="es-MX"/>
        </w:rPr>
        <w:t>1</w:t>
      </w:r>
      <w:r w:rsidRPr="00131732">
        <w:rPr>
          <w:rFonts w:ascii="Times New Roman" w:hAnsi="Times New Roman" w:cs="Times New Roman"/>
          <w:lang w:val="es-MX"/>
        </w:rPr>
        <w:t>% (equivalente a Q</w:t>
      </w:r>
      <w:r>
        <w:rPr>
          <w:rFonts w:ascii="Times New Roman" w:hAnsi="Times New Roman" w:cs="Times New Roman"/>
          <w:lang w:val="es-MX"/>
        </w:rPr>
        <w:t>8,425.0</w:t>
      </w:r>
      <w:r w:rsidRPr="00131732">
        <w:rPr>
          <w:rFonts w:ascii="Times New Roman" w:hAnsi="Times New Roman" w:cs="Times New Roman"/>
          <w:lang w:val="es-MX"/>
        </w:rPr>
        <w:t xml:space="preserve"> millones). </w:t>
      </w:r>
      <w:r>
        <w:rPr>
          <w:rFonts w:ascii="Times New Roman" w:hAnsi="Times New Roman" w:cs="Times New Roman"/>
          <w:lang w:val="es-MX"/>
        </w:rPr>
        <w:t>Por tercer mes consecutivo se muestra una desaceleración en la ejecución del gasto público respecto a abril, cuando se logró el mayor dinamismo en lo que va del año.</w:t>
      </w:r>
    </w:p>
    <w:p w14:paraId="5543B596" w14:textId="77777777" w:rsidR="00785591" w:rsidRPr="00A37A37" w:rsidRDefault="00785591" w:rsidP="00A02F83">
      <w:pPr>
        <w:pStyle w:val="Sinespaciado"/>
        <w:jc w:val="both"/>
        <w:rPr>
          <w:rFonts w:ascii="Times New Roman" w:hAnsi="Times New Roman" w:cs="Times New Roman"/>
          <w:color w:val="FF0000"/>
          <w:lang w:val="es-MX"/>
        </w:rPr>
      </w:pPr>
    </w:p>
    <w:p w14:paraId="0BE3EA64" w14:textId="77777777" w:rsidR="00C527E2" w:rsidRPr="006A369B" w:rsidRDefault="00C527E2" w:rsidP="00065849">
      <w:pPr>
        <w:pStyle w:val="Sinespaciado"/>
        <w:jc w:val="center"/>
        <w:rPr>
          <w:rFonts w:ascii="Times New Roman" w:hAnsi="Times New Roman" w:cs="Times New Roman"/>
          <w:b/>
          <w:sz w:val="24"/>
          <w:lang w:val="es-MX"/>
        </w:rPr>
      </w:pPr>
      <w:r w:rsidRPr="006A369B">
        <w:rPr>
          <w:rFonts w:ascii="Times New Roman" w:hAnsi="Times New Roman" w:cs="Times New Roman"/>
          <w:b/>
          <w:sz w:val="24"/>
          <w:lang w:val="es-MX"/>
        </w:rPr>
        <w:t>Ritmo de Ejecución del Gasto</w:t>
      </w:r>
    </w:p>
    <w:p w14:paraId="41A3BC72" w14:textId="00F3A1E8" w:rsidR="00C527E2" w:rsidRPr="006A369B" w:rsidRDefault="006A369B" w:rsidP="00C527E2">
      <w:pPr>
        <w:pStyle w:val="Sinespaciado"/>
        <w:jc w:val="center"/>
        <w:rPr>
          <w:rFonts w:ascii="Times New Roman" w:hAnsi="Times New Roman" w:cs="Times New Roman"/>
          <w:sz w:val="18"/>
          <w:szCs w:val="18"/>
          <w:lang w:val="es-MX"/>
        </w:rPr>
      </w:pPr>
      <w:r w:rsidRPr="006A369B">
        <w:rPr>
          <w:noProof/>
          <w:sz w:val="18"/>
          <w:szCs w:val="18"/>
          <w:lang w:eastAsia="es-GT"/>
        </w:rPr>
        <w:drawing>
          <wp:anchor distT="0" distB="0" distL="114300" distR="114300" simplePos="0" relativeHeight="252086272" behindDoc="0" locked="0" layoutInCell="1" allowOverlap="1" wp14:anchorId="57E18513" wp14:editId="03EC6D12">
            <wp:simplePos x="0" y="0"/>
            <wp:positionH relativeFrom="margin">
              <wp:posOffset>-1962</wp:posOffset>
            </wp:positionH>
            <wp:positionV relativeFrom="paragraph">
              <wp:posOffset>128640</wp:posOffset>
            </wp:positionV>
            <wp:extent cx="2581275" cy="1364776"/>
            <wp:effectExtent l="0" t="0" r="0" b="6985"/>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527E2" w:rsidRPr="006A369B">
        <w:rPr>
          <w:rFonts w:ascii="Times New Roman" w:hAnsi="Times New Roman" w:cs="Times New Roman"/>
          <w:sz w:val="18"/>
          <w:szCs w:val="18"/>
          <w:lang w:val="es-MX"/>
        </w:rPr>
        <w:t>Variación Interanual (%) *</w:t>
      </w:r>
    </w:p>
    <w:p w14:paraId="04C3BBC4" w14:textId="5E3A62F8" w:rsidR="007C138E" w:rsidRPr="006A369B" w:rsidRDefault="007C138E" w:rsidP="00C527E2">
      <w:pPr>
        <w:pStyle w:val="Sinespaciado"/>
        <w:jc w:val="center"/>
        <w:rPr>
          <w:rFonts w:ascii="Times New Roman" w:hAnsi="Times New Roman" w:cs="Times New Roman"/>
          <w:sz w:val="18"/>
          <w:szCs w:val="18"/>
          <w:lang w:val="es-MX"/>
        </w:rPr>
      </w:pPr>
    </w:p>
    <w:p w14:paraId="5111C642" w14:textId="6877BD71" w:rsidR="00E71CB9" w:rsidRPr="006A369B" w:rsidRDefault="00E71CB9" w:rsidP="00C527E2">
      <w:pPr>
        <w:pStyle w:val="Sinespaciado"/>
        <w:jc w:val="center"/>
        <w:rPr>
          <w:rFonts w:ascii="Times New Roman" w:hAnsi="Times New Roman" w:cs="Times New Roman"/>
          <w:lang w:val="es-MX"/>
        </w:rPr>
      </w:pPr>
    </w:p>
    <w:p w14:paraId="40E065A9" w14:textId="2D07E8C4" w:rsidR="008B01A3" w:rsidRPr="006A369B" w:rsidRDefault="008B01A3" w:rsidP="00C527E2">
      <w:pPr>
        <w:pStyle w:val="Sinespaciado"/>
        <w:jc w:val="center"/>
        <w:rPr>
          <w:rFonts w:ascii="Times New Roman" w:hAnsi="Times New Roman" w:cs="Times New Roman"/>
          <w:lang w:val="es-MX"/>
        </w:rPr>
      </w:pPr>
    </w:p>
    <w:p w14:paraId="41812B25" w14:textId="531C82F4" w:rsidR="00C527E2" w:rsidRPr="006A369B" w:rsidRDefault="00C527E2" w:rsidP="00C527E2">
      <w:pPr>
        <w:pStyle w:val="Sinespaciado"/>
        <w:jc w:val="center"/>
        <w:rPr>
          <w:rFonts w:ascii="Times New Roman" w:hAnsi="Times New Roman" w:cs="Times New Roman"/>
          <w:lang w:val="es-MX"/>
        </w:rPr>
      </w:pPr>
    </w:p>
    <w:p w14:paraId="1360FA18" w14:textId="1FCC00F7" w:rsidR="00C527E2" w:rsidRPr="006A369B" w:rsidRDefault="00C527E2" w:rsidP="00C527E2">
      <w:pPr>
        <w:pStyle w:val="Sinespaciado"/>
        <w:jc w:val="center"/>
        <w:rPr>
          <w:rFonts w:ascii="Times New Roman" w:hAnsi="Times New Roman" w:cs="Times New Roman"/>
          <w:lang w:val="es-MX"/>
        </w:rPr>
      </w:pPr>
    </w:p>
    <w:p w14:paraId="0A67216C" w14:textId="2E07286D" w:rsidR="00C527E2" w:rsidRPr="006A369B" w:rsidRDefault="00C527E2" w:rsidP="00C527E2">
      <w:pPr>
        <w:pStyle w:val="Sinespaciado"/>
        <w:jc w:val="center"/>
        <w:rPr>
          <w:rFonts w:ascii="Times New Roman" w:hAnsi="Times New Roman" w:cs="Times New Roman"/>
          <w:lang w:val="es-MX"/>
        </w:rPr>
      </w:pPr>
    </w:p>
    <w:p w14:paraId="3179D047" w14:textId="555CB81B" w:rsidR="00C527E2" w:rsidRPr="006A369B" w:rsidRDefault="00C527E2" w:rsidP="00C527E2">
      <w:pPr>
        <w:pStyle w:val="Sinespaciado"/>
        <w:jc w:val="center"/>
        <w:rPr>
          <w:rFonts w:ascii="Times New Roman" w:hAnsi="Times New Roman" w:cs="Times New Roman"/>
          <w:lang w:val="es-MX"/>
        </w:rPr>
      </w:pPr>
    </w:p>
    <w:p w14:paraId="610FD087" w14:textId="36BFBA63" w:rsidR="00065849" w:rsidRPr="006A369B" w:rsidRDefault="00065849" w:rsidP="00C527E2">
      <w:pPr>
        <w:pStyle w:val="Sinespaciado"/>
        <w:jc w:val="center"/>
        <w:rPr>
          <w:rFonts w:ascii="Times New Roman" w:hAnsi="Times New Roman" w:cs="Times New Roman"/>
          <w:lang w:val="es-MX"/>
        </w:rPr>
      </w:pPr>
    </w:p>
    <w:p w14:paraId="595B756A" w14:textId="77777777" w:rsidR="00D976DE" w:rsidRPr="006A369B" w:rsidRDefault="00D976DE" w:rsidP="00C527E2">
      <w:pPr>
        <w:pStyle w:val="Sinespaciado"/>
        <w:rPr>
          <w:rFonts w:ascii="Times New Roman" w:hAnsi="Times New Roman" w:cs="Times New Roman"/>
          <w:sz w:val="14"/>
          <w:szCs w:val="14"/>
          <w:lang w:val="es-MX"/>
        </w:rPr>
      </w:pPr>
    </w:p>
    <w:p w14:paraId="77D35849" w14:textId="24B446B7" w:rsidR="00C527E2" w:rsidRPr="006A369B" w:rsidRDefault="00C527E2" w:rsidP="00C527E2">
      <w:pPr>
        <w:pStyle w:val="Sinespaciado"/>
        <w:rPr>
          <w:rFonts w:ascii="Times New Roman" w:hAnsi="Times New Roman" w:cs="Times New Roman"/>
          <w:sz w:val="14"/>
          <w:szCs w:val="14"/>
          <w:lang w:val="es-MX"/>
        </w:rPr>
      </w:pPr>
      <w:r w:rsidRPr="006A369B">
        <w:rPr>
          <w:rFonts w:ascii="Times New Roman" w:hAnsi="Times New Roman" w:cs="Times New Roman"/>
          <w:sz w:val="14"/>
          <w:szCs w:val="14"/>
          <w:lang w:val="es-MX"/>
        </w:rPr>
        <w:t>*No incluye amortizaciones de la deuda pública</w:t>
      </w:r>
    </w:p>
    <w:p w14:paraId="01EED505" w14:textId="77777777" w:rsidR="00C527E2" w:rsidRPr="006A369B" w:rsidRDefault="00C527E2" w:rsidP="00C527E2">
      <w:pPr>
        <w:spacing w:after="0" w:line="240" w:lineRule="auto"/>
        <w:jc w:val="both"/>
        <w:rPr>
          <w:rFonts w:ascii="Times New Roman" w:hAnsi="Times New Roman" w:cs="Times New Roman"/>
          <w:sz w:val="14"/>
          <w:szCs w:val="14"/>
        </w:rPr>
      </w:pPr>
      <w:r w:rsidRPr="006A369B">
        <w:rPr>
          <w:rFonts w:ascii="Times New Roman" w:hAnsi="Times New Roman" w:cs="Times New Roman"/>
          <w:sz w:val="14"/>
          <w:szCs w:val="14"/>
        </w:rPr>
        <w:t>Fuente: Dirección de Análisis y Política Fiscal.</w:t>
      </w:r>
    </w:p>
    <w:p w14:paraId="2E6DB859" w14:textId="77777777" w:rsidR="00785591" w:rsidRDefault="00785591" w:rsidP="006A369B">
      <w:pPr>
        <w:pStyle w:val="Sinespaciado"/>
        <w:jc w:val="both"/>
        <w:rPr>
          <w:rFonts w:ascii="Times New Roman" w:hAnsi="Times New Roman" w:cs="Times New Roman"/>
          <w:color w:val="000000" w:themeColor="text1"/>
          <w:lang w:val="es-MX"/>
        </w:rPr>
      </w:pPr>
    </w:p>
    <w:p w14:paraId="4C373EA7" w14:textId="219A103D" w:rsidR="006A369B" w:rsidRDefault="006A369B" w:rsidP="006A369B">
      <w:pPr>
        <w:pStyle w:val="Sinespaciado"/>
        <w:jc w:val="both"/>
        <w:rPr>
          <w:rFonts w:ascii="Times New Roman" w:hAnsi="Times New Roman" w:cs="Times New Roman"/>
          <w:color w:val="000000" w:themeColor="text1"/>
        </w:rPr>
      </w:pPr>
      <w:r w:rsidRPr="00F40CE3">
        <w:rPr>
          <w:rFonts w:ascii="Times New Roman" w:hAnsi="Times New Roman" w:cs="Times New Roman"/>
          <w:color w:val="000000" w:themeColor="text1"/>
          <w:lang w:val="es-MX"/>
        </w:rPr>
        <w:t>A nivel de rubro de cuenta económica, el mayor crecimiento se reporta</w:t>
      </w:r>
      <w:r>
        <w:rPr>
          <w:rFonts w:ascii="Times New Roman" w:hAnsi="Times New Roman" w:cs="Times New Roman"/>
          <w:color w:val="000000" w:themeColor="text1"/>
          <w:lang w:val="es-MX"/>
        </w:rPr>
        <w:t xml:space="preserve"> en los bienes y </w:t>
      </w:r>
      <w:r w:rsidRPr="00E950D4">
        <w:rPr>
          <w:rFonts w:ascii="Times New Roman" w:hAnsi="Times New Roman" w:cs="Times New Roman"/>
          <w:color w:val="000000" w:themeColor="text1"/>
          <w:lang w:val="es-MX"/>
        </w:rPr>
        <w:t xml:space="preserve">servicios. Estos reportan un crecimiento interanual de </w:t>
      </w:r>
      <w:r>
        <w:rPr>
          <w:rFonts w:ascii="Times New Roman" w:hAnsi="Times New Roman" w:cs="Times New Roman"/>
          <w:color w:val="000000" w:themeColor="text1"/>
          <w:lang w:val="es-MX"/>
        </w:rPr>
        <w:t>47.1</w:t>
      </w:r>
      <w:r w:rsidRPr="00E950D4">
        <w:rPr>
          <w:rFonts w:ascii="Times New Roman" w:hAnsi="Times New Roman" w:cs="Times New Roman"/>
          <w:color w:val="000000" w:themeColor="text1"/>
          <w:lang w:val="es-MX"/>
        </w:rPr>
        <w:t>%, equivalente a Q</w:t>
      </w:r>
      <w:r>
        <w:rPr>
          <w:rFonts w:ascii="Times New Roman" w:hAnsi="Times New Roman" w:cs="Times New Roman"/>
          <w:color w:val="000000" w:themeColor="text1"/>
          <w:lang w:val="es-MX"/>
        </w:rPr>
        <w:t>3</w:t>
      </w:r>
      <w:r w:rsidRPr="00E950D4">
        <w:rPr>
          <w:rFonts w:ascii="Times New Roman" w:hAnsi="Times New Roman" w:cs="Times New Roman"/>
          <w:color w:val="000000" w:themeColor="text1"/>
          <w:lang w:val="es-MX"/>
        </w:rPr>
        <w:t>,</w:t>
      </w:r>
      <w:r>
        <w:rPr>
          <w:rFonts w:ascii="Times New Roman" w:hAnsi="Times New Roman" w:cs="Times New Roman"/>
          <w:color w:val="000000" w:themeColor="text1"/>
          <w:lang w:val="es-MX"/>
        </w:rPr>
        <w:t>112.2</w:t>
      </w:r>
      <w:r w:rsidRPr="00E950D4">
        <w:rPr>
          <w:rFonts w:ascii="Times New Roman" w:hAnsi="Times New Roman" w:cs="Times New Roman"/>
          <w:color w:val="000000" w:themeColor="text1"/>
          <w:lang w:val="es-MX"/>
        </w:rPr>
        <w:t xml:space="preserve"> millones, </w:t>
      </w:r>
      <w:r w:rsidRPr="00E950D4">
        <w:rPr>
          <w:rFonts w:ascii="Times New Roman" w:hAnsi="Times New Roman" w:cs="Times New Roman"/>
          <w:color w:val="000000" w:themeColor="text1"/>
        </w:rPr>
        <w:t>explicado en su mayoría por el gasto que está realizando el Ministerio de Comunicaciones, Infraestructura y Vivienda, con una ejecución mayor en Q2,</w:t>
      </w:r>
      <w:r>
        <w:rPr>
          <w:rFonts w:ascii="Times New Roman" w:hAnsi="Times New Roman" w:cs="Times New Roman"/>
          <w:color w:val="000000" w:themeColor="text1"/>
        </w:rPr>
        <w:t>150</w:t>
      </w:r>
      <w:r w:rsidRPr="00E950D4">
        <w:rPr>
          <w:rFonts w:ascii="Times New Roman" w:hAnsi="Times New Roman" w:cs="Times New Roman"/>
          <w:color w:val="000000" w:themeColor="text1"/>
        </w:rPr>
        <w:t>.</w:t>
      </w:r>
      <w:r>
        <w:rPr>
          <w:rFonts w:ascii="Times New Roman" w:hAnsi="Times New Roman" w:cs="Times New Roman"/>
          <w:color w:val="000000" w:themeColor="text1"/>
        </w:rPr>
        <w:t>4</w:t>
      </w:r>
      <w:r w:rsidRPr="00E950D4">
        <w:rPr>
          <w:rFonts w:ascii="Times New Roman" w:hAnsi="Times New Roman" w:cs="Times New Roman"/>
          <w:color w:val="000000" w:themeColor="text1"/>
        </w:rPr>
        <w:t xml:space="preserve"> millones por el mantenimiento y reparación de bienes que son de uso común como carreteras y puentes, en accesorios y repuestos en general y los servicios de ingeniería, arquitectura y supervisión de obras.</w:t>
      </w:r>
      <w:r>
        <w:rPr>
          <w:rFonts w:ascii="Times New Roman" w:hAnsi="Times New Roman" w:cs="Times New Roman"/>
          <w:color w:val="000000" w:themeColor="text1"/>
        </w:rPr>
        <w:t xml:space="preserve"> </w:t>
      </w:r>
    </w:p>
    <w:p w14:paraId="7E6B6E72" w14:textId="77777777" w:rsidR="006A369B" w:rsidRDefault="006A369B" w:rsidP="006A369B">
      <w:pPr>
        <w:pStyle w:val="Sinespaciado"/>
        <w:jc w:val="both"/>
        <w:rPr>
          <w:rFonts w:ascii="Times New Roman" w:hAnsi="Times New Roman" w:cs="Times New Roman"/>
          <w:color w:val="000000" w:themeColor="text1"/>
        </w:rPr>
      </w:pPr>
    </w:p>
    <w:p w14:paraId="7A790D30" w14:textId="77777777" w:rsidR="006A369B" w:rsidRDefault="006A369B" w:rsidP="006A369B">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En lo que respecta al Ministerio de Gobernación, también reporta dinamismo en los bienes y servicios, siendo su ejecución mayor en Q421.7 millones, respecto al año anterior, por materiales y equipos diversos y alimentos para personas.</w:t>
      </w:r>
    </w:p>
    <w:p w14:paraId="10FBDB5C" w14:textId="77777777" w:rsidR="006A369B" w:rsidRDefault="006A369B" w:rsidP="006A369B">
      <w:pPr>
        <w:pStyle w:val="Sinespaciado"/>
        <w:jc w:val="both"/>
        <w:rPr>
          <w:rFonts w:ascii="Times New Roman" w:hAnsi="Times New Roman" w:cs="Times New Roman"/>
          <w:color w:val="000000" w:themeColor="text1"/>
        </w:rPr>
      </w:pPr>
    </w:p>
    <w:p w14:paraId="5D0B7154" w14:textId="77777777" w:rsidR="006A369B" w:rsidRDefault="006A369B" w:rsidP="006A369B">
      <w:pPr>
        <w:spacing w:after="0" w:line="240" w:lineRule="auto"/>
        <w:jc w:val="both"/>
        <w:rPr>
          <w:rFonts w:ascii="Times New Roman" w:hAnsi="Times New Roman" w:cs="Times New Roman"/>
          <w:color w:val="000000" w:themeColor="text1"/>
        </w:rPr>
      </w:pPr>
      <w:r w:rsidRPr="006C434C">
        <w:rPr>
          <w:rFonts w:ascii="Times New Roman" w:hAnsi="Times New Roman" w:cs="Times New Roman"/>
          <w:color w:val="000000" w:themeColor="text1"/>
        </w:rPr>
        <w:t>Respecto a las remuneraciones, estas reportan un aumento de Q</w:t>
      </w:r>
      <w:r>
        <w:rPr>
          <w:rFonts w:ascii="Times New Roman" w:hAnsi="Times New Roman" w:cs="Times New Roman"/>
          <w:color w:val="000000" w:themeColor="text1"/>
        </w:rPr>
        <w:t>1,518.8</w:t>
      </w:r>
      <w:r w:rsidRPr="006C434C">
        <w:rPr>
          <w:rFonts w:ascii="Times New Roman" w:hAnsi="Times New Roman" w:cs="Times New Roman"/>
          <w:color w:val="000000" w:themeColor="text1"/>
        </w:rPr>
        <w:t xml:space="preserve"> millones (crecimiento interanual de 8.</w:t>
      </w:r>
      <w:r>
        <w:rPr>
          <w:rFonts w:ascii="Times New Roman" w:hAnsi="Times New Roman" w:cs="Times New Roman"/>
          <w:color w:val="000000" w:themeColor="text1"/>
        </w:rPr>
        <w:t>8</w:t>
      </w:r>
      <w:r w:rsidRPr="006C434C">
        <w:rPr>
          <w:rFonts w:ascii="Times New Roman" w:hAnsi="Times New Roman" w:cs="Times New Roman"/>
          <w:color w:val="000000" w:themeColor="text1"/>
        </w:rPr>
        <w:t xml:space="preserve">%). Siendo la entidad con mayor aumento el Ministerio de Educación, principalmente por los derechos escalafonarios, el personal permanente y el personal supernumerario. </w:t>
      </w:r>
      <w:r>
        <w:rPr>
          <w:rFonts w:ascii="Times New Roman" w:hAnsi="Times New Roman" w:cs="Times New Roman"/>
          <w:color w:val="000000" w:themeColor="text1"/>
        </w:rPr>
        <w:t xml:space="preserve">Asimismo, le sigue el </w:t>
      </w:r>
      <w:r w:rsidRPr="0022058A">
        <w:rPr>
          <w:rFonts w:ascii="Times New Roman" w:hAnsi="Times New Roman" w:cs="Times New Roman"/>
          <w:color w:val="000000" w:themeColor="text1"/>
        </w:rPr>
        <w:t>Ministerio de Salud Pública y Asistencia Social</w:t>
      </w:r>
      <w:r>
        <w:rPr>
          <w:rFonts w:ascii="Times New Roman" w:hAnsi="Times New Roman" w:cs="Times New Roman"/>
          <w:color w:val="000000" w:themeColor="text1"/>
        </w:rPr>
        <w:t>, el cual</w:t>
      </w:r>
      <w:r w:rsidRPr="0022058A">
        <w:rPr>
          <w:rFonts w:ascii="Times New Roman" w:hAnsi="Times New Roman" w:cs="Times New Roman"/>
          <w:color w:val="000000" w:themeColor="text1"/>
        </w:rPr>
        <w:t xml:space="preserve"> reporta un aumento de Q</w:t>
      </w:r>
      <w:r>
        <w:rPr>
          <w:rFonts w:ascii="Times New Roman" w:hAnsi="Times New Roman" w:cs="Times New Roman"/>
          <w:color w:val="000000" w:themeColor="text1"/>
        </w:rPr>
        <w:t>2</w:t>
      </w:r>
      <w:r w:rsidRPr="0022058A">
        <w:rPr>
          <w:rFonts w:ascii="Times New Roman" w:hAnsi="Times New Roman" w:cs="Times New Roman"/>
          <w:color w:val="000000" w:themeColor="text1"/>
        </w:rPr>
        <w:t>8</w:t>
      </w:r>
      <w:r>
        <w:rPr>
          <w:rFonts w:ascii="Times New Roman" w:hAnsi="Times New Roman" w:cs="Times New Roman"/>
          <w:color w:val="000000" w:themeColor="text1"/>
        </w:rPr>
        <w:t>9.7</w:t>
      </w:r>
      <w:r w:rsidRPr="0022058A">
        <w:rPr>
          <w:rFonts w:ascii="Times New Roman" w:hAnsi="Times New Roman" w:cs="Times New Roman"/>
          <w:color w:val="000000" w:themeColor="text1"/>
        </w:rPr>
        <w:t xml:space="preserve"> millones, explicado por los complementos específicos al personal permanente.</w:t>
      </w:r>
      <w:r>
        <w:rPr>
          <w:rFonts w:ascii="Times New Roman" w:hAnsi="Times New Roman" w:cs="Times New Roman"/>
          <w:color w:val="000000" w:themeColor="text1"/>
        </w:rPr>
        <w:t xml:space="preserve"> Por último, las Obligaciones del Estado reporta un aumento de Q232.4 millones, explicado en buena medida por el aporte patronal al IGSS el cual tiene un aumento de Q219.5 millones.</w:t>
      </w:r>
    </w:p>
    <w:p w14:paraId="4E2355A8" w14:textId="77777777" w:rsidR="006A369B" w:rsidRDefault="006A369B" w:rsidP="006A369B">
      <w:pPr>
        <w:spacing w:after="0" w:line="240" w:lineRule="auto"/>
        <w:jc w:val="both"/>
        <w:rPr>
          <w:rFonts w:ascii="Times New Roman" w:hAnsi="Times New Roman" w:cs="Times New Roman"/>
          <w:color w:val="000000" w:themeColor="text1"/>
        </w:rPr>
      </w:pPr>
    </w:p>
    <w:p w14:paraId="3C99FCB3" w14:textId="77777777" w:rsidR="006A369B" w:rsidRDefault="006A369B" w:rsidP="006A369B">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reporta un aumento de Q1,084.7 millones, equivalente a un crecimiento interanual de 15.3%. Esto se explica por las transferencias que se realizan hacia el sector público, las cuales aumentan Q1,159.3 millones, principalmente por las transferencias a las municipalidades, las cuales aumentaron en Q732.6 millones, mientras que las transferencias que reciben los Consejos de Desarrollo Urbano y Rural reportan un aumento de Q504.7 millones. </w:t>
      </w:r>
    </w:p>
    <w:p w14:paraId="25B33B92" w14:textId="77777777" w:rsidR="006A369B" w:rsidRDefault="006A369B" w:rsidP="006A369B">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lastRenderedPageBreak/>
        <w:t>Por su parte, la inversión real directa, reporta un aumento de Q</w:t>
      </w:r>
      <w:r>
        <w:rPr>
          <w:rFonts w:ascii="Times New Roman" w:hAnsi="Times New Roman" w:cs="Times New Roman"/>
          <w:color w:val="000000" w:themeColor="text1"/>
        </w:rPr>
        <w:t>1,042.1</w:t>
      </w:r>
      <w:r w:rsidRPr="003E02A1">
        <w:rPr>
          <w:rFonts w:ascii="Times New Roman" w:hAnsi="Times New Roman" w:cs="Times New Roman"/>
          <w:color w:val="000000" w:themeColor="text1"/>
        </w:rPr>
        <w:t xml:space="preserve"> millones, con un crecimiento</w:t>
      </w:r>
      <w:r>
        <w:rPr>
          <w:rFonts w:ascii="Times New Roman" w:hAnsi="Times New Roman" w:cs="Times New Roman"/>
          <w:color w:val="000000" w:themeColor="text1"/>
        </w:rPr>
        <w:t xml:space="preserve"> interanual</w:t>
      </w:r>
      <w:r w:rsidRPr="003E02A1">
        <w:rPr>
          <w:rFonts w:ascii="Times New Roman" w:hAnsi="Times New Roman" w:cs="Times New Roman"/>
          <w:color w:val="000000" w:themeColor="text1"/>
        </w:rPr>
        <w:t xml:space="preserve"> de </w:t>
      </w:r>
      <w:r>
        <w:rPr>
          <w:rFonts w:ascii="Times New Roman" w:hAnsi="Times New Roman" w:cs="Times New Roman"/>
          <w:color w:val="000000" w:themeColor="text1"/>
        </w:rPr>
        <w:t>53.1</w:t>
      </w:r>
      <w:r w:rsidRPr="003E02A1">
        <w:rPr>
          <w:rFonts w:ascii="Times New Roman" w:hAnsi="Times New Roman" w:cs="Times New Roman"/>
          <w:color w:val="000000" w:themeColor="text1"/>
        </w:rPr>
        <w:t xml:space="preserve">%, asociado a mayores intervenciones en la formación </w:t>
      </w:r>
      <w:r>
        <w:rPr>
          <w:rFonts w:ascii="Times New Roman" w:hAnsi="Times New Roman" w:cs="Times New Roman"/>
          <w:color w:val="000000" w:themeColor="text1"/>
        </w:rPr>
        <w:t xml:space="preserve">bruta </w:t>
      </w:r>
      <w:r w:rsidRPr="003E02A1">
        <w:rPr>
          <w:rFonts w:ascii="Times New Roman" w:hAnsi="Times New Roman" w:cs="Times New Roman"/>
          <w:color w:val="000000" w:themeColor="text1"/>
        </w:rPr>
        <w:t xml:space="preserve">de capital fijo por parte del Ministerio de Comunicaciones, Infraestructura y Vivienda </w:t>
      </w:r>
      <w:r>
        <w:rPr>
          <w:rFonts w:ascii="Times New Roman" w:hAnsi="Times New Roman" w:cs="Times New Roman"/>
          <w:color w:val="000000" w:themeColor="text1"/>
        </w:rPr>
        <w:t xml:space="preserve">que muestra mayor ejecución </w:t>
      </w:r>
      <w:r w:rsidRPr="003E02A1">
        <w:rPr>
          <w:rFonts w:ascii="Times New Roman" w:hAnsi="Times New Roman" w:cs="Times New Roman"/>
          <w:color w:val="000000" w:themeColor="text1"/>
        </w:rPr>
        <w:t>en el programa de desarrollo de la infraestructura vial</w:t>
      </w:r>
      <w:r>
        <w:rPr>
          <w:rFonts w:ascii="Times New Roman" w:hAnsi="Times New Roman" w:cs="Times New Roman"/>
          <w:color w:val="000000" w:themeColor="text1"/>
        </w:rPr>
        <w:t xml:space="preserve"> y la construcción de obra pública.</w:t>
      </w:r>
    </w:p>
    <w:p w14:paraId="68011366" w14:textId="77777777" w:rsidR="006A369B" w:rsidRPr="003E02A1" w:rsidRDefault="006A369B" w:rsidP="006A369B">
      <w:pPr>
        <w:spacing w:after="0" w:line="240" w:lineRule="auto"/>
        <w:jc w:val="both"/>
        <w:rPr>
          <w:rFonts w:ascii="Times New Roman" w:hAnsi="Times New Roman" w:cs="Times New Roman"/>
          <w:color w:val="000000" w:themeColor="text1"/>
        </w:rPr>
      </w:pPr>
    </w:p>
    <w:p w14:paraId="0C521536" w14:textId="77777777" w:rsidR="006A369B" w:rsidRDefault="006A369B" w:rsidP="006A369B">
      <w:pPr>
        <w:spacing w:after="0" w:line="240" w:lineRule="auto"/>
        <w:jc w:val="both"/>
        <w:rPr>
          <w:rFonts w:ascii="Times New Roman" w:hAnsi="Times New Roman" w:cs="Times New Roman"/>
          <w:color w:val="000000" w:themeColor="text1"/>
        </w:rPr>
      </w:pPr>
      <w:r w:rsidRPr="003E02A1">
        <w:rPr>
          <w:rFonts w:ascii="Times New Roman" w:hAnsi="Times New Roman" w:cs="Times New Roman"/>
          <w:color w:val="000000" w:themeColor="text1"/>
        </w:rPr>
        <w:t xml:space="preserve">Es precisamente el Ministerio de Comunicaciones, la entidad que reporta el </w:t>
      </w:r>
      <w:r>
        <w:rPr>
          <w:rFonts w:ascii="Times New Roman" w:hAnsi="Times New Roman" w:cs="Times New Roman"/>
          <w:color w:val="000000" w:themeColor="text1"/>
        </w:rPr>
        <w:t xml:space="preserve">mayor </w:t>
      </w:r>
      <w:r w:rsidRPr="003E02A1">
        <w:rPr>
          <w:rFonts w:ascii="Times New Roman" w:hAnsi="Times New Roman" w:cs="Times New Roman"/>
          <w:color w:val="000000" w:themeColor="text1"/>
        </w:rPr>
        <w:t>crecimiento interanual</w:t>
      </w:r>
      <w:r>
        <w:rPr>
          <w:rFonts w:ascii="Times New Roman" w:hAnsi="Times New Roman" w:cs="Times New Roman"/>
          <w:color w:val="000000" w:themeColor="text1"/>
        </w:rPr>
        <w:t xml:space="preserve"> con 118.9%</w:t>
      </w:r>
      <w:r w:rsidRPr="003E02A1">
        <w:rPr>
          <w:rFonts w:ascii="Times New Roman" w:hAnsi="Times New Roman" w:cs="Times New Roman"/>
          <w:color w:val="000000" w:themeColor="text1"/>
        </w:rPr>
        <w:t xml:space="preserve"> y el </w:t>
      </w:r>
      <w:r>
        <w:rPr>
          <w:rFonts w:ascii="Times New Roman" w:hAnsi="Times New Roman" w:cs="Times New Roman"/>
          <w:color w:val="000000" w:themeColor="text1"/>
        </w:rPr>
        <w:t xml:space="preserve">segundo con </w:t>
      </w:r>
      <w:r w:rsidRPr="003E02A1">
        <w:rPr>
          <w:rFonts w:ascii="Times New Roman" w:hAnsi="Times New Roman" w:cs="Times New Roman"/>
          <w:color w:val="000000" w:themeColor="text1"/>
        </w:rPr>
        <w:t>mayor grado de ejecución</w:t>
      </w:r>
      <w:r>
        <w:rPr>
          <w:rFonts w:ascii="Times New Roman" w:hAnsi="Times New Roman" w:cs="Times New Roman"/>
          <w:color w:val="000000" w:themeColor="text1"/>
        </w:rPr>
        <w:t xml:space="preserve"> con 74.3%</w:t>
      </w:r>
      <w:r w:rsidRPr="003E02A1">
        <w:rPr>
          <w:rFonts w:ascii="Times New Roman" w:hAnsi="Times New Roman" w:cs="Times New Roman"/>
          <w:color w:val="000000" w:themeColor="text1"/>
        </w:rPr>
        <w:t>.</w:t>
      </w:r>
    </w:p>
    <w:p w14:paraId="44047456" w14:textId="77777777" w:rsidR="006A369B" w:rsidRDefault="006A369B" w:rsidP="006A369B">
      <w:pPr>
        <w:spacing w:after="0" w:line="240" w:lineRule="auto"/>
        <w:jc w:val="both"/>
        <w:rPr>
          <w:rFonts w:ascii="Times New Roman" w:hAnsi="Times New Roman" w:cs="Times New Roman"/>
          <w:color w:val="000000" w:themeColor="text1"/>
        </w:rPr>
      </w:pPr>
    </w:p>
    <w:p w14:paraId="187BC400" w14:textId="5C6892FB" w:rsidR="006A369B" w:rsidRDefault="006A369B" w:rsidP="006A369B">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w:t>
      </w:r>
      <w:r w:rsidR="005606B1">
        <w:rPr>
          <w:rFonts w:ascii="Times New Roman" w:hAnsi="Times New Roman" w:cs="Times New Roman"/>
          <w:color w:val="000000" w:themeColor="text1"/>
          <w:lang w:val="es-MX"/>
        </w:rPr>
        <w:t>su parte</w:t>
      </w:r>
      <w:r>
        <w:rPr>
          <w:rFonts w:ascii="Times New Roman" w:hAnsi="Times New Roman" w:cs="Times New Roman"/>
          <w:color w:val="000000" w:themeColor="text1"/>
          <w:lang w:val="es-MX"/>
        </w:rPr>
        <w:t xml:space="preserv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xml:space="preserve"> </w:t>
      </w:r>
      <w:r w:rsidRPr="00A229C9">
        <w:rPr>
          <w:rFonts w:ascii="Times New Roman" w:hAnsi="Times New Roman" w:cs="Times New Roman"/>
          <w:color w:val="000000" w:themeColor="text1"/>
          <w:lang w:val="es-MX"/>
        </w:rPr>
        <w:t xml:space="preserve">reportan un crecimiento de </w:t>
      </w:r>
      <w:r>
        <w:rPr>
          <w:rFonts w:ascii="Times New Roman" w:hAnsi="Times New Roman" w:cs="Times New Roman"/>
          <w:color w:val="000000" w:themeColor="text1"/>
          <w:lang w:val="es-MX"/>
        </w:rPr>
        <w:t>3.0</w:t>
      </w:r>
      <w:r w:rsidRPr="00A229C9">
        <w:rPr>
          <w:rFonts w:ascii="Times New Roman" w:hAnsi="Times New Roman" w:cs="Times New Roman"/>
          <w:color w:val="000000" w:themeColor="text1"/>
          <w:lang w:val="es-MX"/>
        </w:rPr>
        <w:t>% con respecto a</w:t>
      </w:r>
      <w:r>
        <w:rPr>
          <w:rFonts w:ascii="Times New Roman" w:hAnsi="Times New Roman" w:cs="Times New Roman"/>
          <w:color w:val="000000" w:themeColor="text1"/>
          <w:lang w:val="es-MX"/>
        </w:rPr>
        <w:t xml:space="preserve"> julio</w:t>
      </w:r>
      <w:r w:rsidRPr="00A229C9">
        <w:rPr>
          <w:rFonts w:ascii="Times New Roman" w:hAnsi="Times New Roman" w:cs="Times New Roman"/>
          <w:color w:val="000000" w:themeColor="text1"/>
          <w:lang w:val="es-MX"/>
        </w:rPr>
        <w:t xml:space="preserve"> del año previo, equivalente a Q</w:t>
      </w:r>
      <w:r>
        <w:rPr>
          <w:rFonts w:ascii="Times New Roman" w:hAnsi="Times New Roman" w:cs="Times New Roman"/>
          <w:color w:val="000000" w:themeColor="text1"/>
          <w:lang w:val="es-MX"/>
        </w:rPr>
        <w:t>382.4</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xml:space="preserve">. En este apartado es importante separar las transferencias al sector privado y público, derivado que, en el caso del primero, las transferencias se contraen en 17.4% (Q987.0 millones), derivado que </w:t>
      </w:r>
      <w:r w:rsidRPr="006C5709">
        <w:rPr>
          <w:rFonts w:ascii="Times New Roman" w:hAnsi="Times New Roman" w:cs="Times New Roman"/>
          <w:color w:val="000000" w:themeColor="text1"/>
          <w:lang w:val="es-MX"/>
        </w:rPr>
        <w:t xml:space="preserve">el año anterior, las transferencias corrientes al sector privado era el rubro con mayor crecimiento, </w:t>
      </w:r>
      <w:r>
        <w:rPr>
          <w:rFonts w:ascii="Times New Roman" w:hAnsi="Times New Roman" w:cs="Times New Roman"/>
          <w:color w:val="000000" w:themeColor="text1"/>
          <w:lang w:val="es-MX"/>
        </w:rPr>
        <w:t>por</w:t>
      </w:r>
      <w:r w:rsidRPr="006C5709">
        <w:rPr>
          <w:rFonts w:ascii="Times New Roman" w:hAnsi="Times New Roman" w:cs="Times New Roman"/>
          <w:color w:val="000000" w:themeColor="text1"/>
          <w:lang w:val="es-MX"/>
        </w:rPr>
        <w:t xml:space="preserve"> los apoyos temporales que se encontraban vigentes a las gasolinas y </w:t>
      </w:r>
      <w:r>
        <w:rPr>
          <w:rFonts w:ascii="Times New Roman" w:hAnsi="Times New Roman" w:cs="Times New Roman"/>
          <w:color w:val="000000" w:themeColor="text1"/>
          <w:lang w:val="es-MX"/>
        </w:rPr>
        <w:t>diésel</w:t>
      </w:r>
      <w:r w:rsidRPr="006C5709">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 xml:space="preserve">Mientras que, en 2023, únicamente estuvo vigente hasta </w:t>
      </w:r>
      <w:r w:rsidRPr="006C5709">
        <w:rPr>
          <w:rFonts w:ascii="Times New Roman" w:hAnsi="Times New Roman" w:cs="Times New Roman"/>
          <w:color w:val="000000" w:themeColor="text1"/>
          <w:lang w:val="es-MX"/>
        </w:rPr>
        <w:t>junio el subsidio al gas propano.</w:t>
      </w:r>
    </w:p>
    <w:p w14:paraId="5F1AE18E" w14:textId="77777777" w:rsidR="006A369B" w:rsidRDefault="006A369B" w:rsidP="006A369B">
      <w:pPr>
        <w:pStyle w:val="Sinespaciado"/>
        <w:jc w:val="both"/>
        <w:rPr>
          <w:rFonts w:ascii="Times New Roman" w:hAnsi="Times New Roman" w:cs="Times New Roman"/>
          <w:color w:val="000000" w:themeColor="text1"/>
          <w:lang w:val="es-MX"/>
        </w:rPr>
      </w:pPr>
    </w:p>
    <w:p w14:paraId="254BEF36" w14:textId="2E6101C5" w:rsidR="006A369B" w:rsidRDefault="005606B1" w:rsidP="006A369B">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L</w:t>
      </w:r>
      <w:r w:rsidR="006A369B">
        <w:rPr>
          <w:rFonts w:ascii="Times New Roman" w:hAnsi="Times New Roman" w:cs="Times New Roman"/>
          <w:color w:val="000000" w:themeColor="text1"/>
          <w:lang w:val="es-MX"/>
        </w:rPr>
        <w:t xml:space="preserve">as </w:t>
      </w:r>
      <w:r w:rsidR="006A369B" w:rsidRPr="008C231C">
        <w:rPr>
          <w:rFonts w:ascii="Times New Roman" w:hAnsi="Times New Roman" w:cs="Times New Roman"/>
          <w:color w:val="000000" w:themeColor="text1"/>
          <w:lang w:val="es-MX"/>
        </w:rPr>
        <w:t>transferencias al sector p</w:t>
      </w:r>
      <w:r w:rsidR="006A369B">
        <w:rPr>
          <w:rFonts w:ascii="Times New Roman" w:hAnsi="Times New Roman" w:cs="Times New Roman"/>
          <w:color w:val="000000" w:themeColor="text1"/>
          <w:lang w:val="es-MX"/>
        </w:rPr>
        <w:t>úblico</w:t>
      </w:r>
      <w:r w:rsidR="006A369B" w:rsidRPr="008C231C">
        <w:rPr>
          <w:rFonts w:ascii="Times New Roman" w:hAnsi="Times New Roman" w:cs="Times New Roman"/>
          <w:color w:val="000000" w:themeColor="text1"/>
          <w:lang w:val="es-MX"/>
        </w:rPr>
        <w:t>,</w:t>
      </w:r>
      <w:r w:rsidR="006A369B">
        <w:rPr>
          <w:rFonts w:ascii="Times New Roman" w:hAnsi="Times New Roman" w:cs="Times New Roman"/>
          <w:color w:val="000000" w:themeColor="text1"/>
          <w:lang w:val="es-MX"/>
        </w:rPr>
        <w:t xml:space="preserve"> se encuentran creciendo en 19.1% (Q1,338.2 millones), explicadas por la transferencia al Tribunal Supremo Electoral (TSE), la cual es mayor en Q424.4 millones a la reportada en 2022, es relevante indicar que las elecciones generales de Guatemala se llevaron a cabo el pasado 25 de junio y la segunda vuelta está programada para el 20 de agosto, siendo importante las transferencias que recibe el TSE dado que contribuyen a consolidar el proceso democrático. </w:t>
      </w:r>
    </w:p>
    <w:p w14:paraId="6D24B04C" w14:textId="77777777" w:rsidR="006A369B" w:rsidRDefault="006A369B" w:rsidP="006A369B">
      <w:pPr>
        <w:pStyle w:val="Sinespaciado"/>
        <w:jc w:val="both"/>
        <w:rPr>
          <w:rFonts w:ascii="Times New Roman" w:hAnsi="Times New Roman" w:cs="Times New Roman"/>
          <w:color w:val="000000" w:themeColor="text1"/>
          <w:lang w:val="es-MX"/>
        </w:rPr>
      </w:pPr>
    </w:p>
    <w:p w14:paraId="338C50F7" w14:textId="77777777" w:rsidR="006A369B" w:rsidRDefault="006A369B" w:rsidP="006A369B">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Asimismo, resalta la transferencia que recibe el Organismo Judicial con un aumento de Q293.3 millones, la Universidad de San Carlos, con un aumento de Q279.5 millones, seguidamente se encuentra el aporte del Instituto Nacional de Electrificación (INDE) </w:t>
      </w:r>
      <w:r>
        <w:rPr>
          <w:rFonts w:ascii="Times New Roman" w:hAnsi="Times New Roman" w:cs="Times New Roman"/>
          <w:color w:val="000000" w:themeColor="text1"/>
          <w:lang w:val="es-MX"/>
        </w:rPr>
        <w:t xml:space="preserve">con un aumento interanual de Q113.0 millones. </w:t>
      </w:r>
    </w:p>
    <w:p w14:paraId="290AE93A" w14:textId="77777777" w:rsidR="006A369B" w:rsidRDefault="006A369B" w:rsidP="006A369B">
      <w:pPr>
        <w:pStyle w:val="Sinespaciado"/>
        <w:jc w:val="both"/>
        <w:rPr>
          <w:rFonts w:ascii="Times New Roman" w:hAnsi="Times New Roman" w:cs="Times New Roman"/>
          <w:color w:val="000000" w:themeColor="text1"/>
          <w:lang w:val="es-MX"/>
        </w:rPr>
      </w:pPr>
    </w:p>
    <w:p w14:paraId="1381C75A" w14:textId="22A21337" w:rsidR="00741401" w:rsidRPr="00A37A37" w:rsidRDefault="006A369B" w:rsidP="006A369B">
      <w:pPr>
        <w:pStyle w:val="Sinespaciado"/>
        <w:jc w:val="both"/>
        <w:rPr>
          <w:rFonts w:ascii="Times New Roman" w:hAnsi="Times New Roman" w:cs="Times New Roman"/>
          <w:color w:val="FF0000"/>
        </w:rPr>
      </w:pPr>
      <w:r>
        <w:rPr>
          <w:rFonts w:ascii="Times New Roman" w:hAnsi="Times New Roman" w:cs="Times New Roman"/>
          <w:color w:val="000000" w:themeColor="text1"/>
          <w:lang w:val="es-MX"/>
        </w:rPr>
        <w:t xml:space="preserve">Vale la pena resaltar el aporte del Instituto Nacional de Electrificación (INDE), en el cual además del aporte recurrente, se incluye la ampliación </w:t>
      </w:r>
      <w:r w:rsidRPr="006B7E1E">
        <w:rPr>
          <w:rFonts w:ascii="Times New Roman" w:hAnsi="Times New Roman" w:cs="Times New Roman"/>
          <w:color w:val="000000" w:themeColor="text1"/>
          <w:lang w:val="es-MX"/>
        </w:rPr>
        <w:t xml:space="preserve">del aporte social de la tarifa eléctrica, aprobado por medio del Decreto número 1-2023 del Congreso de la República “Ley de Fortalecimiento al Aporte Social de la Tarifa Eléctrica” </w:t>
      </w:r>
      <w:r>
        <w:rPr>
          <w:rFonts w:ascii="Times New Roman" w:hAnsi="Times New Roman" w:cs="Times New Roman"/>
          <w:color w:val="000000" w:themeColor="text1"/>
          <w:lang w:val="es-MX"/>
        </w:rPr>
        <w:t>la cual es financiada con recursos de caja y cuya vigencia ya concluyó.</w:t>
      </w:r>
    </w:p>
    <w:p w14:paraId="04989056" w14:textId="77777777" w:rsidR="00307D44" w:rsidRPr="00A37A37" w:rsidRDefault="00307D44" w:rsidP="00C527E2">
      <w:pPr>
        <w:pStyle w:val="Sinespaciado"/>
        <w:jc w:val="both"/>
        <w:rPr>
          <w:rFonts w:ascii="Times New Roman" w:hAnsi="Times New Roman" w:cs="Times New Roman"/>
          <w:color w:val="FF0000"/>
        </w:rPr>
      </w:pPr>
    </w:p>
    <w:p w14:paraId="7CAF40B8" w14:textId="77777777" w:rsidR="00C527E2" w:rsidRPr="006A369B" w:rsidRDefault="00C527E2" w:rsidP="00C527E2">
      <w:pPr>
        <w:pStyle w:val="Sinespaciado"/>
        <w:jc w:val="center"/>
        <w:rPr>
          <w:szCs w:val="20"/>
        </w:rPr>
      </w:pPr>
      <w:r w:rsidRPr="006A369B">
        <w:rPr>
          <w:rFonts w:ascii="Times New Roman" w:hAnsi="Times New Roman" w:cs="Times New Roman"/>
          <w:b/>
          <w:szCs w:val="20"/>
          <w:lang w:val="es-MX"/>
        </w:rPr>
        <w:t>Ejecución por rubro de Cuenta Económica</w:t>
      </w:r>
    </w:p>
    <w:p w14:paraId="6A52D870" w14:textId="0E8B305D" w:rsidR="00C527E2" w:rsidRPr="006A369B" w:rsidRDefault="00C527E2" w:rsidP="00C527E2">
      <w:pPr>
        <w:pStyle w:val="Sinespaciado"/>
        <w:jc w:val="center"/>
        <w:rPr>
          <w:rFonts w:ascii="Times New Roman" w:hAnsi="Times New Roman" w:cs="Times New Roman"/>
          <w:sz w:val="18"/>
          <w:szCs w:val="14"/>
          <w:lang w:val="es-MX"/>
        </w:rPr>
      </w:pPr>
      <w:r w:rsidRPr="006A369B">
        <w:rPr>
          <w:rFonts w:ascii="Times New Roman" w:hAnsi="Times New Roman" w:cs="Times New Roman"/>
          <w:sz w:val="18"/>
          <w:szCs w:val="14"/>
          <w:lang w:val="es-MX"/>
        </w:rPr>
        <w:t>202</w:t>
      </w:r>
      <w:r w:rsidR="008B01A3" w:rsidRPr="006A369B">
        <w:rPr>
          <w:rFonts w:ascii="Times New Roman" w:hAnsi="Times New Roman" w:cs="Times New Roman"/>
          <w:sz w:val="18"/>
          <w:szCs w:val="14"/>
          <w:lang w:val="es-MX"/>
        </w:rPr>
        <w:t>3</w:t>
      </w:r>
      <w:r w:rsidRPr="006A369B">
        <w:rPr>
          <w:rFonts w:ascii="Times New Roman" w:hAnsi="Times New Roman" w:cs="Times New Roman"/>
          <w:sz w:val="18"/>
          <w:szCs w:val="14"/>
          <w:lang w:val="es-MX"/>
        </w:rPr>
        <w:t xml:space="preserve"> – 202</w:t>
      </w:r>
      <w:r w:rsidR="008B01A3" w:rsidRPr="006A369B">
        <w:rPr>
          <w:rFonts w:ascii="Times New Roman" w:hAnsi="Times New Roman" w:cs="Times New Roman"/>
          <w:sz w:val="18"/>
          <w:szCs w:val="14"/>
          <w:lang w:val="es-MX"/>
        </w:rPr>
        <w:t>2</w:t>
      </w:r>
    </w:p>
    <w:p w14:paraId="07463BCC" w14:textId="136E74D3" w:rsidR="00C527E2" w:rsidRPr="006A369B" w:rsidRDefault="00785591" w:rsidP="00C527E2">
      <w:pPr>
        <w:pStyle w:val="Sinespaciado"/>
        <w:jc w:val="center"/>
        <w:rPr>
          <w:rFonts w:ascii="Times New Roman" w:hAnsi="Times New Roman" w:cs="Times New Roman"/>
          <w:sz w:val="20"/>
          <w:szCs w:val="20"/>
          <w:lang w:val="es-MX"/>
        </w:rPr>
      </w:pPr>
      <w:r w:rsidRPr="006A369B">
        <w:rPr>
          <w:noProof/>
          <w:lang w:eastAsia="es-GT"/>
        </w:rPr>
        <w:drawing>
          <wp:anchor distT="0" distB="0" distL="114300" distR="114300" simplePos="0" relativeHeight="252088320" behindDoc="0" locked="0" layoutInCell="1" allowOverlap="1" wp14:anchorId="272D8483" wp14:editId="31AA6593">
            <wp:simplePos x="0" y="0"/>
            <wp:positionH relativeFrom="column">
              <wp:posOffset>-3014</wp:posOffset>
            </wp:positionH>
            <wp:positionV relativeFrom="paragraph">
              <wp:posOffset>131530</wp:posOffset>
            </wp:positionV>
            <wp:extent cx="2394585" cy="2088108"/>
            <wp:effectExtent l="0" t="0" r="5715" b="762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C527E2" w:rsidRPr="006A369B">
        <w:rPr>
          <w:rFonts w:ascii="Times New Roman" w:hAnsi="Times New Roman" w:cs="Times New Roman"/>
          <w:sz w:val="18"/>
          <w:szCs w:val="18"/>
          <w:lang w:val="es-MX"/>
        </w:rPr>
        <w:t>Variación absoluta interanual</w:t>
      </w:r>
    </w:p>
    <w:p w14:paraId="387F3A79" w14:textId="0766F26A" w:rsidR="008B01A3" w:rsidRPr="006A369B" w:rsidRDefault="008B01A3" w:rsidP="00C527E2">
      <w:pPr>
        <w:pStyle w:val="Sinespaciado"/>
        <w:jc w:val="center"/>
        <w:rPr>
          <w:rFonts w:ascii="Times New Roman" w:hAnsi="Times New Roman" w:cs="Times New Roman"/>
          <w:lang w:val="es-MX"/>
        </w:rPr>
      </w:pPr>
    </w:p>
    <w:p w14:paraId="2C70C54C" w14:textId="77777777" w:rsidR="00C527E2" w:rsidRPr="006A369B" w:rsidRDefault="00C527E2" w:rsidP="00C527E2">
      <w:pPr>
        <w:pStyle w:val="Sinespaciado"/>
        <w:jc w:val="center"/>
        <w:rPr>
          <w:rFonts w:ascii="Times New Roman" w:hAnsi="Times New Roman" w:cs="Times New Roman"/>
          <w:lang w:val="es-MX"/>
        </w:rPr>
      </w:pPr>
    </w:p>
    <w:p w14:paraId="7D4DB352" w14:textId="77777777" w:rsidR="00C527E2" w:rsidRPr="006A369B" w:rsidRDefault="00C527E2" w:rsidP="00C527E2">
      <w:pPr>
        <w:pStyle w:val="Sinespaciado"/>
        <w:jc w:val="center"/>
        <w:rPr>
          <w:rFonts w:ascii="Times New Roman" w:hAnsi="Times New Roman" w:cs="Times New Roman"/>
          <w:lang w:val="es-MX"/>
        </w:rPr>
      </w:pPr>
    </w:p>
    <w:p w14:paraId="28E55244" w14:textId="77777777" w:rsidR="00C527E2" w:rsidRPr="006A369B" w:rsidRDefault="00C527E2" w:rsidP="00C527E2">
      <w:pPr>
        <w:pStyle w:val="Sinespaciado"/>
        <w:jc w:val="center"/>
        <w:rPr>
          <w:rFonts w:ascii="Times New Roman" w:hAnsi="Times New Roman" w:cs="Times New Roman"/>
          <w:lang w:val="es-MX"/>
        </w:rPr>
      </w:pPr>
    </w:p>
    <w:p w14:paraId="0091CFC0" w14:textId="77777777" w:rsidR="00C527E2" w:rsidRPr="006A369B" w:rsidRDefault="00C527E2" w:rsidP="00C527E2">
      <w:pPr>
        <w:pStyle w:val="Sinespaciado"/>
        <w:jc w:val="center"/>
        <w:rPr>
          <w:rFonts w:ascii="Times New Roman" w:hAnsi="Times New Roman" w:cs="Times New Roman"/>
          <w:lang w:val="es-MX"/>
        </w:rPr>
      </w:pPr>
    </w:p>
    <w:p w14:paraId="74DBB271" w14:textId="77777777" w:rsidR="00C527E2" w:rsidRPr="006A369B" w:rsidRDefault="00C527E2" w:rsidP="00C527E2">
      <w:pPr>
        <w:pStyle w:val="Sinespaciado"/>
        <w:jc w:val="center"/>
        <w:rPr>
          <w:rFonts w:ascii="Times New Roman" w:hAnsi="Times New Roman" w:cs="Times New Roman"/>
          <w:lang w:val="es-MX"/>
        </w:rPr>
      </w:pPr>
    </w:p>
    <w:p w14:paraId="2B599403" w14:textId="3F3B7323" w:rsidR="00C527E2" w:rsidRPr="006A369B" w:rsidRDefault="00C527E2" w:rsidP="00C527E2">
      <w:pPr>
        <w:pStyle w:val="Sinespaciado"/>
        <w:jc w:val="center"/>
        <w:rPr>
          <w:rFonts w:ascii="Times New Roman" w:hAnsi="Times New Roman" w:cs="Times New Roman"/>
          <w:lang w:val="es-MX"/>
        </w:rPr>
      </w:pPr>
    </w:p>
    <w:p w14:paraId="66BCC9D3" w14:textId="141BAEA6" w:rsidR="00065849" w:rsidRPr="006A369B" w:rsidRDefault="00065849" w:rsidP="00C527E2">
      <w:pPr>
        <w:pStyle w:val="Sinespaciado"/>
        <w:jc w:val="center"/>
        <w:rPr>
          <w:rFonts w:ascii="Times New Roman" w:hAnsi="Times New Roman" w:cs="Times New Roman"/>
          <w:lang w:val="es-MX"/>
        </w:rPr>
      </w:pPr>
    </w:p>
    <w:p w14:paraId="0507DA7E" w14:textId="1955D27E" w:rsidR="00065849" w:rsidRPr="006A369B" w:rsidRDefault="00065849" w:rsidP="00C527E2">
      <w:pPr>
        <w:pStyle w:val="Sinespaciado"/>
        <w:jc w:val="center"/>
        <w:rPr>
          <w:rFonts w:ascii="Times New Roman" w:hAnsi="Times New Roman" w:cs="Times New Roman"/>
          <w:lang w:val="es-MX"/>
        </w:rPr>
      </w:pPr>
    </w:p>
    <w:p w14:paraId="0C78E087" w14:textId="144A49BA" w:rsidR="00065849" w:rsidRPr="006A369B" w:rsidRDefault="00065849" w:rsidP="00C527E2">
      <w:pPr>
        <w:pStyle w:val="Sinespaciado"/>
        <w:jc w:val="center"/>
        <w:rPr>
          <w:rFonts w:ascii="Times New Roman" w:hAnsi="Times New Roman" w:cs="Times New Roman"/>
          <w:lang w:val="es-MX"/>
        </w:rPr>
      </w:pPr>
    </w:p>
    <w:p w14:paraId="00FB1E45" w14:textId="77777777" w:rsidR="00065849" w:rsidRPr="006A369B" w:rsidRDefault="00065849" w:rsidP="00C527E2">
      <w:pPr>
        <w:pStyle w:val="Sinespaciado"/>
        <w:jc w:val="center"/>
        <w:rPr>
          <w:rFonts w:ascii="Times New Roman" w:hAnsi="Times New Roman" w:cs="Times New Roman"/>
          <w:lang w:val="es-MX"/>
        </w:rPr>
      </w:pPr>
    </w:p>
    <w:p w14:paraId="268FF8F4" w14:textId="1A44AD26" w:rsidR="00C527E2" w:rsidRPr="006A369B" w:rsidRDefault="00C527E2" w:rsidP="00C527E2">
      <w:pPr>
        <w:pStyle w:val="Sinespaciado"/>
        <w:jc w:val="center"/>
        <w:rPr>
          <w:rFonts w:ascii="Times New Roman" w:hAnsi="Times New Roman" w:cs="Times New Roman"/>
          <w:lang w:val="es-MX"/>
        </w:rPr>
      </w:pPr>
    </w:p>
    <w:p w14:paraId="1031EF31" w14:textId="77777777" w:rsidR="00785591" w:rsidRPr="006A369B" w:rsidRDefault="00785591" w:rsidP="005606B1">
      <w:pPr>
        <w:pStyle w:val="Sinespaciado"/>
        <w:rPr>
          <w:rFonts w:ascii="Times New Roman" w:hAnsi="Times New Roman" w:cs="Times New Roman"/>
          <w:lang w:val="es-MX"/>
        </w:rPr>
      </w:pPr>
    </w:p>
    <w:p w14:paraId="4C4F4A19" w14:textId="15F6DF77" w:rsidR="00C527E2" w:rsidRPr="006A369B" w:rsidRDefault="00C527E2" w:rsidP="00C527E2">
      <w:pPr>
        <w:spacing w:after="0" w:line="240" w:lineRule="auto"/>
        <w:jc w:val="both"/>
        <w:rPr>
          <w:rFonts w:ascii="Times New Roman" w:hAnsi="Times New Roman" w:cs="Times New Roman"/>
          <w:sz w:val="14"/>
          <w:szCs w:val="20"/>
        </w:rPr>
      </w:pPr>
      <w:r w:rsidRPr="006A369B">
        <w:rPr>
          <w:rFonts w:ascii="Times New Roman" w:hAnsi="Times New Roman" w:cs="Times New Roman"/>
          <w:sz w:val="14"/>
          <w:szCs w:val="20"/>
        </w:rPr>
        <w:t>Fuente: Dirección de Análisis y Política Fiscal.</w:t>
      </w:r>
    </w:p>
    <w:p w14:paraId="6F5E245D" w14:textId="77777777" w:rsidR="00D74AAA" w:rsidRPr="00A37A37" w:rsidRDefault="00D74AAA" w:rsidP="00C527E2">
      <w:pPr>
        <w:pStyle w:val="Sinespaciado"/>
        <w:jc w:val="both"/>
        <w:rPr>
          <w:rFonts w:ascii="Times New Roman" w:hAnsi="Times New Roman" w:cs="Times New Roman"/>
          <w:color w:val="FF0000"/>
          <w:sz w:val="18"/>
          <w:szCs w:val="18"/>
        </w:rPr>
      </w:pPr>
    </w:p>
    <w:p w14:paraId="13006682" w14:textId="222C5C7E" w:rsidR="00C527E2" w:rsidRPr="006A369B" w:rsidRDefault="006A369B" w:rsidP="00C527E2">
      <w:pPr>
        <w:pStyle w:val="Sinespaciado"/>
        <w:jc w:val="both"/>
        <w:rPr>
          <w:rFonts w:ascii="Times New Roman" w:hAnsi="Times New Roman" w:cs="Times New Roman"/>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65</w:t>
      </w:r>
      <w:r w:rsidRPr="00164005">
        <w:rPr>
          <w:rFonts w:ascii="Times New Roman" w:hAnsi="Times New Roman" w:cs="Times New Roman"/>
          <w:lang w:val="es-MX"/>
        </w:rPr>
        <w:t>,</w:t>
      </w:r>
      <w:r>
        <w:rPr>
          <w:rFonts w:ascii="Times New Roman" w:hAnsi="Times New Roman" w:cs="Times New Roman"/>
          <w:lang w:val="es-MX"/>
        </w:rPr>
        <w:t>830</w:t>
      </w:r>
      <w:r w:rsidRPr="00164005">
        <w:rPr>
          <w:rFonts w:ascii="Times New Roman" w:hAnsi="Times New Roman" w:cs="Times New Roman"/>
          <w:lang w:val="es-MX"/>
        </w:rPr>
        <w:t>.</w:t>
      </w:r>
      <w:r>
        <w:rPr>
          <w:rFonts w:ascii="Times New Roman" w:hAnsi="Times New Roman" w:cs="Times New Roman"/>
          <w:lang w:val="es-MX"/>
        </w:rPr>
        <w:t>0</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55.7</w:t>
      </w:r>
      <w:r w:rsidRPr="00164005">
        <w:rPr>
          <w:rFonts w:ascii="Times New Roman" w:hAnsi="Times New Roman" w:cs="Times New Roman"/>
          <w:lang w:val="es-MX"/>
        </w:rPr>
        <w:t>% y una variación interanual de 1</w:t>
      </w:r>
      <w:r>
        <w:rPr>
          <w:rFonts w:ascii="Times New Roman" w:hAnsi="Times New Roman" w:cs="Times New Roman"/>
          <w:lang w:val="es-MX"/>
        </w:rPr>
        <w:t>4</w:t>
      </w:r>
      <w:r w:rsidRPr="00164005">
        <w:rPr>
          <w:rFonts w:ascii="Times New Roman" w:hAnsi="Times New Roman" w:cs="Times New Roman"/>
          <w:lang w:val="es-MX"/>
        </w:rPr>
        <w:t>.</w:t>
      </w:r>
      <w:r>
        <w:rPr>
          <w:rFonts w:ascii="Times New Roman" w:hAnsi="Times New Roman" w:cs="Times New Roman"/>
          <w:lang w:val="es-MX"/>
        </w:rPr>
        <w:t>6</w:t>
      </w:r>
      <w:r w:rsidRPr="00164005">
        <w:rPr>
          <w:rFonts w:ascii="Times New Roman" w:hAnsi="Times New Roman" w:cs="Times New Roman"/>
          <w:lang w:val="es-MX"/>
        </w:rPr>
        <w:t>%. Este grado de ejecución se encuentra</w:t>
      </w:r>
      <w:r>
        <w:rPr>
          <w:rFonts w:ascii="Times New Roman" w:hAnsi="Times New Roman" w:cs="Times New Roman"/>
          <w:lang w:val="es-MX"/>
        </w:rPr>
        <w:t xml:space="preserve"> </w:t>
      </w:r>
      <w:r w:rsidRPr="00164005">
        <w:rPr>
          <w:rFonts w:ascii="Times New Roman" w:hAnsi="Times New Roman" w:cs="Times New Roman"/>
          <w:lang w:val="es-MX"/>
        </w:rPr>
        <w:t>por arriba de la ejecución promedio de los últimos 5 años (</w:t>
      </w:r>
      <w:r>
        <w:rPr>
          <w:rFonts w:ascii="Times New Roman" w:hAnsi="Times New Roman" w:cs="Times New Roman"/>
          <w:lang w:val="es-MX"/>
        </w:rPr>
        <w:t>49</w:t>
      </w:r>
      <w:r w:rsidRPr="00164005">
        <w:rPr>
          <w:rFonts w:ascii="Times New Roman" w:hAnsi="Times New Roman" w:cs="Times New Roman"/>
          <w:lang w:val="es-MX"/>
        </w:rPr>
        <w:t>.</w:t>
      </w:r>
      <w:r>
        <w:rPr>
          <w:rFonts w:ascii="Times New Roman" w:hAnsi="Times New Roman" w:cs="Times New Roman"/>
          <w:lang w:val="es-MX"/>
        </w:rPr>
        <w:t>3</w:t>
      </w:r>
      <w:r w:rsidRPr="00164005">
        <w:rPr>
          <w:rFonts w:ascii="Times New Roman" w:hAnsi="Times New Roman" w:cs="Times New Roman"/>
          <w:lang w:val="es-MX"/>
        </w:rPr>
        <w:t>%)</w:t>
      </w:r>
      <w:r>
        <w:rPr>
          <w:rFonts w:ascii="Times New Roman" w:hAnsi="Times New Roman" w:cs="Times New Roman"/>
          <w:lang w:val="es-MX"/>
        </w:rPr>
        <w:t xml:space="preserve"> y es superior a </w:t>
      </w:r>
      <w:r w:rsidRPr="006A369B">
        <w:rPr>
          <w:rFonts w:ascii="Times New Roman" w:hAnsi="Times New Roman" w:cs="Times New Roman"/>
          <w:lang w:val="es-MX"/>
        </w:rPr>
        <w:t>cada uno de los años anteriores.</w:t>
      </w:r>
      <w:r w:rsidR="00307D44" w:rsidRPr="006A369B">
        <w:rPr>
          <w:rFonts w:ascii="Times New Roman" w:hAnsi="Times New Roman" w:cs="Times New Roman"/>
          <w:lang w:val="es-MX"/>
        </w:rPr>
        <w:t xml:space="preserve"> </w:t>
      </w:r>
    </w:p>
    <w:p w14:paraId="3B5C0C02" w14:textId="7532AF1B" w:rsidR="007C138E" w:rsidRDefault="007C138E" w:rsidP="00C527E2">
      <w:pPr>
        <w:pStyle w:val="Sinespaciado"/>
        <w:jc w:val="both"/>
        <w:rPr>
          <w:rFonts w:ascii="Times New Roman" w:hAnsi="Times New Roman" w:cs="Times New Roman"/>
          <w:sz w:val="18"/>
          <w:szCs w:val="18"/>
          <w:lang w:val="es-MX"/>
        </w:rPr>
      </w:pPr>
    </w:p>
    <w:p w14:paraId="35D44041" w14:textId="77777777" w:rsidR="006D32F5" w:rsidRPr="006A369B" w:rsidRDefault="006D32F5" w:rsidP="006D32F5">
      <w:pPr>
        <w:spacing w:after="0" w:line="240" w:lineRule="auto"/>
        <w:jc w:val="center"/>
        <w:rPr>
          <w:rFonts w:ascii="Times New Roman" w:hAnsi="Times New Roman" w:cs="Times New Roman"/>
          <w:b/>
          <w:lang w:val="es-MX"/>
        </w:rPr>
      </w:pPr>
      <w:r w:rsidRPr="006A369B">
        <w:rPr>
          <w:rFonts w:ascii="Times New Roman" w:hAnsi="Times New Roman" w:cs="Times New Roman"/>
          <w:b/>
          <w:lang w:val="es-MX"/>
        </w:rPr>
        <w:t>Grado de Ejecución de los últimos 5 años</w:t>
      </w:r>
    </w:p>
    <w:p w14:paraId="0773ED54" w14:textId="3D041369" w:rsidR="00307D44" w:rsidRPr="006A369B" w:rsidRDefault="00307D44" w:rsidP="006D32F5">
      <w:pPr>
        <w:pStyle w:val="Sinespaciado"/>
        <w:jc w:val="center"/>
        <w:rPr>
          <w:rFonts w:ascii="Times New Roman" w:hAnsi="Times New Roman" w:cs="Times New Roman"/>
          <w:sz w:val="18"/>
          <w:szCs w:val="18"/>
          <w:lang w:val="es-MX"/>
        </w:rPr>
      </w:pPr>
      <w:r w:rsidRPr="006A369B">
        <w:rPr>
          <w:rFonts w:ascii="Times New Roman" w:hAnsi="Times New Roman" w:cs="Times New Roman"/>
          <w:sz w:val="18"/>
          <w:szCs w:val="18"/>
          <w:lang w:val="es-MX"/>
        </w:rPr>
        <w:t xml:space="preserve">Al </w:t>
      </w:r>
      <w:r w:rsidR="00741401" w:rsidRPr="006A369B">
        <w:rPr>
          <w:rFonts w:ascii="Times New Roman" w:hAnsi="Times New Roman" w:cs="Times New Roman"/>
          <w:sz w:val="18"/>
          <w:szCs w:val="18"/>
          <w:lang w:val="es-MX"/>
        </w:rPr>
        <w:t>3</w:t>
      </w:r>
      <w:r w:rsidR="006A369B" w:rsidRPr="006A369B">
        <w:rPr>
          <w:rFonts w:ascii="Times New Roman" w:hAnsi="Times New Roman" w:cs="Times New Roman"/>
          <w:sz w:val="18"/>
          <w:szCs w:val="18"/>
          <w:lang w:val="es-MX"/>
        </w:rPr>
        <w:t>1</w:t>
      </w:r>
      <w:r w:rsidRPr="006A369B">
        <w:rPr>
          <w:rFonts w:ascii="Times New Roman" w:hAnsi="Times New Roman" w:cs="Times New Roman"/>
          <w:sz w:val="18"/>
          <w:szCs w:val="18"/>
          <w:lang w:val="es-MX"/>
        </w:rPr>
        <w:t xml:space="preserve"> de </w:t>
      </w:r>
      <w:r w:rsidR="007C138E" w:rsidRPr="006A369B">
        <w:rPr>
          <w:rFonts w:ascii="Times New Roman" w:hAnsi="Times New Roman" w:cs="Times New Roman"/>
          <w:sz w:val="18"/>
          <w:szCs w:val="18"/>
          <w:lang w:val="es-MX"/>
        </w:rPr>
        <w:t>ju</w:t>
      </w:r>
      <w:r w:rsidR="006A369B" w:rsidRPr="006A369B">
        <w:rPr>
          <w:rFonts w:ascii="Times New Roman" w:hAnsi="Times New Roman" w:cs="Times New Roman"/>
          <w:sz w:val="18"/>
          <w:szCs w:val="18"/>
          <w:lang w:val="es-MX"/>
        </w:rPr>
        <w:t>l</w:t>
      </w:r>
      <w:r w:rsidR="007C138E" w:rsidRPr="006A369B">
        <w:rPr>
          <w:rFonts w:ascii="Times New Roman" w:hAnsi="Times New Roman" w:cs="Times New Roman"/>
          <w:sz w:val="18"/>
          <w:szCs w:val="18"/>
          <w:lang w:val="es-MX"/>
        </w:rPr>
        <w:t>i</w:t>
      </w:r>
      <w:r w:rsidR="00065849" w:rsidRPr="006A369B">
        <w:rPr>
          <w:rFonts w:ascii="Times New Roman" w:hAnsi="Times New Roman" w:cs="Times New Roman"/>
          <w:sz w:val="18"/>
          <w:szCs w:val="18"/>
          <w:lang w:val="es-MX"/>
        </w:rPr>
        <w:t>o</w:t>
      </w:r>
      <w:r w:rsidRPr="006A369B">
        <w:rPr>
          <w:rFonts w:ascii="Times New Roman" w:hAnsi="Times New Roman" w:cs="Times New Roman"/>
          <w:sz w:val="18"/>
          <w:szCs w:val="18"/>
          <w:lang w:val="es-MX"/>
        </w:rPr>
        <w:t xml:space="preserve"> de cada año </w:t>
      </w:r>
    </w:p>
    <w:p w14:paraId="00FCED56" w14:textId="264C8F40" w:rsidR="006D32F5" w:rsidRPr="006A369B" w:rsidRDefault="00785591" w:rsidP="006D32F5">
      <w:pPr>
        <w:pStyle w:val="Sinespaciado"/>
        <w:jc w:val="center"/>
        <w:rPr>
          <w:rFonts w:ascii="Times New Roman" w:hAnsi="Times New Roman" w:cs="Times New Roman"/>
          <w:sz w:val="18"/>
          <w:szCs w:val="18"/>
          <w:lang w:val="es-MX"/>
        </w:rPr>
      </w:pPr>
      <w:r w:rsidRPr="006A369B">
        <w:rPr>
          <w:noProof/>
          <w:lang w:eastAsia="es-GT"/>
        </w:rPr>
        <w:drawing>
          <wp:anchor distT="0" distB="0" distL="114300" distR="114300" simplePos="0" relativeHeight="252090368" behindDoc="0" locked="0" layoutInCell="1" allowOverlap="1" wp14:anchorId="716CD8DD" wp14:editId="1A147C35">
            <wp:simplePos x="0" y="0"/>
            <wp:positionH relativeFrom="column">
              <wp:posOffset>-3014</wp:posOffset>
            </wp:positionH>
            <wp:positionV relativeFrom="paragraph">
              <wp:posOffset>125483</wp:posOffset>
            </wp:positionV>
            <wp:extent cx="2570480" cy="1426191"/>
            <wp:effectExtent l="0" t="0" r="1270" b="3175"/>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D32F5" w:rsidRPr="006A369B">
        <w:rPr>
          <w:rFonts w:ascii="Times New Roman" w:hAnsi="Times New Roman" w:cs="Times New Roman"/>
          <w:sz w:val="18"/>
          <w:szCs w:val="18"/>
          <w:lang w:val="es-MX"/>
        </w:rPr>
        <w:t>Cifras en porcentajes</w:t>
      </w:r>
    </w:p>
    <w:p w14:paraId="091947AB" w14:textId="568E25CA" w:rsidR="007C138E" w:rsidRPr="006A369B" w:rsidRDefault="007C138E" w:rsidP="006D32F5">
      <w:pPr>
        <w:pStyle w:val="Sinespaciado"/>
        <w:jc w:val="center"/>
        <w:rPr>
          <w:rFonts w:ascii="Times New Roman" w:hAnsi="Times New Roman" w:cs="Times New Roman"/>
          <w:sz w:val="18"/>
          <w:szCs w:val="18"/>
          <w:lang w:val="es-MX"/>
        </w:rPr>
      </w:pPr>
    </w:p>
    <w:p w14:paraId="38587E0D" w14:textId="2835DB6A" w:rsidR="006D32F5" w:rsidRPr="006A369B" w:rsidRDefault="006D32F5" w:rsidP="006D32F5">
      <w:pPr>
        <w:pStyle w:val="Sinespaciado"/>
        <w:jc w:val="center"/>
        <w:rPr>
          <w:rFonts w:ascii="Times New Roman" w:hAnsi="Times New Roman" w:cs="Times New Roman"/>
          <w:szCs w:val="18"/>
          <w:lang w:val="es-MX"/>
        </w:rPr>
      </w:pPr>
    </w:p>
    <w:p w14:paraId="36319126" w14:textId="269A36EC" w:rsidR="006D32F5" w:rsidRPr="006A369B" w:rsidRDefault="006D32F5" w:rsidP="006D32F5">
      <w:pPr>
        <w:pStyle w:val="Sinespaciado"/>
        <w:jc w:val="center"/>
        <w:rPr>
          <w:rFonts w:ascii="Times New Roman" w:hAnsi="Times New Roman" w:cs="Times New Roman"/>
          <w:szCs w:val="18"/>
          <w:lang w:val="es-MX"/>
        </w:rPr>
      </w:pPr>
    </w:p>
    <w:p w14:paraId="0539C697" w14:textId="6CA60B50" w:rsidR="006D32F5" w:rsidRPr="006A369B" w:rsidRDefault="006D32F5" w:rsidP="006D32F5">
      <w:pPr>
        <w:pStyle w:val="Sinespaciado"/>
        <w:jc w:val="center"/>
        <w:rPr>
          <w:rFonts w:ascii="Times New Roman" w:hAnsi="Times New Roman" w:cs="Times New Roman"/>
          <w:szCs w:val="18"/>
          <w:lang w:val="es-MX"/>
        </w:rPr>
      </w:pPr>
    </w:p>
    <w:p w14:paraId="390CE3D7" w14:textId="6FA790B7" w:rsidR="00065849" w:rsidRPr="006A369B" w:rsidRDefault="00065849" w:rsidP="006D32F5">
      <w:pPr>
        <w:pStyle w:val="Sinespaciado"/>
        <w:jc w:val="center"/>
        <w:rPr>
          <w:rFonts w:ascii="Times New Roman" w:hAnsi="Times New Roman" w:cs="Times New Roman"/>
          <w:szCs w:val="18"/>
          <w:lang w:val="es-MX"/>
        </w:rPr>
      </w:pPr>
    </w:p>
    <w:p w14:paraId="0A67AC21" w14:textId="464313FA" w:rsidR="00065849" w:rsidRPr="006A369B" w:rsidRDefault="00065849" w:rsidP="006D32F5">
      <w:pPr>
        <w:pStyle w:val="Sinespaciado"/>
        <w:jc w:val="center"/>
        <w:rPr>
          <w:rFonts w:ascii="Times New Roman" w:hAnsi="Times New Roman" w:cs="Times New Roman"/>
          <w:szCs w:val="18"/>
          <w:lang w:val="es-MX"/>
        </w:rPr>
      </w:pPr>
    </w:p>
    <w:p w14:paraId="16623B2F" w14:textId="77777777" w:rsidR="00065849" w:rsidRPr="006A369B" w:rsidRDefault="00065849" w:rsidP="006D32F5">
      <w:pPr>
        <w:pStyle w:val="Sinespaciado"/>
        <w:jc w:val="center"/>
        <w:rPr>
          <w:rFonts w:ascii="Times New Roman" w:hAnsi="Times New Roman" w:cs="Times New Roman"/>
          <w:szCs w:val="18"/>
          <w:lang w:val="es-MX"/>
        </w:rPr>
      </w:pPr>
    </w:p>
    <w:p w14:paraId="3FB18EE9" w14:textId="70E06FBB" w:rsidR="006D32F5" w:rsidRDefault="006D32F5" w:rsidP="006D32F5">
      <w:pPr>
        <w:pStyle w:val="Sinespaciado"/>
        <w:jc w:val="center"/>
        <w:rPr>
          <w:rFonts w:ascii="Times New Roman" w:hAnsi="Times New Roman" w:cs="Times New Roman"/>
          <w:szCs w:val="18"/>
          <w:lang w:val="es-MX"/>
        </w:rPr>
      </w:pPr>
    </w:p>
    <w:p w14:paraId="6D2B4607" w14:textId="77777777" w:rsidR="005606B1" w:rsidRPr="006A369B" w:rsidRDefault="005606B1" w:rsidP="006D32F5">
      <w:pPr>
        <w:pStyle w:val="Sinespaciado"/>
        <w:jc w:val="center"/>
        <w:rPr>
          <w:rFonts w:ascii="Times New Roman" w:hAnsi="Times New Roman" w:cs="Times New Roman"/>
          <w:szCs w:val="18"/>
          <w:lang w:val="es-MX"/>
        </w:rPr>
      </w:pPr>
    </w:p>
    <w:p w14:paraId="0E8796C6" w14:textId="0CED5512" w:rsidR="00C527E2" w:rsidRPr="006A369B" w:rsidRDefault="00C527E2" w:rsidP="00C527E2">
      <w:pPr>
        <w:pStyle w:val="Sinespaciado"/>
        <w:jc w:val="both"/>
        <w:rPr>
          <w:rFonts w:ascii="Times New Roman" w:hAnsi="Times New Roman" w:cs="Times New Roman"/>
          <w:sz w:val="14"/>
          <w:szCs w:val="14"/>
          <w:lang w:val="es-MX"/>
        </w:rPr>
      </w:pPr>
      <w:r w:rsidRPr="006A369B">
        <w:rPr>
          <w:rFonts w:ascii="Times New Roman" w:hAnsi="Times New Roman" w:cs="Times New Roman"/>
          <w:sz w:val="14"/>
          <w:szCs w:val="14"/>
          <w:lang w:val="es-MX"/>
        </w:rPr>
        <w:t>Fuente: Dirección de Análisis y Política Fiscal.</w:t>
      </w:r>
    </w:p>
    <w:p w14:paraId="1DE7C737" w14:textId="09697848" w:rsidR="00A76041" w:rsidRDefault="00A76041" w:rsidP="00A76041">
      <w:pPr>
        <w:pStyle w:val="Sinespaciado"/>
        <w:jc w:val="both"/>
        <w:rPr>
          <w:rFonts w:ascii="Times New Roman" w:hAnsi="Times New Roman" w:cs="Times New Roman"/>
        </w:rPr>
      </w:pPr>
      <w:r>
        <w:rPr>
          <w:rFonts w:ascii="Times New Roman" w:hAnsi="Times New Roman" w:cs="Times New Roman"/>
        </w:rPr>
        <w:lastRenderedPageBreak/>
        <w:t xml:space="preserve">A nivel del gasto público por entidades, las que muestran el mayor nivel de ejecución son: </w:t>
      </w:r>
      <w:r w:rsidRPr="00604563">
        <w:rPr>
          <w:rFonts w:ascii="Times New Roman" w:hAnsi="Times New Roman" w:cs="Times New Roman"/>
        </w:rPr>
        <w:t>Energía y Minas (</w:t>
      </w:r>
      <w:r>
        <w:rPr>
          <w:rFonts w:ascii="Times New Roman" w:hAnsi="Times New Roman" w:cs="Times New Roman"/>
        </w:rPr>
        <w:t>84.4</w:t>
      </w:r>
      <w:r w:rsidRPr="00604563">
        <w:rPr>
          <w:rFonts w:ascii="Times New Roman" w:hAnsi="Times New Roman" w:cs="Times New Roman"/>
        </w:rPr>
        <w:t>%),</w:t>
      </w:r>
      <w:r>
        <w:rPr>
          <w:rFonts w:ascii="Times New Roman" w:hAnsi="Times New Roman" w:cs="Times New Roman"/>
        </w:rPr>
        <w:t xml:space="preserve"> Comunicaciones (74.3%),</w:t>
      </w:r>
      <w:r w:rsidRPr="00872E77">
        <w:t xml:space="preserve"> </w:t>
      </w:r>
      <w:r w:rsidRPr="00872E77">
        <w:rPr>
          <w:rFonts w:ascii="Times New Roman" w:hAnsi="Times New Roman" w:cs="Times New Roman"/>
        </w:rPr>
        <w:t>Educación (</w:t>
      </w:r>
      <w:r>
        <w:rPr>
          <w:rFonts w:ascii="Times New Roman" w:hAnsi="Times New Roman" w:cs="Times New Roman"/>
        </w:rPr>
        <w:t>60</w:t>
      </w:r>
      <w:r w:rsidRPr="00872E77">
        <w:rPr>
          <w:rFonts w:ascii="Times New Roman" w:hAnsi="Times New Roman" w:cs="Times New Roman"/>
        </w:rPr>
        <w:t>.</w:t>
      </w:r>
      <w:r>
        <w:rPr>
          <w:rFonts w:ascii="Times New Roman" w:hAnsi="Times New Roman" w:cs="Times New Roman"/>
        </w:rPr>
        <w:t>4</w:t>
      </w:r>
      <w:r w:rsidRPr="00872E77">
        <w:rPr>
          <w:rFonts w:ascii="Times New Roman" w:hAnsi="Times New Roman" w:cs="Times New Roman"/>
        </w:rPr>
        <w:t>%),</w:t>
      </w:r>
      <w:r>
        <w:rPr>
          <w:rFonts w:ascii="Times New Roman" w:hAnsi="Times New Roman" w:cs="Times New Roman"/>
        </w:rPr>
        <w:t xml:space="preserve"> Cultura y Deportes (58.8%), </w:t>
      </w:r>
      <w:r w:rsidRPr="00872E77">
        <w:rPr>
          <w:rFonts w:ascii="Times New Roman" w:hAnsi="Times New Roman" w:cs="Times New Roman"/>
        </w:rPr>
        <w:t>Presidencia (</w:t>
      </w:r>
      <w:r>
        <w:rPr>
          <w:rFonts w:ascii="Times New Roman" w:hAnsi="Times New Roman" w:cs="Times New Roman"/>
        </w:rPr>
        <w:t>57</w:t>
      </w:r>
      <w:r w:rsidRPr="00872E77">
        <w:rPr>
          <w:rFonts w:ascii="Times New Roman" w:hAnsi="Times New Roman" w:cs="Times New Roman"/>
        </w:rPr>
        <w:t>.</w:t>
      </w:r>
      <w:r>
        <w:rPr>
          <w:rFonts w:ascii="Times New Roman" w:hAnsi="Times New Roman" w:cs="Times New Roman"/>
        </w:rPr>
        <w:t>2</w:t>
      </w:r>
      <w:r w:rsidRPr="00872E77">
        <w:rPr>
          <w:rFonts w:ascii="Times New Roman" w:hAnsi="Times New Roman" w:cs="Times New Roman"/>
        </w:rPr>
        <w:t>%)</w:t>
      </w:r>
      <w:r>
        <w:rPr>
          <w:rFonts w:ascii="Times New Roman" w:hAnsi="Times New Roman" w:cs="Times New Roman"/>
        </w:rPr>
        <w:t xml:space="preserve"> y Gobernación (55.7%), t</w:t>
      </w:r>
      <w:r w:rsidRPr="002C3760">
        <w:rPr>
          <w:rFonts w:ascii="Times New Roman" w:hAnsi="Times New Roman" w:cs="Times New Roman"/>
        </w:rPr>
        <w:t>odas estas entidades se encuentran por arriba de la ejecución institucional total (</w:t>
      </w:r>
      <w:r>
        <w:rPr>
          <w:rFonts w:ascii="Times New Roman" w:hAnsi="Times New Roman" w:cs="Times New Roman"/>
        </w:rPr>
        <w:t>55</w:t>
      </w:r>
      <w:r w:rsidRPr="002C3760">
        <w:rPr>
          <w:rFonts w:ascii="Times New Roman" w:hAnsi="Times New Roman" w:cs="Times New Roman"/>
        </w:rPr>
        <w:t>.</w:t>
      </w:r>
      <w:r>
        <w:rPr>
          <w:rFonts w:ascii="Times New Roman" w:hAnsi="Times New Roman" w:cs="Times New Roman"/>
        </w:rPr>
        <w:t>7</w:t>
      </w:r>
      <w:r w:rsidRPr="002C3760">
        <w:rPr>
          <w:rFonts w:ascii="Times New Roman" w:hAnsi="Times New Roman" w:cs="Times New Roman"/>
        </w:rPr>
        <w:t>%).</w:t>
      </w:r>
    </w:p>
    <w:p w14:paraId="5FD24E96" w14:textId="77777777" w:rsidR="00A76041" w:rsidRPr="00785591" w:rsidRDefault="00A76041" w:rsidP="00A76041">
      <w:pPr>
        <w:pStyle w:val="Sinespaciado"/>
        <w:jc w:val="both"/>
        <w:rPr>
          <w:rFonts w:ascii="Times New Roman" w:hAnsi="Times New Roman" w:cs="Times New Roman"/>
          <w:sz w:val="18"/>
          <w:szCs w:val="18"/>
        </w:rPr>
      </w:pPr>
    </w:p>
    <w:p w14:paraId="221DC6E2" w14:textId="77777777" w:rsidR="00A76041" w:rsidRDefault="00A76041" w:rsidP="00A76041">
      <w:pPr>
        <w:pStyle w:val="Sinespaciado"/>
        <w:jc w:val="both"/>
        <w:rPr>
          <w:rFonts w:ascii="Times New Roman" w:hAnsi="Times New Roman" w:cs="Times New Roman"/>
        </w:rPr>
      </w:pPr>
      <w:r>
        <w:rPr>
          <w:rFonts w:ascii="Times New Roman" w:hAnsi="Times New Roman" w:cs="Times New Roman"/>
        </w:rPr>
        <w:t xml:space="preserve">El resto de las entidades se encuentra por debajo de la ejecución institucional total. Resalta el Ministerio de Ambiente y Recursos con una ejecución de 39.2%, estando muy por debajo de la ejecución promedio.  </w:t>
      </w:r>
    </w:p>
    <w:p w14:paraId="6B637F46" w14:textId="77777777" w:rsidR="00A76041" w:rsidRPr="00785591" w:rsidRDefault="00A76041" w:rsidP="00A76041">
      <w:pPr>
        <w:pStyle w:val="Sinespaciado"/>
        <w:jc w:val="both"/>
        <w:rPr>
          <w:rFonts w:ascii="Times New Roman" w:hAnsi="Times New Roman" w:cs="Times New Roman"/>
          <w:sz w:val="18"/>
          <w:szCs w:val="18"/>
        </w:rPr>
      </w:pPr>
    </w:p>
    <w:p w14:paraId="6316A2F4" w14:textId="77777777" w:rsidR="00A76041" w:rsidRPr="0016607D" w:rsidRDefault="00A76041" w:rsidP="00A76041">
      <w:pPr>
        <w:pStyle w:val="Sinespaciado"/>
        <w:jc w:val="both"/>
        <w:rPr>
          <w:rFonts w:ascii="Times New Roman" w:hAnsi="Times New Roman" w:cs="Times New Roman"/>
          <w:lang w:val="es-MX"/>
        </w:rPr>
      </w:pPr>
      <w:r w:rsidRPr="0016607D">
        <w:rPr>
          <w:rFonts w:ascii="Times New Roman" w:hAnsi="Times New Roman" w:cs="Times New Roman"/>
          <w:lang w:val="es-MX"/>
        </w:rPr>
        <w:t xml:space="preserve">El Ministerio de Energía y Minas reporta el mayor nivel de ejecución asociado al subsidio al gas propano </w:t>
      </w:r>
      <w:r>
        <w:rPr>
          <w:rFonts w:ascii="Times New Roman" w:hAnsi="Times New Roman" w:cs="Times New Roman"/>
          <w:lang w:val="es-MX"/>
        </w:rPr>
        <w:t>que ya concluyó y</w:t>
      </w:r>
      <w:r w:rsidRPr="0016607D">
        <w:rPr>
          <w:rFonts w:ascii="Times New Roman" w:hAnsi="Times New Roman" w:cs="Times New Roman"/>
          <w:lang w:val="es-MX"/>
        </w:rPr>
        <w:t xml:space="preserve"> </w:t>
      </w:r>
      <w:r>
        <w:rPr>
          <w:rFonts w:ascii="Times New Roman" w:hAnsi="Times New Roman" w:cs="Times New Roman"/>
          <w:lang w:val="es-MX"/>
        </w:rPr>
        <w:t xml:space="preserve">este </w:t>
      </w:r>
      <w:r w:rsidRPr="0016607D">
        <w:rPr>
          <w:rFonts w:ascii="Times New Roman" w:hAnsi="Times New Roman" w:cs="Times New Roman"/>
          <w:lang w:val="es-MX"/>
        </w:rPr>
        <w:t xml:space="preserve">representa una </w:t>
      </w:r>
      <w:r>
        <w:rPr>
          <w:rFonts w:ascii="Times New Roman" w:hAnsi="Times New Roman" w:cs="Times New Roman"/>
          <w:lang w:val="es-MX"/>
        </w:rPr>
        <w:t>proporción</w:t>
      </w:r>
      <w:r w:rsidRPr="0016607D">
        <w:rPr>
          <w:rFonts w:ascii="Times New Roman" w:hAnsi="Times New Roman" w:cs="Times New Roman"/>
          <w:lang w:val="es-MX"/>
        </w:rPr>
        <w:t xml:space="preserve"> importante de su presupuesto</w:t>
      </w:r>
      <w:r>
        <w:rPr>
          <w:rFonts w:ascii="Times New Roman" w:hAnsi="Times New Roman" w:cs="Times New Roman"/>
          <w:lang w:val="es-MX"/>
        </w:rPr>
        <w:t>, finalizando con una ejecución de 99.7%.</w:t>
      </w:r>
    </w:p>
    <w:p w14:paraId="767654A9" w14:textId="77777777" w:rsidR="00A76041" w:rsidRPr="00785591" w:rsidRDefault="00A76041" w:rsidP="00A76041">
      <w:pPr>
        <w:pStyle w:val="Sinespaciado"/>
        <w:jc w:val="both"/>
        <w:rPr>
          <w:rFonts w:ascii="Times New Roman" w:hAnsi="Times New Roman" w:cs="Times New Roman"/>
          <w:sz w:val="18"/>
          <w:szCs w:val="18"/>
        </w:rPr>
      </w:pPr>
    </w:p>
    <w:p w14:paraId="349AD86C" w14:textId="77777777" w:rsidR="00A76041" w:rsidRDefault="00A76041" w:rsidP="00A76041">
      <w:pPr>
        <w:pStyle w:val="Sinespaciado"/>
        <w:jc w:val="both"/>
        <w:rPr>
          <w:rFonts w:ascii="Times New Roman" w:hAnsi="Times New Roman" w:cs="Times New Roman"/>
        </w:rPr>
      </w:pPr>
      <w:r>
        <w:rPr>
          <w:rFonts w:ascii="Times New Roman" w:hAnsi="Times New Roman" w:cs="Times New Roman"/>
        </w:rPr>
        <w:t xml:space="preserve">En cuanto al Ministerio de Desarrollo Social tuvo una ampliación de su presupuesto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Q145.4 millones, alcanzando un nivel de 48.0% de su presupuesto vigente. </w:t>
      </w:r>
    </w:p>
    <w:p w14:paraId="336D78FB" w14:textId="77777777" w:rsidR="00A76041" w:rsidRPr="00785591" w:rsidRDefault="00A76041" w:rsidP="00A76041">
      <w:pPr>
        <w:pStyle w:val="Sinespaciado"/>
        <w:jc w:val="both"/>
        <w:rPr>
          <w:rFonts w:ascii="Times New Roman" w:hAnsi="Times New Roman" w:cs="Times New Roman"/>
          <w:sz w:val="18"/>
          <w:szCs w:val="18"/>
        </w:rPr>
      </w:pPr>
    </w:p>
    <w:p w14:paraId="09C7158C" w14:textId="77777777" w:rsidR="00A76041" w:rsidRDefault="00A76041" w:rsidP="00A76041">
      <w:pPr>
        <w:pStyle w:val="Sinespaciado"/>
        <w:jc w:val="both"/>
        <w:rPr>
          <w:rFonts w:ascii="Times New Roman" w:hAnsi="Times New Roman" w:cs="Times New Roman"/>
        </w:rPr>
      </w:pPr>
      <w:r w:rsidRPr="00BD3619">
        <w:rPr>
          <w:rFonts w:ascii="Times New Roman" w:hAnsi="Times New Roman" w:cs="Times New Roman"/>
        </w:rPr>
        <w:t>El Ministerio de Desarrollo Social (Mides) c</w:t>
      </w:r>
      <w:r>
        <w:rPr>
          <w:rFonts w:ascii="Times New Roman" w:hAnsi="Times New Roman" w:cs="Times New Roman"/>
        </w:rPr>
        <w:t xml:space="preserve">ontabilizó aproximadamente </w:t>
      </w:r>
      <w:r w:rsidRPr="00BD3619">
        <w:rPr>
          <w:rFonts w:ascii="Times New Roman" w:hAnsi="Times New Roman" w:cs="Times New Roman"/>
        </w:rPr>
        <w:t>45 mil excombatientes inscritos en el programa</w:t>
      </w:r>
      <w:r>
        <w:rPr>
          <w:rFonts w:ascii="Times New Roman" w:hAnsi="Times New Roman" w:cs="Times New Roman"/>
        </w:rPr>
        <w:t>, a los cuales se</w:t>
      </w:r>
      <w:r w:rsidRPr="00BD3619">
        <w:rPr>
          <w:rFonts w:ascii="Times New Roman" w:hAnsi="Times New Roman" w:cs="Times New Roman"/>
        </w:rPr>
        <w:t xml:space="preserve"> les dará Q36 mil</w:t>
      </w:r>
      <w:r>
        <w:rPr>
          <w:rFonts w:ascii="Times New Roman" w:hAnsi="Times New Roman" w:cs="Times New Roman"/>
        </w:rPr>
        <w:t xml:space="preserve"> en 3 años</w:t>
      </w:r>
      <w:r w:rsidRPr="00BD3619">
        <w:rPr>
          <w:rFonts w:ascii="Times New Roman" w:hAnsi="Times New Roman" w:cs="Times New Roman"/>
        </w:rPr>
        <w:t>, según</w:t>
      </w:r>
      <w:r>
        <w:rPr>
          <w:rFonts w:ascii="Times New Roman" w:hAnsi="Times New Roman" w:cs="Times New Roman"/>
        </w:rPr>
        <w:t xml:space="preserve"> lo establecido en la le</w:t>
      </w:r>
      <w:r w:rsidRPr="00BD3619">
        <w:rPr>
          <w:rFonts w:ascii="Times New Roman" w:hAnsi="Times New Roman" w:cs="Times New Roman"/>
        </w:rPr>
        <w:t>y</w:t>
      </w:r>
      <w:r>
        <w:rPr>
          <w:rFonts w:ascii="Times New Roman" w:hAnsi="Times New Roman" w:cs="Times New Roman"/>
        </w:rPr>
        <w:t>.</w:t>
      </w:r>
    </w:p>
    <w:p w14:paraId="35923F9A" w14:textId="77777777" w:rsidR="00A76041" w:rsidRPr="00785591" w:rsidRDefault="00A76041" w:rsidP="00A76041">
      <w:pPr>
        <w:pStyle w:val="Sinespaciado"/>
        <w:jc w:val="both"/>
        <w:rPr>
          <w:rFonts w:ascii="Times New Roman" w:hAnsi="Times New Roman" w:cs="Times New Roman"/>
          <w:sz w:val="18"/>
          <w:szCs w:val="18"/>
        </w:rPr>
      </w:pPr>
    </w:p>
    <w:p w14:paraId="469EC313" w14:textId="77777777" w:rsidR="00A76041" w:rsidRDefault="00A76041" w:rsidP="00A76041">
      <w:pPr>
        <w:pStyle w:val="Sinespaciado"/>
        <w:jc w:val="both"/>
        <w:rPr>
          <w:rFonts w:ascii="Times New Roman" w:hAnsi="Times New Roman" w:cs="Times New Roman"/>
        </w:rPr>
      </w:pPr>
      <w:r>
        <w:rPr>
          <w:rFonts w:ascii="Times New Roman" w:hAnsi="Times New Roman" w:cs="Times New Roman"/>
        </w:rPr>
        <w:t>Es destacable el alto nivel de ejecución en el Ministerio de Cultura y Deportes, dado que por lo general esta entidad ha reportado niveles de ejecución modestos, al evaluar la ejecución resalta el dinamismo en la construcción, ampliación y mejoramiento de instalaciones deportivas y recreativas, así como en los servicios de administración y protección de parques, sitios arqueológicos y zonas de rescate cultural y natural.</w:t>
      </w:r>
    </w:p>
    <w:p w14:paraId="674C2DB2" w14:textId="77777777" w:rsidR="00A76041" w:rsidRPr="00995D7B" w:rsidRDefault="00A76041" w:rsidP="00A76041">
      <w:pPr>
        <w:pStyle w:val="Sinespaciado"/>
        <w:jc w:val="both"/>
        <w:rPr>
          <w:rFonts w:ascii="Times New Roman" w:hAnsi="Times New Roman" w:cs="Times New Roman"/>
        </w:rPr>
      </w:pPr>
      <w:r w:rsidRPr="00995D7B">
        <w:rPr>
          <w:rFonts w:ascii="Times New Roman" w:hAnsi="Times New Roman" w:cs="Times New Roman"/>
        </w:rPr>
        <w:t xml:space="preserve">En el Ministerio de Trabajo, es importante comentar que </w:t>
      </w:r>
      <w:r>
        <w:rPr>
          <w:rFonts w:ascii="Times New Roman" w:hAnsi="Times New Roman" w:cs="Times New Roman"/>
        </w:rPr>
        <w:t>s</w:t>
      </w:r>
      <w:r w:rsidRPr="00995D7B">
        <w:rPr>
          <w:rFonts w:ascii="Times New Roman" w:hAnsi="Times New Roman" w:cs="Times New Roman"/>
        </w:rPr>
        <w:t>e ampl</w:t>
      </w:r>
      <w:r>
        <w:rPr>
          <w:rFonts w:ascii="Times New Roman" w:hAnsi="Times New Roman" w:cs="Times New Roman"/>
        </w:rPr>
        <w:t>ió</w:t>
      </w:r>
      <w:r w:rsidRPr="00995D7B">
        <w:rPr>
          <w:rFonts w:ascii="Times New Roman" w:hAnsi="Times New Roman" w:cs="Times New Roman"/>
        </w:rPr>
        <w:t xml:space="preserve"> el techo presupuestario, para fortalecer el programa de Aporte Económico al Adulto Mayor. Este fue aprobado por medio del Decreto número 10-2023 “Ampliación del Programa de Aporte Económico al Adulto Mayor” viabilizando el traslado de recursos financieros no utilizados </w:t>
      </w:r>
      <w:r>
        <w:rPr>
          <w:rFonts w:ascii="Times New Roman" w:hAnsi="Times New Roman" w:cs="Times New Roman"/>
        </w:rPr>
        <w:t>de</w:t>
      </w:r>
      <w:r w:rsidRPr="00995D7B">
        <w:rPr>
          <w:rFonts w:ascii="Times New Roman" w:hAnsi="Times New Roman" w:cs="Times New Roman"/>
        </w:rPr>
        <w:t xml:space="preserve"> la atención de la pandemia COVID-19, para el fortalecimiento de dicho programa.</w:t>
      </w:r>
    </w:p>
    <w:p w14:paraId="7082026B" w14:textId="77777777" w:rsidR="00A76041" w:rsidRPr="00785591" w:rsidRDefault="00A76041" w:rsidP="00A76041">
      <w:pPr>
        <w:pStyle w:val="Sinespaciado"/>
        <w:jc w:val="both"/>
        <w:rPr>
          <w:rFonts w:ascii="Times New Roman" w:hAnsi="Times New Roman" w:cs="Times New Roman"/>
          <w:sz w:val="18"/>
          <w:szCs w:val="18"/>
        </w:rPr>
      </w:pPr>
    </w:p>
    <w:p w14:paraId="46A3AD45" w14:textId="77777777" w:rsidR="00A76041" w:rsidRDefault="00A76041" w:rsidP="00A76041">
      <w:pPr>
        <w:pStyle w:val="Sinespaciado"/>
        <w:jc w:val="both"/>
        <w:rPr>
          <w:rFonts w:ascii="Times New Roman" w:hAnsi="Times New Roman" w:cs="Times New Roman"/>
        </w:rPr>
      </w:pPr>
      <w:r w:rsidRPr="00995D7B">
        <w:rPr>
          <w:rFonts w:ascii="Times New Roman" w:hAnsi="Times New Roman" w:cs="Times New Roman"/>
        </w:rPr>
        <w:t>Adicionalmente, establecería la adhesión de 65 mil adultos mayores para alcanzar hasta 210 mil beneficiarios en 2023, brindando un apoyo económico, el cual consiste en Q500 mensuales para cada beneficiario.</w:t>
      </w:r>
      <w:r>
        <w:rPr>
          <w:rFonts w:ascii="Times New Roman" w:hAnsi="Times New Roman" w:cs="Times New Roman"/>
        </w:rPr>
        <w:t xml:space="preserve"> De esa cuenta, se observa una baja ejecución en el Ministerio de Trabajo, la cual podría dinamizarse en los próximos meses.</w:t>
      </w:r>
    </w:p>
    <w:p w14:paraId="103B0736" w14:textId="77777777" w:rsidR="00A76041" w:rsidRDefault="00A76041" w:rsidP="00A76041">
      <w:pPr>
        <w:pStyle w:val="Sinespaciado"/>
        <w:jc w:val="both"/>
        <w:rPr>
          <w:rFonts w:ascii="Times New Roman" w:hAnsi="Times New Roman" w:cs="Times New Roman"/>
        </w:rPr>
      </w:pPr>
    </w:p>
    <w:p w14:paraId="43905F9C" w14:textId="77777777" w:rsidR="00A76041" w:rsidRDefault="00A76041" w:rsidP="00A76041">
      <w:pPr>
        <w:pStyle w:val="Sinespaciado"/>
        <w:jc w:val="both"/>
        <w:rPr>
          <w:rFonts w:ascii="Times New Roman" w:hAnsi="Times New Roman" w:cs="Times New Roman"/>
        </w:rPr>
      </w:pPr>
      <w:r>
        <w:rPr>
          <w:rFonts w:ascii="Times New Roman" w:hAnsi="Times New Roman" w:cs="Times New Roman"/>
        </w:rPr>
        <w:t xml:space="preserve">Asimismo, durante junio se realizó la amortización por el costo de la política monetaria, cambiaria y crediticia por Q54.4 millones, correspondiente al ejercicio fiscal 2021. </w:t>
      </w:r>
    </w:p>
    <w:p w14:paraId="14B0B7F8" w14:textId="77777777" w:rsidR="00A76041" w:rsidRPr="00785591" w:rsidRDefault="00A76041" w:rsidP="00A76041">
      <w:pPr>
        <w:pStyle w:val="Sinespaciado"/>
        <w:jc w:val="both"/>
        <w:rPr>
          <w:rFonts w:ascii="Times New Roman" w:hAnsi="Times New Roman" w:cs="Times New Roman"/>
          <w:sz w:val="18"/>
          <w:szCs w:val="18"/>
        </w:rPr>
      </w:pPr>
    </w:p>
    <w:p w14:paraId="5A8E65D5" w14:textId="77777777" w:rsidR="00A76041" w:rsidRDefault="00A76041" w:rsidP="00A76041">
      <w:pPr>
        <w:pStyle w:val="Sinespaciado"/>
        <w:jc w:val="both"/>
        <w:rPr>
          <w:rFonts w:ascii="Times New Roman" w:hAnsi="Times New Roman" w:cs="Times New Roman"/>
        </w:rPr>
      </w:pPr>
      <w:r>
        <w:rPr>
          <w:rFonts w:ascii="Times New Roman" w:hAnsi="Times New Roman" w:cs="Times New Roman"/>
        </w:rPr>
        <w:t>Hasta la fecha se han dado ampliaciones en el presupuesto de ingresos y egresos del Estado para el ejercicio fiscal 2023 por Q2,729.6 millones, las cuales se explican principalmente por:</w:t>
      </w:r>
    </w:p>
    <w:p w14:paraId="23E573D2" w14:textId="77777777" w:rsidR="00A76041" w:rsidRPr="00785591" w:rsidRDefault="00A76041" w:rsidP="00A76041">
      <w:pPr>
        <w:pStyle w:val="Sinespaciado"/>
        <w:jc w:val="both"/>
        <w:rPr>
          <w:rFonts w:ascii="Times New Roman" w:hAnsi="Times New Roman" w:cs="Times New Roman"/>
          <w:sz w:val="16"/>
          <w:szCs w:val="16"/>
        </w:rPr>
      </w:pPr>
    </w:p>
    <w:p w14:paraId="34991828" w14:textId="77777777" w:rsidR="00A76041" w:rsidRDefault="00A76041" w:rsidP="00A76041">
      <w:pPr>
        <w:pStyle w:val="Sinespaciado"/>
        <w:numPr>
          <w:ilvl w:val="0"/>
          <w:numId w:val="3"/>
        </w:numPr>
        <w:ind w:left="284" w:hanging="284"/>
        <w:jc w:val="both"/>
        <w:rPr>
          <w:rFonts w:ascii="Times New Roman" w:hAnsi="Times New Roman" w:cs="Times New Roman"/>
        </w:rPr>
      </w:pPr>
      <w:r>
        <w:rPr>
          <w:rFonts w:ascii="Times New Roman" w:hAnsi="Times New Roman" w:cs="Times New Roman"/>
        </w:rPr>
        <w:t>El Ministerio de Comunicaciones, Infraestructura y Vivienda por la reprogramación de obras y asignación de recursos para los proyectos del Decreto número 21-2022 “Ley para fortalecer el mantenimiento y construcción de infraestructura estratégica” que quedaron pendientes por la temporada lluviosa de 2022.</w:t>
      </w:r>
    </w:p>
    <w:p w14:paraId="70407A57" w14:textId="77777777" w:rsidR="00A76041" w:rsidRDefault="00A76041" w:rsidP="00A76041">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El Fondo Social de Solidaridad con reprogramación de obras, también del Decreto número 21-2022.</w:t>
      </w:r>
    </w:p>
    <w:p w14:paraId="74A24434" w14:textId="77777777" w:rsidR="00A76041" w:rsidRDefault="00A76041" w:rsidP="00A76041">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El Ministerio de Energía y Minas con una modificación presupuestaria para garantizar el apoyo social temporal a los consumidores del gas propano, establecido en el Decreto número 5-2023.</w:t>
      </w:r>
    </w:p>
    <w:p w14:paraId="101F6E9D" w14:textId="77777777" w:rsidR="00A76041" w:rsidRDefault="00A76041" w:rsidP="00A76041">
      <w:pPr>
        <w:pStyle w:val="Sinespaciado"/>
        <w:numPr>
          <w:ilvl w:val="0"/>
          <w:numId w:val="3"/>
        </w:numPr>
        <w:ind w:left="284" w:hanging="284"/>
        <w:jc w:val="both"/>
        <w:rPr>
          <w:rFonts w:ascii="Times New Roman" w:hAnsi="Times New Roman" w:cs="Times New Roman"/>
        </w:rPr>
      </w:pPr>
      <w:r w:rsidRPr="00E00F2B">
        <w:rPr>
          <w:rFonts w:ascii="Times New Roman" w:hAnsi="Times New Roman" w:cs="Times New Roman"/>
        </w:rPr>
        <w:t xml:space="preserve">En las Obligaciones del Estado a Cargo del Tesoro se dio una ampliación </w:t>
      </w:r>
      <w:r>
        <w:rPr>
          <w:rFonts w:ascii="Times New Roman" w:hAnsi="Times New Roman" w:cs="Times New Roman"/>
        </w:rPr>
        <w:t xml:space="preserve">de Q197 </w:t>
      </w:r>
      <w:r>
        <w:rPr>
          <w:rFonts w:ascii="Times New Roman" w:hAnsi="Times New Roman" w:cs="Times New Roman"/>
        </w:rPr>
        <w:lastRenderedPageBreak/>
        <w:t xml:space="preserve">millones </w:t>
      </w:r>
      <w:r w:rsidRPr="00E00F2B">
        <w:rPr>
          <w:rFonts w:ascii="Times New Roman" w:hAnsi="Times New Roman" w:cs="Times New Roman"/>
        </w:rPr>
        <w:t xml:space="preserve">para cumplir con el subsidio a la ampliación de la tarifa social eléctrica, así como </w:t>
      </w:r>
      <w:r>
        <w:rPr>
          <w:rFonts w:ascii="Times New Roman" w:hAnsi="Times New Roman" w:cs="Times New Roman"/>
        </w:rPr>
        <w:t xml:space="preserve">una ampliación de Q200 millones para </w:t>
      </w:r>
      <w:r w:rsidRPr="00E00F2B">
        <w:rPr>
          <w:rFonts w:ascii="Times New Roman" w:hAnsi="Times New Roman" w:cs="Times New Roman"/>
        </w:rPr>
        <w:t>el incremento a las jubilaciones y pensiones del régimen de clases pasivas y civiles del Estado.</w:t>
      </w:r>
      <w:r>
        <w:rPr>
          <w:rFonts w:ascii="Times New Roman" w:hAnsi="Times New Roman" w:cs="Times New Roman"/>
        </w:rPr>
        <w:t xml:space="preserve"> Además, se han dado ampliaciones en favor de los CODEDES.</w:t>
      </w:r>
    </w:p>
    <w:p w14:paraId="20E329EB" w14:textId="739465C6" w:rsidR="00A76041" w:rsidRDefault="00A76041" w:rsidP="00A76041">
      <w:pPr>
        <w:pStyle w:val="Sinespaciado"/>
        <w:numPr>
          <w:ilvl w:val="0"/>
          <w:numId w:val="3"/>
        </w:numPr>
        <w:ind w:left="284" w:hanging="284"/>
        <w:jc w:val="both"/>
        <w:rPr>
          <w:rFonts w:ascii="Times New Roman" w:hAnsi="Times New Roman" w:cs="Times New Roman"/>
        </w:rPr>
      </w:pPr>
      <w:r>
        <w:rPr>
          <w:rFonts w:ascii="Times New Roman" w:hAnsi="Times New Roman" w:cs="Times New Roman"/>
        </w:rPr>
        <w:t>Q300 millones para los beneficiarios del D</w:t>
      </w:r>
      <w:r w:rsidRPr="001261AC">
        <w:rPr>
          <w:rFonts w:ascii="Times New Roman" w:hAnsi="Times New Roman" w:cs="Times New Roman"/>
        </w:rPr>
        <w:t>ecreto 51-2022 "Ley Temporal de Desarrollo Integral"</w:t>
      </w:r>
      <w:r>
        <w:rPr>
          <w:rFonts w:ascii="Times New Roman" w:hAnsi="Times New Roman" w:cs="Times New Roman"/>
        </w:rPr>
        <w:t>.</w:t>
      </w:r>
    </w:p>
    <w:p w14:paraId="45CBEEA4" w14:textId="5FEA2EED" w:rsidR="00A76041" w:rsidRDefault="00A76041" w:rsidP="00A76041">
      <w:pPr>
        <w:pStyle w:val="Sinespaciado"/>
        <w:numPr>
          <w:ilvl w:val="0"/>
          <w:numId w:val="3"/>
        </w:numPr>
        <w:ind w:left="284" w:hanging="284"/>
        <w:jc w:val="both"/>
        <w:rPr>
          <w:rFonts w:ascii="Times New Roman" w:hAnsi="Times New Roman" w:cs="Times New Roman"/>
        </w:rPr>
      </w:pPr>
      <w:r w:rsidRPr="00A76041">
        <w:rPr>
          <w:rFonts w:ascii="Times New Roman" w:hAnsi="Times New Roman" w:cs="Times New Roman"/>
        </w:rPr>
        <w:t>Q1.6 millones en la Secretaría Presidencial de la Mujer.</w:t>
      </w:r>
    </w:p>
    <w:p w14:paraId="6C62F878" w14:textId="73503528" w:rsidR="006D32F5" w:rsidRPr="00A76041" w:rsidRDefault="00A76041" w:rsidP="00A76041">
      <w:pPr>
        <w:pStyle w:val="Sinespaciado"/>
        <w:numPr>
          <w:ilvl w:val="0"/>
          <w:numId w:val="3"/>
        </w:numPr>
        <w:ind w:left="284" w:hanging="284"/>
        <w:jc w:val="both"/>
        <w:rPr>
          <w:rFonts w:ascii="Times New Roman" w:hAnsi="Times New Roman" w:cs="Times New Roman"/>
        </w:rPr>
      </w:pPr>
      <w:r w:rsidRPr="00A76041">
        <w:rPr>
          <w:rFonts w:ascii="Times New Roman" w:hAnsi="Times New Roman" w:cs="Times New Roman"/>
        </w:rPr>
        <w:t>Q339.9 millones de modificación presupuestaria para el programa de Aporte Económico del Adulto Mayor, según Decreto 10-2023.</w:t>
      </w:r>
    </w:p>
    <w:p w14:paraId="45491CFA" w14:textId="77777777" w:rsidR="00A76041" w:rsidRPr="00A37A37" w:rsidRDefault="00A76041" w:rsidP="00741401">
      <w:pPr>
        <w:pStyle w:val="Sinespaciado"/>
        <w:jc w:val="both"/>
        <w:rPr>
          <w:rFonts w:ascii="Times New Roman" w:hAnsi="Times New Roman" w:cs="Times New Roman"/>
          <w:color w:val="FF0000"/>
          <w:sz w:val="18"/>
        </w:rPr>
      </w:pPr>
    </w:p>
    <w:p w14:paraId="191D1830" w14:textId="02E77794" w:rsidR="00C527E2" w:rsidRPr="00A76041" w:rsidRDefault="00C527E2" w:rsidP="00C527E2">
      <w:pPr>
        <w:spacing w:after="0" w:line="240" w:lineRule="auto"/>
        <w:jc w:val="center"/>
        <w:rPr>
          <w:rFonts w:ascii="Times New Roman" w:hAnsi="Times New Roman" w:cs="Times New Roman"/>
          <w:b/>
          <w:sz w:val="24"/>
          <w:lang w:val="es-MX"/>
        </w:rPr>
      </w:pPr>
      <w:r w:rsidRPr="00A76041">
        <w:rPr>
          <w:rFonts w:ascii="Times New Roman" w:hAnsi="Times New Roman" w:cs="Times New Roman"/>
          <w:b/>
          <w:szCs w:val="20"/>
          <w:lang w:val="es-MX"/>
        </w:rPr>
        <w:t>Grado de Ejecución por Entidad</w:t>
      </w:r>
    </w:p>
    <w:p w14:paraId="1E25578C" w14:textId="7FAA2F3B" w:rsidR="00307D44" w:rsidRPr="00A76041" w:rsidRDefault="00307D44" w:rsidP="00307D44">
      <w:pPr>
        <w:spacing w:after="0" w:line="240" w:lineRule="auto"/>
        <w:jc w:val="center"/>
        <w:rPr>
          <w:rFonts w:ascii="Times New Roman" w:hAnsi="Times New Roman" w:cs="Times New Roman"/>
          <w:sz w:val="18"/>
          <w:szCs w:val="18"/>
          <w:lang w:val="es-MX"/>
        </w:rPr>
      </w:pPr>
      <w:r w:rsidRPr="00A76041">
        <w:rPr>
          <w:rFonts w:ascii="Times New Roman" w:hAnsi="Times New Roman" w:cs="Times New Roman"/>
          <w:sz w:val="18"/>
          <w:szCs w:val="18"/>
          <w:lang w:val="es-MX"/>
        </w:rPr>
        <w:t xml:space="preserve">Al </w:t>
      </w:r>
      <w:r w:rsidR="00741401" w:rsidRPr="00A76041">
        <w:rPr>
          <w:rFonts w:ascii="Times New Roman" w:hAnsi="Times New Roman" w:cs="Times New Roman"/>
          <w:sz w:val="18"/>
          <w:szCs w:val="18"/>
          <w:lang w:val="es-MX"/>
        </w:rPr>
        <w:t>3</w:t>
      </w:r>
      <w:r w:rsidR="00A76041" w:rsidRPr="00A76041">
        <w:rPr>
          <w:rFonts w:ascii="Times New Roman" w:hAnsi="Times New Roman" w:cs="Times New Roman"/>
          <w:sz w:val="18"/>
          <w:szCs w:val="18"/>
          <w:lang w:val="es-MX"/>
        </w:rPr>
        <w:t>1</w:t>
      </w:r>
      <w:r w:rsidRPr="00A76041">
        <w:rPr>
          <w:rFonts w:ascii="Times New Roman" w:hAnsi="Times New Roman" w:cs="Times New Roman"/>
          <w:sz w:val="18"/>
          <w:szCs w:val="18"/>
          <w:lang w:val="es-MX"/>
        </w:rPr>
        <w:t xml:space="preserve"> de </w:t>
      </w:r>
      <w:r w:rsidR="004D7963" w:rsidRPr="00A76041">
        <w:rPr>
          <w:rFonts w:ascii="Times New Roman" w:hAnsi="Times New Roman" w:cs="Times New Roman"/>
          <w:sz w:val="18"/>
          <w:szCs w:val="18"/>
          <w:lang w:val="es-MX"/>
        </w:rPr>
        <w:t>ju</w:t>
      </w:r>
      <w:r w:rsidR="00A76041" w:rsidRPr="00A76041">
        <w:rPr>
          <w:rFonts w:ascii="Times New Roman" w:hAnsi="Times New Roman" w:cs="Times New Roman"/>
          <w:sz w:val="18"/>
          <w:szCs w:val="18"/>
          <w:lang w:val="es-MX"/>
        </w:rPr>
        <w:t>l</w:t>
      </w:r>
      <w:r w:rsidR="004D7963" w:rsidRPr="00A76041">
        <w:rPr>
          <w:rFonts w:ascii="Times New Roman" w:hAnsi="Times New Roman" w:cs="Times New Roman"/>
          <w:sz w:val="18"/>
          <w:szCs w:val="18"/>
          <w:lang w:val="es-MX"/>
        </w:rPr>
        <w:t>i</w:t>
      </w:r>
      <w:r w:rsidR="0016607D" w:rsidRPr="00A76041">
        <w:rPr>
          <w:rFonts w:ascii="Times New Roman" w:hAnsi="Times New Roman" w:cs="Times New Roman"/>
          <w:sz w:val="18"/>
          <w:szCs w:val="18"/>
          <w:lang w:val="es-MX"/>
        </w:rPr>
        <w:t>o</w:t>
      </w:r>
      <w:r w:rsidRPr="00A76041">
        <w:rPr>
          <w:rFonts w:ascii="Times New Roman" w:hAnsi="Times New Roman" w:cs="Times New Roman"/>
          <w:sz w:val="18"/>
          <w:szCs w:val="18"/>
          <w:lang w:val="es-MX"/>
        </w:rPr>
        <w:t xml:space="preserve"> del 2023</w:t>
      </w:r>
    </w:p>
    <w:p w14:paraId="018C3AC5" w14:textId="0F24F13E" w:rsidR="00C527E2" w:rsidRPr="00A76041" w:rsidRDefault="00A76041" w:rsidP="00C527E2">
      <w:pPr>
        <w:spacing w:after="0" w:line="240" w:lineRule="auto"/>
        <w:jc w:val="center"/>
        <w:rPr>
          <w:rFonts w:ascii="Times New Roman" w:hAnsi="Times New Roman" w:cs="Times New Roman"/>
          <w:sz w:val="18"/>
          <w:szCs w:val="18"/>
          <w:lang w:val="es-MX"/>
        </w:rPr>
      </w:pPr>
      <w:r w:rsidRPr="00A76041">
        <w:rPr>
          <w:noProof/>
          <w:sz w:val="18"/>
          <w:szCs w:val="18"/>
          <w:lang w:eastAsia="es-GT"/>
        </w:rPr>
        <w:drawing>
          <wp:anchor distT="0" distB="0" distL="114300" distR="114300" simplePos="0" relativeHeight="252092416" behindDoc="0" locked="0" layoutInCell="1" allowOverlap="1" wp14:anchorId="1DDFA003" wp14:editId="19E6FA40">
            <wp:simplePos x="0" y="0"/>
            <wp:positionH relativeFrom="column">
              <wp:posOffset>-1962</wp:posOffset>
            </wp:positionH>
            <wp:positionV relativeFrom="paragraph">
              <wp:posOffset>129720</wp:posOffset>
            </wp:positionV>
            <wp:extent cx="2224585" cy="2067560"/>
            <wp:effectExtent l="0" t="0" r="4445" b="889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C527E2" w:rsidRPr="00A76041">
        <w:rPr>
          <w:rFonts w:ascii="Times New Roman" w:hAnsi="Times New Roman" w:cs="Times New Roman"/>
          <w:sz w:val="18"/>
          <w:szCs w:val="18"/>
          <w:lang w:val="es-MX"/>
        </w:rPr>
        <w:t>En porcentajes</w:t>
      </w:r>
    </w:p>
    <w:p w14:paraId="5F02D27A" w14:textId="32A5975C" w:rsidR="00FC1405" w:rsidRPr="00A76041" w:rsidRDefault="00FC1405" w:rsidP="00C527E2">
      <w:pPr>
        <w:spacing w:after="0" w:line="240" w:lineRule="auto"/>
        <w:jc w:val="center"/>
        <w:rPr>
          <w:rFonts w:ascii="Times New Roman" w:hAnsi="Times New Roman" w:cs="Times New Roman"/>
          <w:sz w:val="20"/>
          <w:szCs w:val="16"/>
          <w:lang w:val="es-MX"/>
        </w:rPr>
      </w:pPr>
    </w:p>
    <w:p w14:paraId="43AEFEBC" w14:textId="5CA2D81F" w:rsidR="006D32F5" w:rsidRPr="00A76041" w:rsidRDefault="006D32F5" w:rsidP="00C527E2">
      <w:pPr>
        <w:spacing w:after="0" w:line="240" w:lineRule="auto"/>
        <w:jc w:val="center"/>
        <w:rPr>
          <w:rFonts w:ascii="Times New Roman" w:hAnsi="Times New Roman" w:cs="Times New Roman"/>
          <w:szCs w:val="18"/>
          <w:lang w:val="es-MX"/>
        </w:rPr>
      </w:pPr>
    </w:p>
    <w:p w14:paraId="681EE881" w14:textId="3623E35A" w:rsidR="006D32F5" w:rsidRPr="00A76041" w:rsidRDefault="006D32F5" w:rsidP="00C527E2">
      <w:pPr>
        <w:spacing w:after="0" w:line="240" w:lineRule="auto"/>
        <w:jc w:val="center"/>
        <w:rPr>
          <w:rFonts w:ascii="Times New Roman" w:hAnsi="Times New Roman" w:cs="Times New Roman"/>
          <w:szCs w:val="18"/>
          <w:lang w:val="es-MX"/>
        </w:rPr>
      </w:pPr>
    </w:p>
    <w:p w14:paraId="6A9F765D" w14:textId="2BADF6E7" w:rsidR="006D32F5" w:rsidRPr="00A76041" w:rsidRDefault="006D32F5" w:rsidP="00C527E2">
      <w:pPr>
        <w:spacing w:after="0" w:line="240" w:lineRule="auto"/>
        <w:jc w:val="center"/>
        <w:rPr>
          <w:rFonts w:ascii="Times New Roman" w:hAnsi="Times New Roman" w:cs="Times New Roman"/>
          <w:szCs w:val="18"/>
          <w:lang w:val="es-MX"/>
        </w:rPr>
      </w:pPr>
    </w:p>
    <w:p w14:paraId="6E14FC99" w14:textId="61C090D9" w:rsidR="006D32F5" w:rsidRPr="00A76041" w:rsidRDefault="006D32F5" w:rsidP="00C527E2">
      <w:pPr>
        <w:spacing w:after="0" w:line="240" w:lineRule="auto"/>
        <w:jc w:val="center"/>
        <w:rPr>
          <w:rFonts w:ascii="Times New Roman" w:hAnsi="Times New Roman" w:cs="Times New Roman"/>
          <w:szCs w:val="18"/>
          <w:lang w:val="es-MX"/>
        </w:rPr>
      </w:pPr>
    </w:p>
    <w:p w14:paraId="7BB735C2" w14:textId="1CECA7B7" w:rsidR="00C527E2" w:rsidRPr="00A76041" w:rsidRDefault="00C527E2" w:rsidP="00C527E2">
      <w:pPr>
        <w:spacing w:after="0" w:line="240" w:lineRule="auto"/>
        <w:jc w:val="center"/>
        <w:rPr>
          <w:rFonts w:ascii="Times New Roman" w:hAnsi="Times New Roman" w:cs="Times New Roman"/>
          <w:szCs w:val="18"/>
          <w:lang w:val="es-MX"/>
        </w:rPr>
      </w:pPr>
    </w:p>
    <w:p w14:paraId="3E965B66" w14:textId="02ACB066" w:rsidR="00C527E2" w:rsidRPr="00A76041" w:rsidRDefault="00C527E2" w:rsidP="00C527E2">
      <w:pPr>
        <w:spacing w:after="0" w:line="240" w:lineRule="auto"/>
        <w:jc w:val="center"/>
        <w:rPr>
          <w:rFonts w:ascii="Times New Roman" w:hAnsi="Times New Roman" w:cs="Times New Roman"/>
          <w:szCs w:val="18"/>
          <w:lang w:val="es-MX"/>
        </w:rPr>
      </w:pPr>
    </w:p>
    <w:p w14:paraId="293D2A1A" w14:textId="1D0932F8" w:rsidR="00C527E2" w:rsidRPr="00A76041" w:rsidRDefault="00C527E2" w:rsidP="00C527E2">
      <w:pPr>
        <w:spacing w:after="0" w:line="240" w:lineRule="auto"/>
        <w:jc w:val="center"/>
        <w:rPr>
          <w:rFonts w:ascii="Times New Roman" w:hAnsi="Times New Roman" w:cs="Times New Roman"/>
          <w:szCs w:val="18"/>
          <w:lang w:val="es-MX"/>
        </w:rPr>
      </w:pPr>
    </w:p>
    <w:p w14:paraId="2A84FD51" w14:textId="485B32AF" w:rsidR="00C527E2" w:rsidRPr="00A76041" w:rsidRDefault="00C527E2" w:rsidP="00C527E2">
      <w:pPr>
        <w:spacing w:after="0" w:line="240" w:lineRule="auto"/>
        <w:jc w:val="center"/>
        <w:rPr>
          <w:rFonts w:ascii="Times New Roman" w:hAnsi="Times New Roman" w:cs="Times New Roman"/>
          <w:szCs w:val="18"/>
          <w:lang w:val="es-MX"/>
        </w:rPr>
      </w:pPr>
    </w:p>
    <w:p w14:paraId="01D0F3A4" w14:textId="5160EC0F" w:rsidR="00741401" w:rsidRDefault="00741401" w:rsidP="00785591">
      <w:pPr>
        <w:spacing w:after="0" w:line="240" w:lineRule="auto"/>
        <w:rPr>
          <w:rFonts w:ascii="Times New Roman" w:hAnsi="Times New Roman" w:cs="Times New Roman"/>
          <w:szCs w:val="18"/>
          <w:lang w:val="es-MX"/>
        </w:rPr>
      </w:pPr>
    </w:p>
    <w:p w14:paraId="0E4CCE79" w14:textId="3399B553" w:rsidR="00785591" w:rsidRDefault="00785591" w:rsidP="00785591">
      <w:pPr>
        <w:spacing w:after="0" w:line="240" w:lineRule="auto"/>
        <w:rPr>
          <w:rFonts w:ascii="Times New Roman" w:hAnsi="Times New Roman" w:cs="Times New Roman"/>
          <w:szCs w:val="18"/>
          <w:lang w:val="es-MX"/>
        </w:rPr>
      </w:pPr>
    </w:p>
    <w:p w14:paraId="2ACE01ED" w14:textId="3C2CB398" w:rsidR="00785591" w:rsidRDefault="00785591" w:rsidP="00785591">
      <w:pPr>
        <w:spacing w:after="0" w:line="240" w:lineRule="auto"/>
        <w:rPr>
          <w:rFonts w:ascii="Times New Roman" w:hAnsi="Times New Roman" w:cs="Times New Roman"/>
          <w:szCs w:val="18"/>
          <w:lang w:val="es-MX"/>
        </w:rPr>
      </w:pPr>
    </w:p>
    <w:p w14:paraId="19F2A789" w14:textId="0D11FA08" w:rsidR="00785591" w:rsidRDefault="00785591" w:rsidP="00785591">
      <w:pPr>
        <w:spacing w:after="0" w:line="240" w:lineRule="auto"/>
        <w:rPr>
          <w:rFonts w:ascii="Times New Roman" w:hAnsi="Times New Roman" w:cs="Times New Roman"/>
          <w:szCs w:val="18"/>
          <w:lang w:val="es-MX"/>
        </w:rPr>
      </w:pPr>
    </w:p>
    <w:p w14:paraId="0597B4E1" w14:textId="2C0DD6BD" w:rsidR="00C527E2" w:rsidRPr="00A76041" w:rsidRDefault="00C527E2" w:rsidP="00C527E2">
      <w:pPr>
        <w:spacing w:after="0" w:line="240" w:lineRule="auto"/>
        <w:jc w:val="both"/>
        <w:rPr>
          <w:rFonts w:ascii="Times New Roman" w:hAnsi="Times New Roman" w:cs="Times New Roman"/>
          <w:sz w:val="14"/>
          <w:szCs w:val="14"/>
        </w:rPr>
      </w:pPr>
      <w:r w:rsidRPr="00A76041">
        <w:rPr>
          <w:rFonts w:ascii="Times New Roman" w:hAnsi="Times New Roman" w:cs="Times New Roman"/>
          <w:sz w:val="14"/>
          <w:szCs w:val="14"/>
        </w:rPr>
        <w:t>Fuente: Dirección de Análisis y Política Fiscal.</w:t>
      </w:r>
    </w:p>
    <w:p w14:paraId="2E55D343" w14:textId="153CBD37" w:rsidR="00A76041" w:rsidRDefault="00A76041" w:rsidP="00A76041">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el cual se encuentra compuesto por el gasto en salud, educación y vivienda, reportando un desempeño dinámico respecto al año previo, con un crecimiento de 13.1%, siendo el rubro de mayor crecimiento el asociado a la vivienda, explicado por el dinamismo en el Ministerio de Comunicaciones. </w:t>
      </w:r>
    </w:p>
    <w:p w14:paraId="2D968530" w14:textId="37EDF3C4" w:rsidR="00A76041" w:rsidRDefault="00A76041" w:rsidP="00A76041">
      <w:pPr>
        <w:pStyle w:val="Sinespaciado"/>
        <w:jc w:val="both"/>
        <w:rPr>
          <w:rFonts w:ascii="Times New Roman" w:hAnsi="Times New Roman" w:cs="Times New Roman"/>
          <w:lang w:val="es-MX"/>
        </w:rPr>
      </w:pPr>
    </w:p>
    <w:p w14:paraId="54D4F404" w14:textId="2CBF5D5A" w:rsidR="00C527E2" w:rsidRPr="00A37A37" w:rsidRDefault="00A76041" w:rsidP="00A76041">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13.6%, equivalente a Q3,921.8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Q620.2 millones.</w:t>
      </w:r>
    </w:p>
    <w:p w14:paraId="6C865D93" w14:textId="77777777" w:rsidR="00FC1405" w:rsidRPr="00A37A37" w:rsidRDefault="00FC1405" w:rsidP="00423752">
      <w:pPr>
        <w:pStyle w:val="Sinespaciado"/>
        <w:jc w:val="both"/>
        <w:rPr>
          <w:rFonts w:ascii="Times New Roman" w:hAnsi="Times New Roman" w:cs="Times New Roman"/>
          <w:color w:val="FF0000"/>
          <w:sz w:val="18"/>
          <w:szCs w:val="18"/>
          <w:lang w:val="es-MX"/>
        </w:rPr>
      </w:pPr>
    </w:p>
    <w:p w14:paraId="2E7D198C" w14:textId="7664E139" w:rsidR="00C527E2" w:rsidRPr="00A76041" w:rsidRDefault="00C527E2" w:rsidP="00C527E2">
      <w:pPr>
        <w:pStyle w:val="Sinespaciado"/>
        <w:jc w:val="center"/>
        <w:rPr>
          <w:rFonts w:ascii="Times New Roman" w:hAnsi="Times New Roman" w:cs="Times New Roman"/>
          <w:b/>
          <w:lang w:val="es-MX"/>
        </w:rPr>
      </w:pPr>
      <w:r w:rsidRPr="00A76041">
        <w:rPr>
          <w:rFonts w:ascii="Times New Roman" w:hAnsi="Times New Roman" w:cs="Times New Roman"/>
          <w:b/>
          <w:lang w:val="es-MX"/>
        </w:rPr>
        <w:t>Ejecución y crecimiento del Gasto Social</w:t>
      </w:r>
    </w:p>
    <w:p w14:paraId="317241A4" w14:textId="7151E9C1" w:rsidR="00FC1405" w:rsidRPr="00A76041" w:rsidRDefault="008E4819" w:rsidP="00684381">
      <w:pPr>
        <w:pStyle w:val="Sinespaciado"/>
        <w:jc w:val="center"/>
        <w:rPr>
          <w:rFonts w:ascii="Times New Roman" w:hAnsi="Times New Roman" w:cs="Times New Roman"/>
          <w:sz w:val="18"/>
          <w:szCs w:val="16"/>
          <w:lang w:val="es-MX"/>
        </w:rPr>
      </w:pPr>
      <w:r w:rsidRPr="00A76041">
        <w:rPr>
          <w:rFonts w:ascii="Times New Roman" w:hAnsi="Times New Roman" w:cs="Times New Roman"/>
          <w:sz w:val="18"/>
          <w:szCs w:val="16"/>
          <w:lang w:val="es-MX"/>
        </w:rPr>
        <w:t xml:space="preserve">Al </w:t>
      </w:r>
      <w:r w:rsidR="00741401" w:rsidRPr="00A76041">
        <w:rPr>
          <w:rFonts w:ascii="Times New Roman" w:hAnsi="Times New Roman" w:cs="Times New Roman"/>
          <w:sz w:val="18"/>
          <w:szCs w:val="16"/>
          <w:lang w:val="es-MX"/>
        </w:rPr>
        <w:t>3</w:t>
      </w:r>
      <w:r w:rsidR="00A76041" w:rsidRPr="00A76041">
        <w:rPr>
          <w:rFonts w:ascii="Times New Roman" w:hAnsi="Times New Roman" w:cs="Times New Roman"/>
          <w:sz w:val="18"/>
          <w:szCs w:val="16"/>
          <w:lang w:val="es-MX"/>
        </w:rPr>
        <w:t>1</w:t>
      </w:r>
      <w:r w:rsidRPr="00A76041">
        <w:rPr>
          <w:rFonts w:ascii="Times New Roman" w:hAnsi="Times New Roman" w:cs="Times New Roman"/>
          <w:sz w:val="18"/>
          <w:szCs w:val="16"/>
          <w:lang w:val="es-MX"/>
        </w:rPr>
        <w:t xml:space="preserve"> de </w:t>
      </w:r>
      <w:r w:rsidR="004D7963" w:rsidRPr="00A76041">
        <w:rPr>
          <w:rFonts w:ascii="Times New Roman" w:hAnsi="Times New Roman" w:cs="Times New Roman"/>
          <w:sz w:val="18"/>
          <w:szCs w:val="16"/>
          <w:lang w:val="es-MX"/>
        </w:rPr>
        <w:t>ju</w:t>
      </w:r>
      <w:r w:rsidR="00A76041" w:rsidRPr="00A76041">
        <w:rPr>
          <w:rFonts w:ascii="Times New Roman" w:hAnsi="Times New Roman" w:cs="Times New Roman"/>
          <w:sz w:val="18"/>
          <w:szCs w:val="16"/>
          <w:lang w:val="es-MX"/>
        </w:rPr>
        <w:t>l</w:t>
      </w:r>
      <w:r w:rsidR="004D7963" w:rsidRPr="00A76041">
        <w:rPr>
          <w:rFonts w:ascii="Times New Roman" w:hAnsi="Times New Roman" w:cs="Times New Roman"/>
          <w:sz w:val="18"/>
          <w:szCs w:val="16"/>
          <w:lang w:val="es-MX"/>
        </w:rPr>
        <w:t>i</w:t>
      </w:r>
      <w:r w:rsidR="00E16520" w:rsidRPr="00A76041">
        <w:rPr>
          <w:rFonts w:ascii="Times New Roman" w:hAnsi="Times New Roman" w:cs="Times New Roman"/>
          <w:sz w:val="18"/>
          <w:szCs w:val="16"/>
          <w:lang w:val="es-MX"/>
        </w:rPr>
        <w:t>o</w:t>
      </w:r>
      <w:r w:rsidRPr="00A76041">
        <w:rPr>
          <w:rFonts w:ascii="Times New Roman" w:hAnsi="Times New Roman" w:cs="Times New Roman"/>
          <w:sz w:val="18"/>
          <w:szCs w:val="16"/>
          <w:lang w:val="es-MX"/>
        </w:rPr>
        <w:t xml:space="preserve"> de cada año</w:t>
      </w:r>
    </w:p>
    <w:p w14:paraId="414DF711" w14:textId="3B450833" w:rsidR="00684381" w:rsidRPr="00A76041" w:rsidRDefault="00A76041" w:rsidP="00684381">
      <w:pPr>
        <w:pStyle w:val="Sinespaciado"/>
        <w:jc w:val="center"/>
        <w:rPr>
          <w:rFonts w:ascii="Times New Roman" w:hAnsi="Times New Roman" w:cs="Times New Roman"/>
          <w:sz w:val="18"/>
          <w:szCs w:val="16"/>
          <w:lang w:val="es-MX"/>
        </w:rPr>
      </w:pPr>
      <w:r w:rsidRPr="00A76041">
        <w:rPr>
          <w:noProof/>
        </w:rPr>
        <w:drawing>
          <wp:anchor distT="0" distB="0" distL="114300" distR="114300" simplePos="0" relativeHeight="252096512" behindDoc="0" locked="0" layoutInCell="1" allowOverlap="1" wp14:anchorId="4BBA7F2C" wp14:editId="39A18915">
            <wp:simplePos x="0" y="0"/>
            <wp:positionH relativeFrom="column">
              <wp:posOffset>1564</wp:posOffset>
            </wp:positionH>
            <wp:positionV relativeFrom="paragraph">
              <wp:posOffset>206138</wp:posOffset>
            </wp:positionV>
            <wp:extent cx="2524760" cy="138430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76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381" w:rsidRPr="00A76041">
        <w:rPr>
          <w:rFonts w:ascii="Times New Roman" w:hAnsi="Times New Roman" w:cs="Times New Roman"/>
          <w:sz w:val="18"/>
          <w:szCs w:val="16"/>
          <w:lang w:val="es-MX"/>
        </w:rPr>
        <w:t>Cifras en porcentajes y en millones de quetzales</w:t>
      </w:r>
    </w:p>
    <w:p w14:paraId="17D09F68" w14:textId="3A5DCB17" w:rsidR="00FC45AB" w:rsidRPr="00A76041" w:rsidRDefault="00C527E2" w:rsidP="00B15E0D">
      <w:pPr>
        <w:pStyle w:val="Sinespaciado"/>
        <w:spacing w:after="240"/>
        <w:rPr>
          <w:rFonts w:ascii="Times New Roman" w:hAnsi="Times New Roman" w:cs="Times New Roman"/>
          <w:sz w:val="14"/>
          <w:szCs w:val="14"/>
        </w:rPr>
      </w:pPr>
      <w:r w:rsidRPr="00A76041">
        <w:rPr>
          <w:rFonts w:ascii="Times New Roman" w:hAnsi="Times New Roman" w:cs="Times New Roman"/>
          <w:sz w:val="14"/>
          <w:szCs w:val="14"/>
        </w:rPr>
        <w:t>Fuente: Dirección de Análisis y Política Fiscal</w:t>
      </w:r>
      <w:r w:rsidR="006D32F5" w:rsidRPr="00A76041">
        <w:rPr>
          <w:rFonts w:ascii="Times New Roman" w:hAnsi="Times New Roman" w:cs="Times New Roman"/>
          <w:sz w:val="14"/>
          <w:szCs w:val="14"/>
        </w:rPr>
        <w:t>.</w:t>
      </w:r>
    </w:p>
    <w:p w14:paraId="676DD813" w14:textId="77777777" w:rsidR="00684381" w:rsidRDefault="00684381" w:rsidP="0019075F">
      <w:pPr>
        <w:pStyle w:val="Sinespaciado"/>
        <w:rPr>
          <w:rFonts w:ascii="Times New Roman" w:hAnsi="Times New Roman" w:cs="Times New Roman"/>
          <w:color w:val="FF0000"/>
          <w:sz w:val="12"/>
          <w:szCs w:val="16"/>
        </w:rPr>
      </w:pPr>
    </w:p>
    <w:p w14:paraId="61D1EED1" w14:textId="77777777" w:rsidR="005606B1" w:rsidRDefault="005606B1" w:rsidP="0019075F">
      <w:pPr>
        <w:pStyle w:val="Sinespaciado"/>
        <w:rPr>
          <w:rFonts w:ascii="Times New Roman" w:hAnsi="Times New Roman" w:cs="Times New Roman"/>
          <w:color w:val="FF0000"/>
          <w:sz w:val="12"/>
          <w:szCs w:val="16"/>
        </w:rPr>
      </w:pPr>
    </w:p>
    <w:p w14:paraId="66C27B1F" w14:textId="77777777" w:rsidR="005606B1" w:rsidRDefault="005606B1" w:rsidP="0019075F">
      <w:pPr>
        <w:pStyle w:val="Sinespaciado"/>
        <w:rPr>
          <w:rFonts w:ascii="Times New Roman" w:hAnsi="Times New Roman" w:cs="Times New Roman"/>
          <w:color w:val="FF0000"/>
          <w:sz w:val="12"/>
          <w:szCs w:val="16"/>
        </w:rPr>
      </w:pPr>
    </w:p>
    <w:p w14:paraId="6C713F0C" w14:textId="4DC3ACA1" w:rsidR="005606B1" w:rsidRPr="00A37A37" w:rsidRDefault="005606B1" w:rsidP="0019075F">
      <w:pPr>
        <w:pStyle w:val="Sinespaciado"/>
        <w:rPr>
          <w:rFonts w:ascii="Times New Roman" w:hAnsi="Times New Roman" w:cs="Times New Roman"/>
          <w:color w:val="FF0000"/>
          <w:sz w:val="12"/>
          <w:szCs w:val="16"/>
        </w:rPr>
        <w:sectPr w:rsidR="005606B1" w:rsidRPr="00A37A37" w:rsidSect="00F23E3F">
          <w:type w:val="continuous"/>
          <w:pgSz w:w="12240" w:h="15840"/>
          <w:pgMar w:top="1417" w:right="1701" w:bottom="1417" w:left="1701" w:header="708" w:footer="708" w:gutter="0"/>
          <w:cols w:num="2" w:space="708"/>
          <w:docGrid w:linePitch="360"/>
        </w:sectPr>
      </w:pPr>
    </w:p>
    <w:p w14:paraId="19AA4E07" w14:textId="30DFD6A5" w:rsidR="00F23E3F" w:rsidRPr="00324AA3" w:rsidRDefault="00324AA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324AA3">
        <w:rPr>
          <w:rFonts w:ascii="Times New Roman" w:hAnsi="Times New Roman" w:cs="Times New Roman"/>
          <w:b/>
          <w:color w:val="FFFFFF" w:themeColor="background1"/>
          <w:sz w:val="24"/>
          <w:szCs w:val="24"/>
          <w:lang w:val="es-MX"/>
        </w:rPr>
        <w:t>Luego de la colocación del</w:t>
      </w:r>
      <w:r w:rsidR="006765A4" w:rsidRPr="00324AA3">
        <w:rPr>
          <w:rFonts w:ascii="Times New Roman" w:hAnsi="Times New Roman" w:cs="Times New Roman"/>
          <w:b/>
          <w:color w:val="FFFFFF" w:themeColor="background1"/>
          <w:sz w:val="24"/>
          <w:szCs w:val="24"/>
          <w:lang w:val="es-MX"/>
        </w:rPr>
        <w:t xml:space="preserve"> </w:t>
      </w:r>
      <w:r w:rsidR="00E16520" w:rsidRPr="00324AA3">
        <w:rPr>
          <w:rFonts w:ascii="Times New Roman" w:hAnsi="Times New Roman" w:cs="Times New Roman"/>
          <w:b/>
          <w:color w:val="FFFFFF" w:themeColor="background1"/>
          <w:sz w:val="24"/>
          <w:szCs w:val="24"/>
          <w:lang w:val="es-MX"/>
        </w:rPr>
        <w:t>Eurob</w:t>
      </w:r>
      <w:r w:rsidR="0089134E" w:rsidRPr="00324AA3">
        <w:rPr>
          <w:rFonts w:ascii="Times New Roman" w:hAnsi="Times New Roman" w:cs="Times New Roman"/>
          <w:b/>
          <w:color w:val="FFFFFF" w:themeColor="background1"/>
          <w:sz w:val="24"/>
          <w:szCs w:val="24"/>
          <w:lang w:val="es-MX"/>
        </w:rPr>
        <w:t>ono</w:t>
      </w:r>
      <w:r w:rsidRPr="00324AA3">
        <w:rPr>
          <w:rFonts w:ascii="Times New Roman" w:hAnsi="Times New Roman" w:cs="Times New Roman"/>
          <w:b/>
          <w:color w:val="FFFFFF" w:themeColor="background1"/>
          <w:sz w:val="24"/>
          <w:szCs w:val="24"/>
          <w:lang w:val="es-MX"/>
        </w:rPr>
        <w:t>, las colocaciones internas se ralentizan</w:t>
      </w:r>
    </w:p>
    <w:p w14:paraId="35802F58" w14:textId="77777777" w:rsidR="00C76B98" w:rsidRPr="00A37A37" w:rsidRDefault="00C76B98" w:rsidP="00E02DD8">
      <w:pPr>
        <w:pStyle w:val="Sinespaciado"/>
        <w:rPr>
          <w:rFonts w:ascii="Times New Roman" w:hAnsi="Times New Roman" w:cs="Times New Roman"/>
          <w:color w:val="FF0000"/>
          <w:sz w:val="18"/>
          <w:szCs w:val="18"/>
          <w:lang w:val="es-MX"/>
        </w:rPr>
      </w:pPr>
    </w:p>
    <w:p w14:paraId="11A523C7" w14:textId="77777777" w:rsidR="00C76B98" w:rsidRPr="00A37A37" w:rsidRDefault="00C76B98" w:rsidP="00C76B98">
      <w:pPr>
        <w:spacing w:after="0"/>
        <w:rPr>
          <w:rFonts w:ascii="Times New Roman" w:hAnsi="Times New Roman" w:cs="Times New Roman"/>
          <w:color w:val="FF0000"/>
          <w:sz w:val="14"/>
        </w:rPr>
        <w:sectPr w:rsidR="00C76B98" w:rsidRPr="00A37A37" w:rsidSect="00960BE9">
          <w:headerReference w:type="default" r:id="rId32"/>
          <w:footerReference w:type="default" r:id="rId33"/>
          <w:type w:val="continuous"/>
          <w:pgSz w:w="12240" w:h="15840"/>
          <w:pgMar w:top="1417" w:right="1701" w:bottom="1417" w:left="1701" w:header="708" w:footer="708" w:gutter="0"/>
          <w:cols w:space="708"/>
          <w:docGrid w:linePitch="360"/>
        </w:sectPr>
      </w:pPr>
    </w:p>
    <w:p w14:paraId="470989E4" w14:textId="5D07F49B" w:rsidR="00324AA3" w:rsidRDefault="0093398D" w:rsidP="00746622">
      <w:pPr>
        <w:pStyle w:val="Sinespaciado"/>
        <w:ind w:right="-46"/>
        <w:jc w:val="both"/>
        <w:rPr>
          <w:rFonts w:ascii="Times New Roman" w:hAnsi="Times New Roman" w:cs="Times New Roman"/>
        </w:rPr>
      </w:pPr>
      <w:r w:rsidRPr="0093398D">
        <w:rPr>
          <w:rFonts w:ascii="Times New Roman" w:hAnsi="Times New Roman" w:cs="Times New Roman"/>
        </w:rPr>
        <w:t>A principios de junio, Guatemala colocó US$1,000 millones (Q7,833.2 millones) en el mercado internacional por medio de un Eurobono. Esta emisión se realizó siendo la vida media de 12 años (con vencimiento en el 2036) y una tasa de cupón de 6.60%, en condiciones que todavía se consideran bastante favorables para el país, a pesar del entorno económico internacional y nacional de subida de tasa de política monetaria por parte de los Bancos Centrales como mecanismo para controlar la inflación y por consiguiente de las tasas de interés en los bancos del sistema financiero.</w:t>
      </w:r>
    </w:p>
    <w:p w14:paraId="019AD235" w14:textId="77777777" w:rsidR="00746622" w:rsidRPr="00746622" w:rsidRDefault="00746622" w:rsidP="00746622">
      <w:pPr>
        <w:pStyle w:val="Sinespaciado"/>
        <w:ind w:right="-46"/>
        <w:jc w:val="both"/>
        <w:rPr>
          <w:rFonts w:ascii="Times New Roman" w:hAnsi="Times New Roman" w:cs="Times New Roman"/>
          <w:sz w:val="18"/>
          <w:szCs w:val="18"/>
        </w:rPr>
      </w:pPr>
    </w:p>
    <w:p w14:paraId="53FBBC8E" w14:textId="73A48887" w:rsidR="00324AA3" w:rsidRDefault="00324AA3" w:rsidP="00746622">
      <w:pPr>
        <w:pStyle w:val="Sinespaciado"/>
        <w:ind w:right="-46"/>
        <w:jc w:val="both"/>
        <w:rPr>
          <w:rFonts w:ascii="Times New Roman" w:hAnsi="Times New Roman" w:cs="Times New Roman"/>
        </w:rPr>
      </w:pPr>
      <w:r>
        <w:rPr>
          <w:rFonts w:ascii="Times New Roman" w:hAnsi="Times New Roman" w:cs="Times New Roman"/>
        </w:rPr>
        <w:t>La demanda del Eurobono fue bastante significativa, alcanzando los US$3,200 millones, reflejando la confianza que tienen los inversionistas en los títulos de deuda que emite el Estado de Guatemala.</w:t>
      </w:r>
    </w:p>
    <w:p w14:paraId="0A168880" w14:textId="77777777" w:rsidR="00746622" w:rsidRPr="00746622" w:rsidRDefault="00746622" w:rsidP="00746622">
      <w:pPr>
        <w:pStyle w:val="Sinespaciado"/>
        <w:ind w:right="-46"/>
        <w:jc w:val="both"/>
        <w:rPr>
          <w:rFonts w:ascii="Times New Roman" w:hAnsi="Times New Roman" w:cs="Times New Roman"/>
          <w:sz w:val="18"/>
          <w:szCs w:val="18"/>
        </w:rPr>
      </w:pPr>
    </w:p>
    <w:p w14:paraId="7B7D6D6C" w14:textId="29F95D56" w:rsidR="00324AA3" w:rsidRDefault="00324AA3" w:rsidP="00746622">
      <w:pPr>
        <w:pStyle w:val="Sinespaciado"/>
        <w:ind w:right="-46"/>
        <w:jc w:val="both"/>
        <w:rPr>
          <w:rFonts w:ascii="Times New Roman" w:hAnsi="Times New Roman" w:cs="Times New Roman"/>
        </w:rPr>
      </w:pPr>
      <w:r>
        <w:rPr>
          <w:rFonts w:ascii="Times New Roman" w:hAnsi="Times New Roman" w:cs="Times New Roman"/>
        </w:rPr>
        <w:t xml:space="preserve">Es relevante indicar que en la sesión celebrada el 28 de junio, la Junta Monetaria decidió por unanimidad mantener en 5.0% el nivel de la tasa de interés de política monetaria, siendo la tercera vez consecutiva que decide mantener la tasa en dicho nivel. </w:t>
      </w:r>
    </w:p>
    <w:p w14:paraId="5E7E7B24" w14:textId="77777777" w:rsidR="00746622" w:rsidRPr="00746622" w:rsidRDefault="00746622" w:rsidP="00746622">
      <w:pPr>
        <w:pStyle w:val="Sinespaciado"/>
        <w:ind w:right="-46"/>
        <w:jc w:val="both"/>
        <w:rPr>
          <w:rFonts w:ascii="Times New Roman" w:hAnsi="Times New Roman" w:cs="Times New Roman"/>
          <w:sz w:val="18"/>
          <w:szCs w:val="18"/>
        </w:rPr>
      </w:pPr>
    </w:p>
    <w:p w14:paraId="15DBC046" w14:textId="44D9A9D6" w:rsidR="00324AA3" w:rsidRDefault="00324AA3" w:rsidP="00746622">
      <w:pPr>
        <w:pStyle w:val="Sinespaciado"/>
        <w:ind w:right="-46"/>
        <w:jc w:val="both"/>
        <w:rPr>
          <w:rFonts w:ascii="Times New Roman" w:hAnsi="Times New Roman" w:cs="Times New Roman"/>
        </w:rPr>
      </w:pPr>
      <w:r>
        <w:rPr>
          <w:rFonts w:ascii="Times New Roman" w:hAnsi="Times New Roman" w:cs="Times New Roman"/>
        </w:rPr>
        <w:t xml:space="preserve">Mientras que, en el escenario internacional, la Reserva Federal de los EE.UU., el 26 de julio decidió elevar la tasa de política monetaria al </w:t>
      </w:r>
      <w:r>
        <w:rPr>
          <w:rFonts w:ascii="Times New Roman" w:hAnsi="Times New Roman" w:cs="Times New Roman"/>
        </w:rPr>
        <w:lastRenderedPageBreak/>
        <w:t xml:space="preserve">rango de 5.25% a 5.50% e indicó que la inflación aún se encuentra fuera de la meta establecida de 2.0%, por lo que no descartan nuevas subidas.  </w:t>
      </w:r>
    </w:p>
    <w:p w14:paraId="6D554FC1" w14:textId="77777777" w:rsidR="00746622" w:rsidRPr="00746622" w:rsidRDefault="00746622" w:rsidP="00746622">
      <w:pPr>
        <w:pStyle w:val="Sinespaciado"/>
        <w:ind w:right="-46"/>
        <w:jc w:val="both"/>
        <w:rPr>
          <w:rFonts w:ascii="Times New Roman" w:hAnsi="Times New Roman" w:cs="Times New Roman"/>
          <w:sz w:val="18"/>
          <w:szCs w:val="18"/>
        </w:rPr>
      </w:pPr>
    </w:p>
    <w:p w14:paraId="09FA4679" w14:textId="7741DB3C" w:rsidR="00324AA3" w:rsidRDefault="00324AA3" w:rsidP="00746622">
      <w:pPr>
        <w:pStyle w:val="Sinespaciado"/>
        <w:ind w:right="-46"/>
        <w:jc w:val="both"/>
        <w:rPr>
          <w:rFonts w:ascii="Times New Roman" w:hAnsi="Times New Roman" w:cs="Times New Roman"/>
        </w:rPr>
      </w:pPr>
      <w:r>
        <w:rPr>
          <w:rFonts w:ascii="Times New Roman" w:hAnsi="Times New Roman" w:cs="Times New Roman"/>
        </w:rPr>
        <w:t xml:space="preserve">La </w:t>
      </w:r>
      <w:r w:rsidRPr="00746622">
        <w:rPr>
          <w:rFonts w:ascii="Times New Roman" w:hAnsi="Times New Roman" w:cs="Times New Roman"/>
        </w:rPr>
        <w:t xml:space="preserve">inflación de julio continúo reduciéndose al ubicarse en </w:t>
      </w:r>
      <w:r w:rsidR="00746622" w:rsidRPr="00746622">
        <w:rPr>
          <w:rFonts w:ascii="Times New Roman" w:hAnsi="Times New Roman" w:cs="Times New Roman"/>
        </w:rPr>
        <w:t>4.5</w:t>
      </w:r>
      <w:r w:rsidRPr="00746622">
        <w:rPr>
          <w:rFonts w:ascii="Times New Roman" w:hAnsi="Times New Roman" w:cs="Times New Roman"/>
        </w:rPr>
        <w:t>% (4.9% en junio)</w:t>
      </w:r>
      <w:r>
        <w:rPr>
          <w:rFonts w:ascii="Times New Roman" w:hAnsi="Times New Roman" w:cs="Times New Roman"/>
        </w:rPr>
        <w:t xml:space="preserve"> como resultado del esfuerzo del Banco de Guatemala en mantener ancladas las expectativas inflacionarias con aumentos en la tasa de interés líder de política monetaria. De acuerdo al </w:t>
      </w:r>
      <w:proofErr w:type="spellStart"/>
      <w:r>
        <w:rPr>
          <w:rFonts w:ascii="Times New Roman" w:hAnsi="Times New Roman" w:cs="Times New Roman"/>
        </w:rPr>
        <w:t>Banguat</w:t>
      </w:r>
      <w:proofErr w:type="spellEnd"/>
      <w:r>
        <w:rPr>
          <w:rFonts w:ascii="Times New Roman" w:hAnsi="Times New Roman" w:cs="Times New Roman"/>
        </w:rPr>
        <w:t>, tanto los pronósticos como las expectativas muestran que la inflación mantendría la trayectoria decreciente que convergería a la meta de 4% ±1% para final del año.</w:t>
      </w:r>
    </w:p>
    <w:p w14:paraId="3A20B749" w14:textId="77777777" w:rsidR="00746622" w:rsidRPr="00746622" w:rsidRDefault="00746622" w:rsidP="00746622">
      <w:pPr>
        <w:pStyle w:val="Sinespaciado"/>
        <w:ind w:right="-46"/>
        <w:jc w:val="both"/>
        <w:rPr>
          <w:rFonts w:ascii="Times New Roman" w:hAnsi="Times New Roman" w:cs="Times New Roman"/>
          <w:sz w:val="18"/>
          <w:szCs w:val="18"/>
        </w:rPr>
      </w:pPr>
    </w:p>
    <w:p w14:paraId="5F3AFF50" w14:textId="56E536CA" w:rsidR="00FA6265" w:rsidRDefault="00324AA3" w:rsidP="00324AA3">
      <w:pPr>
        <w:pStyle w:val="Sinespaciado"/>
        <w:ind w:right="-46"/>
        <w:jc w:val="both"/>
        <w:rPr>
          <w:rFonts w:ascii="Times New Roman" w:hAnsi="Times New Roman" w:cs="Times New Roman"/>
        </w:rPr>
      </w:pPr>
      <w:r>
        <w:rPr>
          <w:rFonts w:ascii="Times New Roman" w:hAnsi="Times New Roman" w:cs="Times New Roman"/>
        </w:rPr>
        <w:t xml:space="preserve">Adicionalmente, es importante considerar </w:t>
      </w:r>
      <w:r w:rsidRPr="00D07D76">
        <w:rPr>
          <w:rFonts w:ascii="Times New Roman" w:hAnsi="Times New Roman" w:cs="Times New Roman"/>
        </w:rPr>
        <w:t xml:space="preserve">que en el Congreso de la República se encuentran </w:t>
      </w:r>
      <w:r w:rsidRPr="00324AA3">
        <w:rPr>
          <w:rFonts w:ascii="Times New Roman" w:hAnsi="Times New Roman" w:cs="Times New Roman"/>
        </w:rPr>
        <w:t>cuatro préstamos en trámite de ser aprobados.</w:t>
      </w:r>
    </w:p>
    <w:p w14:paraId="3273BD86" w14:textId="77777777" w:rsidR="00324AA3" w:rsidRPr="00746622" w:rsidRDefault="00324AA3" w:rsidP="00324AA3">
      <w:pPr>
        <w:pStyle w:val="Sinespaciado"/>
        <w:ind w:right="-46"/>
        <w:jc w:val="both"/>
        <w:rPr>
          <w:rFonts w:ascii="Times New Roman" w:hAnsi="Times New Roman" w:cs="Times New Roman"/>
          <w:sz w:val="18"/>
          <w:szCs w:val="18"/>
        </w:rPr>
      </w:pPr>
    </w:p>
    <w:p w14:paraId="1F774B23" w14:textId="562D0433" w:rsidR="00324AA3" w:rsidRDefault="00324AA3" w:rsidP="00746622">
      <w:pPr>
        <w:pStyle w:val="Sinespaciado"/>
        <w:ind w:right="-46"/>
        <w:jc w:val="both"/>
        <w:rPr>
          <w:rFonts w:ascii="Times New Roman" w:hAnsi="Times New Roman" w:cs="Times New Roman"/>
        </w:rPr>
      </w:pPr>
      <w:r w:rsidRPr="00324AA3">
        <w:rPr>
          <w:rFonts w:ascii="Times New Roman" w:hAnsi="Times New Roman" w:cs="Times New Roman"/>
        </w:rPr>
        <w:t xml:space="preserve">Son de suma importancia los préstamos de apoyo presupuestario, negociados con el Banco Internacional de Reconstrucción y Fomento (BIRF) por US$250 millones y con el Banco Interamericano de Desarrollo (BID) por </w:t>
      </w:r>
      <w:r w:rsidRPr="00324AA3">
        <w:rPr>
          <w:rFonts w:ascii="Times New Roman" w:hAnsi="Times New Roman" w:cs="Times New Roman"/>
        </w:rPr>
        <w:t>US$300 millones, derivado que se incorporarían al Presupuesto el equivalente a US$550.0 millones (alrededor de Q4,290 millones), por medio de una sustitución de fuente de financiamiento, liberando recursos de la colocación de bonos del tesoro, todo ello sin incrementar el Presupuesto General de Egresos vigente para el 2023, porque ello no representaría ingresos y gastos adicionales.</w:t>
      </w:r>
      <w:r w:rsidR="00746622">
        <w:rPr>
          <w:rFonts w:ascii="Times New Roman" w:hAnsi="Times New Roman" w:cs="Times New Roman"/>
        </w:rPr>
        <w:t xml:space="preserve">  </w:t>
      </w:r>
      <w:r w:rsidRPr="00324AA3">
        <w:rPr>
          <w:rFonts w:ascii="Times New Roman" w:hAnsi="Times New Roman" w:cs="Times New Roman"/>
        </w:rPr>
        <w:t>Estos préstamos cobran relevancia, dado que consideran condiciones financieras bastante favorables, representando ahorros en contraste con una emisión local.</w:t>
      </w:r>
    </w:p>
    <w:p w14:paraId="5CF32791" w14:textId="77777777" w:rsidR="00746622" w:rsidRPr="00746622" w:rsidRDefault="00746622" w:rsidP="00746622">
      <w:pPr>
        <w:pStyle w:val="Sinespaciado"/>
        <w:ind w:right="-46"/>
        <w:jc w:val="both"/>
        <w:rPr>
          <w:rFonts w:ascii="Times New Roman" w:hAnsi="Times New Roman" w:cs="Times New Roman"/>
          <w:sz w:val="18"/>
          <w:szCs w:val="18"/>
        </w:rPr>
      </w:pPr>
    </w:p>
    <w:p w14:paraId="42EC75DA" w14:textId="77777777" w:rsidR="00A667C8" w:rsidRPr="00324AA3" w:rsidRDefault="00A667C8" w:rsidP="00A667C8">
      <w:pPr>
        <w:spacing w:after="0" w:line="240" w:lineRule="auto"/>
        <w:ind w:right="95"/>
        <w:jc w:val="center"/>
        <w:rPr>
          <w:rFonts w:ascii="Times New Roman" w:eastAsia="Times New Roman" w:hAnsi="Times New Roman" w:cs="Times New Roman"/>
          <w:b/>
          <w:sz w:val="23"/>
          <w:szCs w:val="23"/>
          <w:lang w:val="es-MX"/>
        </w:rPr>
      </w:pPr>
      <w:r w:rsidRPr="00324AA3">
        <w:rPr>
          <w:rFonts w:ascii="Times New Roman" w:eastAsia="Times New Roman" w:hAnsi="Times New Roman" w:cs="Times New Roman"/>
          <w:b/>
          <w:sz w:val="23"/>
          <w:szCs w:val="23"/>
          <w:lang w:val="es-MX"/>
        </w:rPr>
        <w:t>Colocación de Bonos del Tesoro</w:t>
      </w:r>
    </w:p>
    <w:p w14:paraId="0471F93A" w14:textId="48048C23" w:rsidR="00A667C8" w:rsidRPr="00324AA3" w:rsidRDefault="00A667C8" w:rsidP="00A667C8">
      <w:pPr>
        <w:pStyle w:val="Sinespaciado"/>
        <w:jc w:val="center"/>
        <w:rPr>
          <w:rFonts w:ascii="Times New Roman" w:hAnsi="Times New Roman" w:cs="Times New Roman"/>
          <w:sz w:val="18"/>
          <w:szCs w:val="18"/>
        </w:rPr>
      </w:pPr>
      <w:r w:rsidRPr="00324AA3">
        <w:rPr>
          <w:rFonts w:ascii="Times New Roman" w:hAnsi="Times New Roman" w:cs="Times New Roman"/>
          <w:sz w:val="18"/>
          <w:szCs w:val="18"/>
        </w:rPr>
        <w:t>Al 3</w:t>
      </w:r>
      <w:r w:rsidR="00324AA3" w:rsidRPr="00324AA3">
        <w:rPr>
          <w:rFonts w:ascii="Times New Roman" w:hAnsi="Times New Roman" w:cs="Times New Roman"/>
          <w:sz w:val="18"/>
          <w:szCs w:val="18"/>
        </w:rPr>
        <w:t>1</w:t>
      </w:r>
      <w:r w:rsidRPr="00324AA3">
        <w:rPr>
          <w:rFonts w:ascii="Times New Roman" w:hAnsi="Times New Roman" w:cs="Times New Roman"/>
          <w:sz w:val="18"/>
          <w:szCs w:val="18"/>
        </w:rPr>
        <w:t xml:space="preserve"> de </w:t>
      </w:r>
      <w:r w:rsidR="000052B0" w:rsidRPr="00324AA3">
        <w:rPr>
          <w:rFonts w:ascii="Times New Roman" w:hAnsi="Times New Roman" w:cs="Times New Roman"/>
          <w:sz w:val="18"/>
          <w:szCs w:val="18"/>
        </w:rPr>
        <w:t>ju</w:t>
      </w:r>
      <w:r w:rsidR="00324AA3" w:rsidRPr="00324AA3">
        <w:rPr>
          <w:rFonts w:ascii="Times New Roman" w:hAnsi="Times New Roman" w:cs="Times New Roman"/>
          <w:sz w:val="18"/>
          <w:szCs w:val="18"/>
        </w:rPr>
        <w:t>l</w:t>
      </w:r>
      <w:r w:rsidR="000052B0" w:rsidRPr="00324AA3">
        <w:rPr>
          <w:rFonts w:ascii="Times New Roman" w:hAnsi="Times New Roman" w:cs="Times New Roman"/>
          <w:sz w:val="18"/>
          <w:szCs w:val="18"/>
        </w:rPr>
        <w:t>i</w:t>
      </w:r>
      <w:r w:rsidR="00E16520" w:rsidRPr="00324AA3">
        <w:rPr>
          <w:rFonts w:ascii="Times New Roman" w:hAnsi="Times New Roman" w:cs="Times New Roman"/>
          <w:sz w:val="18"/>
          <w:szCs w:val="18"/>
        </w:rPr>
        <w:t>o</w:t>
      </w:r>
      <w:r w:rsidRPr="00324AA3">
        <w:rPr>
          <w:rFonts w:ascii="Times New Roman" w:hAnsi="Times New Roman" w:cs="Times New Roman"/>
          <w:sz w:val="18"/>
          <w:szCs w:val="18"/>
        </w:rPr>
        <w:t xml:space="preserve"> de 2023</w:t>
      </w:r>
    </w:p>
    <w:p w14:paraId="2372CF0F" w14:textId="67B1939C" w:rsidR="00A667C8" w:rsidRPr="00324AA3" w:rsidRDefault="00324AA3" w:rsidP="00A667C8">
      <w:pPr>
        <w:pStyle w:val="Sinespaciado"/>
        <w:jc w:val="both"/>
        <w:rPr>
          <w:rFonts w:ascii="Times New Roman" w:hAnsi="Times New Roman" w:cs="Times New Roman"/>
        </w:rPr>
      </w:pPr>
      <w:r w:rsidRPr="00324AA3">
        <w:rPr>
          <w:rFonts w:ascii="Times New Roman" w:hAnsi="Times New Roman" w:cs="Times New Roman"/>
          <w:noProof/>
        </w:rPr>
        <w:drawing>
          <wp:inline distT="0" distB="0" distL="0" distR="0" wp14:anchorId="2278B7D7" wp14:editId="4AD1DF2E">
            <wp:extent cx="2538266" cy="1316990"/>
            <wp:effectExtent l="0" t="0" r="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7E33A4" w14:textId="77777777" w:rsidR="00A667C8" w:rsidRPr="00324AA3" w:rsidRDefault="00A667C8" w:rsidP="00A667C8">
      <w:pPr>
        <w:pStyle w:val="Sinespaciado"/>
        <w:jc w:val="both"/>
        <w:rPr>
          <w:rFonts w:ascii="Times New Roman" w:eastAsia="Times New Roman" w:hAnsi="Times New Roman" w:cs="Times New Roman"/>
          <w:sz w:val="14"/>
          <w:szCs w:val="14"/>
        </w:rPr>
      </w:pPr>
      <w:r w:rsidRPr="00324AA3">
        <w:rPr>
          <w:rFonts w:ascii="Times New Roman" w:eastAsia="Times New Roman" w:hAnsi="Times New Roman" w:cs="Times New Roman"/>
          <w:sz w:val="14"/>
          <w:szCs w:val="14"/>
        </w:rPr>
        <w:t>Fuente: Dirección de Análisis y Política Fiscal.</w:t>
      </w:r>
    </w:p>
    <w:p w14:paraId="02039977" w14:textId="77777777" w:rsidR="00684381" w:rsidRPr="00A37A37" w:rsidRDefault="00684381" w:rsidP="000B25FF">
      <w:pPr>
        <w:pStyle w:val="Sinespaciado"/>
        <w:ind w:right="95"/>
        <w:jc w:val="both"/>
        <w:rPr>
          <w:rFonts w:ascii="Times New Roman" w:hAnsi="Times New Roman" w:cs="Times New Roman"/>
          <w:color w:val="FF0000"/>
          <w:sz w:val="14"/>
          <w:szCs w:val="14"/>
        </w:rPr>
      </w:pPr>
    </w:p>
    <w:p w14:paraId="10828B9D" w14:textId="5F2312FD" w:rsidR="00684381" w:rsidRPr="00A37A37" w:rsidRDefault="00684381" w:rsidP="000B25FF">
      <w:pPr>
        <w:pStyle w:val="Sinespaciado"/>
        <w:ind w:right="95"/>
        <w:jc w:val="both"/>
        <w:rPr>
          <w:rFonts w:ascii="Times New Roman" w:hAnsi="Times New Roman" w:cs="Times New Roman"/>
          <w:color w:val="FF0000"/>
          <w:sz w:val="4"/>
          <w:szCs w:val="4"/>
        </w:rPr>
        <w:sectPr w:rsidR="00684381" w:rsidRPr="00A37A37" w:rsidSect="00C76B98">
          <w:type w:val="continuous"/>
          <w:pgSz w:w="12240" w:h="15840"/>
          <w:pgMar w:top="1417" w:right="1701" w:bottom="1417" w:left="1701" w:header="708" w:footer="708" w:gutter="0"/>
          <w:cols w:num="2" w:space="708"/>
          <w:docGrid w:linePitch="360"/>
        </w:sectPr>
      </w:pPr>
    </w:p>
    <w:p w14:paraId="4DE61B9D" w14:textId="77777777" w:rsidR="00E838EE" w:rsidRPr="00746622" w:rsidRDefault="00E838EE" w:rsidP="005606B1">
      <w:pPr>
        <w:pStyle w:val="Sinespaciado"/>
        <w:rPr>
          <w:rFonts w:ascii="Times New Roman" w:hAnsi="Times New Roman" w:cs="Times New Roman"/>
          <w:color w:val="FF0000"/>
          <w:sz w:val="8"/>
          <w:szCs w:val="8"/>
        </w:rPr>
      </w:pPr>
    </w:p>
    <w:p w14:paraId="13B7C746" w14:textId="7B448530" w:rsidR="001042A3" w:rsidRPr="00A37A37" w:rsidRDefault="001042A3" w:rsidP="00841A3C">
      <w:pPr>
        <w:pStyle w:val="Sinespaciado"/>
        <w:jc w:val="both"/>
        <w:rPr>
          <w:rFonts w:ascii="Times New Roman" w:hAnsi="Times New Roman" w:cs="Times New Roman"/>
          <w:color w:val="FF0000"/>
          <w:sz w:val="2"/>
          <w:szCs w:val="8"/>
        </w:rPr>
        <w:sectPr w:rsidR="001042A3" w:rsidRPr="00A37A37" w:rsidSect="00C76B98">
          <w:headerReference w:type="default" r:id="rId35"/>
          <w:footerReference w:type="default" r:id="rId36"/>
          <w:type w:val="continuous"/>
          <w:pgSz w:w="12240" w:h="15840"/>
          <w:pgMar w:top="1417" w:right="1701" w:bottom="1417" w:left="1701" w:header="708" w:footer="708" w:gutter="0"/>
          <w:cols w:num="2" w:space="708"/>
          <w:docGrid w:linePitch="360"/>
        </w:sectPr>
      </w:pPr>
    </w:p>
    <w:p w14:paraId="0725D71E" w14:textId="77777777" w:rsidR="008E00B7" w:rsidRPr="00A37A37" w:rsidRDefault="008E00B7" w:rsidP="008E00B7">
      <w:pPr>
        <w:spacing w:after="0"/>
        <w:rPr>
          <w:rFonts w:ascii="Times New Roman" w:hAnsi="Times New Roman" w:cs="Times New Roman"/>
          <w:color w:val="FF0000"/>
          <w:sz w:val="18"/>
          <w:szCs w:val="18"/>
        </w:rPr>
        <w:sectPr w:rsidR="008E00B7" w:rsidRPr="00A37A37" w:rsidSect="00960BE9">
          <w:headerReference w:type="default" r:id="rId37"/>
          <w:footerReference w:type="default" r:id="rId38"/>
          <w:type w:val="continuous"/>
          <w:pgSz w:w="12240" w:h="15840"/>
          <w:pgMar w:top="1417" w:right="1701" w:bottom="1417" w:left="1701" w:header="708" w:footer="708" w:gutter="0"/>
          <w:cols w:space="708"/>
          <w:docGrid w:linePitch="360"/>
        </w:sectPr>
      </w:pPr>
    </w:p>
    <w:p w14:paraId="51BA6055" w14:textId="535FD3BE" w:rsidR="008E00B7" w:rsidRPr="00ED70A5"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ED70A5">
        <w:rPr>
          <w:rFonts w:ascii="Times New Roman" w:hAnsi="Times New Roman" w:cs="Times New Roman"/>
          <w:b/>
          <w:color w:val="FFFFFF" w:themeColor="background1"/>
          <w:sz w:val="24"/>
          <w:szCs w:val="24"/>
        </w:rPr>
        <w:t>Ejecución de gasto relacionado</w:t>
      </w:r>
      <w:r w:rsidR="008E00B7" w:rsidRPr="00ED70A5">
        <w:rPr>
          <w:rFonts w:ascii="Times New Roman" w:hAnsi="Times New Roman" w:cs="Times New Roman"/>
          <w:b/>
          <w:color w:val="FFFFFF" w:themeColor="background1"/>
          <w:sz w:val="24"/>
          <w:szCs w:val="24"/>
        </w:rPr>
        <w:t xml:space="preserve"> </w:t>
      </w:r>
      <w:r w:rsidR="004A0389" w:rsidRPr="00ED70A5">
        <w:rPr>
          <w:rFonts w:ascii="Times New Roman" w:hAnsi="Times New Roman" w:cs="Times New Roman"/>
          <w:b/>
          <w:color w:val="FFFFFF" w:themeColor="background1"/>
          <w:sz w:val="24"/>
          <w:szCs w:val="24"/>
        </w:rPr>
        <w:t>a emergencias y calamidades públicas</w:t>
      </w:r>
    </w:p>
    <w:p w14:paraId="760E6CD3" w14:textId="572A440D" w:rsidR="008E00B7" w:rsidRPr="00A37A37" w:rsidRDefault="008E00B7" w:rsidP="00C76B98">
      <w:pPr>
        <w:pStyle w:val="Sinespaciado"/>
        <w:rPr>
          <w:rFonts w:ascii="Times New Roman" w:hAnsi="Times New Roman" w:cs="Times New Roman"/>
          <w:color w:val="FF0000"/>
          <w:sz w:val="18"/>
          <w:szCs w:val="18"/>
        </w:rPr>
      </w:pPr>
    </w:p>
    <w:p w14:paraId="2271D397" w14:textId="77777777" w:rsidR="008E00B7" w:rsidRPr="00A37A37" w:rsidRDefault="008E00B7" w:rsidP="008E00B7">
      <w:pPr>
        <w:spacing w:after="0"/>
        <w:rPr>
          <w:rFonts w:ascii="Times New Roman" w:hAnsi="Times New Roman" w:cs="Times New Roman"/>
          <w:color w:val="FF0000"/>
        </w:rPr>
        <w:sectPr w:rsidR="008E00B7" w:rsidRPr="00A37A37" w:rsidSect="00960BE9">
          <w:headerReference w:type="default" r:id="rId39"/>
          <w:footerReference w:type="default" r:id="rId40"/>
          <w:type w:val="continuous"/>
          <w:pgSz w:w="12240" w:h="15840"/>
          <w:pgMar w:top="1417" w:right="1701" w:bottom="1417" w:left="1701" w:header="708" w:footer="708" w:gutter="0"/>
          <w:cols w:space="708"/>
          <w:docGrid w:linePitch="360"/>
        </w:sectPr>
      </w:pPr>
    </w:p>
    <w:p w14:paraId="056AC002" w14:textId="24AEB46D" w:rsidR="00ED70A5" w:rsidRDefault="00ED70A5" w:rsidP="00ED70A5">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Q407.2 millones, correspondientes en su totalidad al Ministerio de Salud Pública y Asistencia Social. Para el 2023, el gasto asociado a la emergencia del COVID-19 cuenta con un presupuesto de Q744.8 millones; el presupuesto inicial para atención del COVID-19 ha descendido en Q554.8 millones, ante la reorientación de prioridades hacia las calamidades públicas relacionadas a desastres por eventos naturales. </w:t>
      </w:r>
    </w:p>
    <w:p w14:paraId="6B54CFB6" w14:textId="77777777" w:rsidR="00ED70A5" w:rsidRPr="00B1655A" w:rsidRDefault="00ED70A5" w:rsidP="00ED70A5">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057B53AC" w14:textId="2FB161CB" w:rsidR="00E00F2B" w:rsidRPr="00A37A37" w:rsidRDefault="00ED70A5" w:rsidP="00ED70A5">
      <w:pPr>
        <w:pStyle w:val="Sinespaciado"/>
        <w:jc w:val="both"/>
        <w:rPr>
          <w:rFonts w:ascii="Times New Roman" w:hAnsi="Times New Roman" w:cs="Times New Roman"/>
          <w:color w:val="FF0000"/>
        </w:rPr>
      </w:pPr>
      <w:r>
        <w:rPr>
          <w:rFonts w:ascii="Times New Roman" w:hAnsi="Times New Roman" w:cs="Times New Roman"/>
        </w:rPr>
        <w:t>Dentro de estos gastos COVID-19, se encuentra la adquisición de la vacuna COVID-19, con una ejecución de Q77.1 millones y los servicios de prevención y tratamiento de COVID-19, con Q330.1 millones.</w:t>
      </w:r>
      <w:r w:rsidR="00E00F2B" w:rsidRPr="00A37A37">
        <w:rPr>
          <w:rFonts w:ascii="Times New Roman" w:hAnsi="Times New Roman" w:cs="Times New Roman"/>
          <w:color w:val="FF0000"/>
        </w:rPr>
        <w:t xml:space="preserve"> </w:t>
      </w:r>
    </w:p>
    <w:p w14:paraId="3396CC1B" w14:textId="662EA947" w:rsidR="00FA6265" w:rsidRDefault="00FA6265" w:rsidP="00E00F2B">
      <w:pPr>
        <w:pStyle w:val="Sinespaciado"/>
        <w:jc w:val="both"/>
        <w:rPr>
          <w:rFonts w:ascii="Times New Roman" w:hAnsi="Times New Roman" w:cs="Times New Roman"/>
          <w:color w:val="FF0000"/>
        </w:rPr>
      </w:pPr>
    </w:p>
    <w:p w14:paraId="2720EABA" w14:textId="34D9A48F" w:rsidR="00746622" w:rsidRDefault="00746622" w:rsidP="00E00F2B">
      <w:pPr>
        <w:pStyle w:val="Sinespaciado"/>
        <w:jc w:val="both"/>
        <w:rPr>
          <w:rFonts w:ascii="Times New Roman" w:hAnsi="Times New Roman" w:cs="Times New Roman"/>
          <w:color w:val="FF0000"/>
        </w:rPr>
      </w:pPr>
    </w:p>
    <w:p w14:paraId="5504A233" w14:textId="77777777" w:rsidR="00746622" w:rsidRPr="00A37A37" w:rsidRDefault="00746622" w:rsidP="00E00F2B">
      <w:pPr>
        <w:pStyle w:val="Sinespaciado"/>
        <w:jc w:val="both"/>
        <w:rPr>
          <w:rFonts w:ascii="Times New Roman" w:hAnsi="Times New Roman" w:cs="Times New Roman"/>
          <w:color w:val="FF0000"/>
        </w:rPr>
      </w:pPr>
    </w:p>
    <w:p w14:paraId="75484E85" w14:textId="3D473920" w:rsidR="00E00F2B" w:rsidRPr="00ED70A5" w:rsidRDefault="00E00F2B" w:rsidP="00E00F2B">
      <w:pPr>
        <w:pStyle w:val="Sinespaciado"/>
        <w:jc w:val="center"/>
        <w:rPr>
          <w:rFonts w:ascii="Times New Roman" w:hAnsi="Times New Roman" w:cs="Times New Roman"/>
          <w:b/>
        </w:rPr>
      </w:pPr>
      <w:r w:rsidRPr="00ED70A5">
        <w:rPr>
          <w:rFonts w:ascii="Times New Roman" w:hAnsi="Times New Roman" w:cs="Times New Roman"/>
          <w:b/>
        </w:rPr>
        <w:t>Ejecución de gastos por COVID-19</w:t>
      </w:r>
    </w:p>
    <w:p w14:paraId="003CD14C" w14:textId="7DB9ACE2" w:rsidR="00E00F2B" w:rsidRPr="00ED70A5" w:rsidRDefault="00746622" w:rsidP="008E2794">
      <w:pPr>
        <w:pStyle w:val="Sinespaciado"/>
        <w:jc w:val="center"/>
        <w:rPr>
          <w:rFonts w:ascii="Times New Roman" w:hAnsi="Times New Roman" w:cs="Times New Roman"/>
          <w:sz w:val="18"/>
          <w:szCs w:val="18"/>
        </w:rPr>
      </w:pPr>
      <w:r w:rsidRPr="00ED70A5">
        <w:rPr>
          <w:rFonts w:ascii="Times New Roman" w:hAnsi="Times New Roman" w:cs="Times New Roman"/>
          <w:noProof/>
          <w:lang w:eastAsia="es-GT"/>
        </w:rPr>
        <w:drawing>
          <wp:anchor distT="0" distB="0" distL="114300" distR="114300" simplePos="0" relativeHeight="252098560" behindDoc="0" locked="0" layoutInCell="1" allowOverlap="1" wp14:anchorId="7E1E9D93" wp14:editId="0EAAF341">
            <wp:simplePos x="0" y="0"/>
            <wp:positionH relativeFrom="column">
              <wp:posOffset>-37465</wp:posOffset>
            </wp:positionH>
            <wp:positionV relativeFrom="paragraph">
              <wp:posOffset>151765</wp:posOffset>
            </wp:positionV>
            <wp:extent cx="2572385" cy="1725930"/>
            <wp:effectExtent l="0" t="0" r="0" b="762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E00F2B" w:rsidRPr="00ED70A5">
        <w:rPr>
          <w:rFonts w:ascii="Times New Roman" w:hAnsi="Times New Roman" w:cs="Times New Roman"/>
          <w:sz w:val="18"/>
          <w:szCs w:val="18"/>
        </w:rPr>
        <w:t>Al 3</w:t>
      </w:r>
      <w:r w:rsidR="00ED70A5" w:rsidRPr="00ED70A5">
        <w:rPr>
          <w:rFonts w:ascii="Times New Roman" w:hAnsi="Times New Roman" w:cs="Times New Roman"/>
          <w:sz w:val="18"/>
          <w:szCs w:val="18"/>
        </w:rPr>
        <w:t>1</w:t>
      </w:r>
      <w:r w:rsidR="00E00F2B" w:rsidRPr="00ED70A5">
        <w:rPr>
          <w:rFonts w:ascii="Times New Roman" w:hAnsi="Times New Roman" w:cs="Times New Roman"/>
          <w:sz w:val="18"/>
          <w:szCs w:val="18"/>
        </w:rPr>
        <w:t xml:space="preserve"> </w:t>
      </w:r>
      <w:r w:rsidR="00E838EE" w:rsidRPr="00ED70A5">
        <w:rPr>
          <w:rFonts w:ascii="Times New Roman" w:hAnsi="Times New Roman" w:cs="Times New Roman"/>
          <w:sz w:val="18"/>
          <w:szCs w:val="18"/>
        </w:rPr>
        <w:t>de ju</w:t>
      </w:r>
      <w:r w:rsidR="00ED70A5" w:rsidRPr="00ED70A5">
        <w:rPr>
          <w:rFonts w:ascii="Times New Roman" w:hAnsi="Times New Roman" w:cs="Times New Roman"/>
          <w:sz w:val="18"/>
          <w:szCs w:val="18"/>
        </w:rPr>
        <w:t>l</w:t>
      </w:r>
      <w:r w:rsidR="00E838EE" w:rsidRPr="00ED70A5">
        <w:rPr>
          <w:rFonts w:ascii="Times New Roman" w:hAnsi="Times New Roman" w:cs="Times New Roman"/>
          <w:sz w:val="18"/>
          <w:szCs w:val="18"/>
        </w:rPr>
        <w:t>i</w:t>
      </w:r>
      <w:r w:rsidR="00203366" w:rsidRPr="00ED70A5">
        <w:rPr>
          <w:rFonts w:ascii="Times New Roman" w:hAnsi="Times New Roman" w:cs="Times New Roman"/>
          <w:sz w:val="18"/>
          <w:szCs w:val="18"/>
        </w:rPr>
        <w:t>o</w:t>
      </w:r>
      <w:r w:rsidR="00E00F2B" w:rsidRPr="00ED70A5">
        <w:rPr>
          <w:rFonts w:ascii="Times New Roman" w:hAnsi="Times New Roman" w:cs="Times New Roman"/>
          <w:sz w:val="18"/>
          <w:szCs w:val="18"/>
        </w:rPr>
        <w:t xml:space="preserve"> 2023</w:t>
      </w:r>
    </w:p>
    <w:p w14:paraId="3835EEF5" w14:textId="47DFE0E7" w:rsidR="00E00F2B" w:rsidRPr="00A37A37" w:rsidRDefault="00E00F2B" w:rsidP="00E00F2B">
      <w:pPr>
        <w:spacing w:after="0" w:line="240" w:lineRule="auto"/>
        <w:jc w:val="both"/>
        <w:rPr>
          <w:rFonts w:ascii="Times New Roman" w:hAnsi="Times New Roman" w:cs="Times New Roman"/>
          <w:color w:val="FF0000"/>
          <w:sz w:val="14"/>
          <w:szCs w:val="14"/>
        </w:rPr>
      </w:pPr>
      <w:r w:rsidRPr="00ED70A5">
        <w:rPr>
          <w:rFonts w:ascii="Times New Roman" w:hAnsi="Times New Roman" w:cs="Times New Roman"/>
          <w:sz w:val="14"/>
          <w:szCs w:val="14"/>
        </w:rPr>
        <w:t>Fuente: Dirección de Análisis y Política Fiscal.</w:t>
      </w:r>
    </w:p>
    <w:p w14:paraId="5A1B695D" w14:textId="4D0E6D49" w:rsidR="00E00F2B" w:rsidRPr="00A37A37" w:rsidRDefault="00E00F2B" w:rsidP="00E00F2B">
      <w:pPr>
        <w:pStyle w:val="Sinespaciado"/>
        <w:jc w:val="both"/>
        <w:rPr>
          <w:rFonts w:ascii="Times New Roman" w:hAnsi="Times New Roman" w:cs="Times New Roman"/>
          <w:color w:val="FF0000"/>
          <w:szCs w:val="36"/>
        </w:rPr>
      </w:pPr>
      <w:r w:rsidRPr="00A37A37">
        <w:rPr>
          <w:rFonts w:ascii="Times New Roman" w:hAnsi="Times New Roman" w:cs="Times New Roman"/>
          <w:color w:val="FF0000"/>
          <w:sz w:val="14"/>
        </w:rPr>
        <w:t xml:space="preserve"> </w:t>
      </w:r>
    </w:p>
    <w:p w14:paraId="493480A8" w14:textId="49537929" w:rsidR="00ED70A5" w:rsidRDefault="00ED70A5" w:rsidP="00ED70A5">
      <w:pPr>
        <w:pStyle w:val="Sinespaciado"/>
        <w:jc w:val="both"/>
        <w:rPr>
          <w:rFonts w:ascii="Times New Roman" w:hAnsi="Times New Roman" w:cs="Times New Roman"/>
        </w:rPr>
      </w:pPr>
      <w:r w:rsidRPr="00A1193F">
        <w:rPr>
          <w:rFonts w:ascii="Times New Roman" w:hAnsi="Times New Roman" w:cs="Times New Roman"/>
        </w:rPr>
        <w:t>Por su parte, de</w:t>
      </w:r>
      <w:r>
        <w:rPr>
          <w:rFonts w:ascii="Times New Roman" w:hAnsi="Times New Roman" w:cs="Times New Roman"/>
        </w:rPr>
        <w:t xml:space="preserve">l Estado de Calamidad Pública por los efectos de la época lluviosa y el ciclón tropical Julia se han ejecutado Q479.0 millones; del Estado de Calamidad Pública por época lluviosa y temporada ciclónica y sistemas de baja presión se han ejecutado Q133.4 millones, correspondientes a </w:t>
      </w:r>
      <w:r>
        <w:rPr>
          <w:rFonts w:ascii="Times New Roman" w:hAnsi="Times New Roman" w:cs="Times New Roman"/>
        </w:rPr>
        <w:lastRenderedPageBreak/>
        <w:t xml:space="preserve">intervenciones realizadas y construcción, ampliación, reposición y mejoramiento de carreteras y puentes; por último, de la </w:t>
      </w:r>
      <w:r w:rsidRPr="00A1193F">
        <w:rPr>
          <w:rFonts w:ascii="Times New Roman" w:hAnsi="Times New Roman" w:cs="Times New Roman"/>
        </w:rPr>
        <w:t>depresión tropical ETA se reporta una ejecución de Q</w:t>
      </w:r>
      <w:r>
        <w:rPr>
          <w:rFonts w:ascii="Times New Roman" w:hAnsi="Times New Roman" w:cs="Times New Roman"/>
        </w:rPr>
        <w:t>109</w:t>
      </w:r>
      <w:r w:rsidRPr="00A1193F">
        <w:rPr>
          <w:rFonts w:ascii="Times New Roman" w:hAnsi="Times New Roman" w:cs="Times New Roman"/>
        </w:rPr>
        <w:t>.</w:t>
      </w:r>
      <w:r>
        <w:rPr>
          <w:rFonts w:ascii="Times New Roman" w:hAnsi="Times New Roman" w:cs="Times New Roman"/>
        </w:rPr>
        <w:t>2</w:t>
      </w:r>
      <w:r w:rsidRPr="00A1193F">
        <w:rPr>
          <w:rFonts w:ascii="Times New Roman" w:hAnsi="Times New Roman" w:cs="Times New Roman"/>
        </w:rPr>
        <w:t xml:space="preserve"> millones</w:t>
      </w:r>
      <w:r>
        <w:rPr>
          <w:rFonts w:ascii="Times New Roman" w:hAnsi="Times New Roman" w:cs="Times New Roman"/>
        </w:rPr>
        <w:t xml:space="preserve"> correspondientes al mantenimiento y repara</w:t>
      </w:r>
      <w:r w:rsidRPr="00203366">
        <w:rPr>
          <w:rFonts w:ascii="Times New Roman" w:hAnsi="Times New Roman" w:cs="Times New Roman"/>
        </w:rPr>
        <w:t xml:space="preserve">ción de edificios y de los bienes de uso común como carreteras y puentes por parte del Ministerio de Comunicaciones, Infraestructura y Vivienda. </w:t>
      </w:r>
    </w:p>
    <w:p w14:paraId="7E387F13" w14:textId="77777777" w:rsidR="00ED70A5" w:rsidRDefault="00ED70A5" w:rsidP="00ED70A5">
      <w:pPr>
        <w:pStyle w:val="Sinespaciado"/>
        <w:jc w:val="both"/>
        <w:rPr>
          <w:rFonts w:ascii="Times New Roman" w:hAnsi="Times New Roman" w:cs="Times New Roman"/>
        </w:rPr>
      </w:pPr>
    </w:p>
    <w:p w14:paraId="77DD2E4A" w14:textId="225C0797" w:rsidR="00FA6265" w:rsidRDefault="00FA6265" w:rsidP="00E00F2B">
      <w:pPr>
        <w:pStyle w:val="Sinespaciado"/>
        <w:jc w:val="both"/>
        <w:rPr>
          <w:rFonts w:ascii="Times New Roman" w:hAnsi="Times New Roman" w:cs="Times New Roman"/>
          <w:color w:val="FF0000"/>
        </w:rPr>
      </w:pPr>
    </w:p>
    <w:p w14:paraId="51CD788D" w14:textId="4F42B158" w:rsidR="00ED70A5" w:rsidRDefault="00ED70A5" w:rsidP="00E00F2B">
      <w:pPr>
        <w:pStyle w:val="Sinespaciado"/>
        <w:jc w:val="both"/>
        <w:rPr>
          <w:rFonts w:ascii="Times New Roman" w:hAnsi="Times New Roman" w:cs="Times New Roman"/>
          <w:color w:val="FF0000"/>
        </w:rPr>
      </w:pPr>
    </w:p>
    <w:p w14:paraId="4C9A67AB" w14:textId="5A87D7C5" w:rsidR="005606B1" w:rsidRDefault="005606B1" w:rsidP="00E00F2B">
      <w:pPr>
        <w:pStyle w:val="Sinespaciado"/>
        <w:jc w:val="both"/>
        <w:rPr>
          <w:rFonts w:ascii="Times New Roman" w:hAnsi="Times New Roman" w:cs="Times New Roman"/>
          <w:color w:val="FF0000"/>
        </w:rPr>
      </w:pPr>
    </w:p>
    <w:p w14:paraId="286D99CD" w14:textId="0FB22345" w:rsidR="005606B1" w:rsidRDefault="005606B1" w:rsidP="00E00F2B">
      <w:pPr>
        <w:pStyle w:val="Sinespaciado"/>
        <w:jc w:val="both"/>
        <w:rPr>
          <w:rFonts w:ascii="Times New Roman" w:hAnsi="Times New Roman" w:cs="Times New Roman"/>
          <w:color w:val="FF0000"/>
        </w:rPr>
      </w:pPr>
    </w:p>
    <w:p w14:paraId="3FFFC0B8" w14:textId="51912497" w:rsidR="005606B1" w:rsidRDefault="005606B1" w:rsidP="00E00F2B">
      <w:pPr>
        <w:pStyle w:val="Sinespaciado"/>
        <w:jc w:val="both"/>
        <w:rPr>
          <w:rFonts w:ascii="Times New Roman" w:hAnsi="Times New Roman" w:cs="Times New Roman"/>
          <w:color w:val="FF0000"/>
        </w:rPr>
      </w:pPr>
    </w:p>
    <w:p w14:paraId="48359537" w14:textId="4AAA2916" w:rsidR="005606B1" w:rsidRDefault="005606B1" w:rsidP="00E00F2B">
      <w:pPr>
        <w:pStyle w:val="Sinespaciado"/>
        <w:jc w:val="both"/>
        <w:rPr>
          <w:rFonts w:ascii="Times New Roman" w:hAnsi="Times New Roman" w:cs="Times New Roman"/>
          <w:color w:val="FF0000"/>
        </w:rPr>
      </w:pPr>
    </w:p>
    <w:p w14:paraId="7CF6FD1E" w14:textId="77777777" w:rsidR="005606B1" w:rsidRPr="00A37A37" w:rsidRDefault="005606B1" w:rsidP="00E00F2B">
      <w:pPr>
        <w:pStyle w:val="Sinespaciado"/>
        <w:jc w:val="both"/>
        <w:rPr>
          <w:rFonts w:ascii="Times New Roman" w:hAnsi="Times New Roman" w:cs="Times New Roman"/>
          <w:color w:val="FF0000"/>
        </w:rPr>
      </w:pPr>
    </w:p>
    <w:p w14:paraId="27E858B0" w14:textId="77777777" w:rsidR="00E00F2B" w:rsidRPr="00ED70A5" w:rsidRDefault="00E00F2B" w:rsidP="00E00F2B">
      <w:pPr>
        <w:pStyle w:val="Sinespaciado"/>
        <w:jc w:val="center"/>
        <w:rPr>
          <w:rFonts w:ascii="Times New Roman" w:hAnsi="Times New Roman" w:cs="Times New Roman"/>
          <w:b/>
        </w:rPr>
      </w:pPr>
      <w:r w:rsidRPr="00ED70A5">
        <w:rPr>
          <w:rFonts w:ascii="Times New Roman" w:hAnsi="Times New Roman" w:cs="Times New Roman"/>
          <w:b/>
        </w:rPr>
        <w:t>Seguimiento de Programas en atención a los Estados de Calamidad Pública</w:t>
      </w:r>
    </w:p>
    <w:p w14:paraId="179F29B0" w14:textId="787E1287" w:rsidR="00E00F2B" w:rsidRPr="00ED70A5" w:rsidRDefault="00E00F2B" w:rsidP="00E00F2B">
      <w:pPr>
        <w:pStyle w:val="Sinespaciado"/>
        <w:jc w:val="center"/>
        <w:rPr>
          <w:rFonts w:ascii="Times New Roman" w:hAnsi="Times New Roman" w:cs="Times New Roman"/>
          <w:sz w:val="18"/>
          <w:szCs w:val="18"/>
        </w:rPr>
      </w:pPr>
      <w:r w:rsidRPr="00ED70A5">
        <w:rPr>
          <w:rFonts w:ascii="Times New Roman" w:hAnsi="Times New Roman" w:cs="Times New Roman"/>
          <w:sz w:val="18"/>
          <w:szCs w:val="18"/>
        </w:rPr>
        <w:t xml:space="preserve">A </w:t>
      </w:r>
      <w:r w:rsidR="00E838EE" w:rsidRPr="00ED70A5">
        <w:rPr>
          <w:rFonts w:ascii="Times New Roman" w:hAnsi="Times New Roman" w:cs="Times New Roman"/>
          <w:sz w:val="18"/>
          <w:szCs w:val="18"/>
        </w:rPr>
        <w:t>ju</w:t>
      </w:r>
      <w:r w:rsidR="00ED70A5" w:rsidRPr="00ED70A5">
        <w:rPr>
          <w:rFonts w:ascii="Times New Roman" w:hAnsi="Times New Roman" w:cs="Times New Roman"/>
          <w:sz w:val="18"/>
          <w:szCs w:val="18"/>
        </w:rPr>
        <w:t>l</w:t>
      </w:r>
      <w:r w:rsidR="00E838EE" w:rsidRPr="00ED70A5">
        <w:rPr>
          <w:rFonts w:ascii="Times New Roman" w:hAnsi="Times New Roman" w:cs="Times New Roman"/>
          <w:sz w:val="18"/>
          <w:szCs w:val="18"/>
        </w:rPr>
        <w:t>i</w:t>
      </w:r>
      <w:r w:rsidR="00203366" w:rsidRPr="00ED70A5">
        <w:rPr>
          <w:rFonts w:ascii="Times New Roman" w:hAnsi="Times New Roman" w:cs="Times New Roman"/>
          <w:sz w:val="18"/>
          <w:szCs w:val="18"/>
        </w:rPr>
        <w:t>o</w:t>
      </w:r>
      <w:r w:rsidRPr="00ED70A5">
        <w:rPr>
          <w:rFonts w:ascii="Times New Roman" w:hAnsi="Times New Roman" w:cs="Times New Roman"/>
          <w:sz w:val="18"/>
          <w:szCs w:val="18"/>
        </w:rPr>
        <w:t xml:space="preserve"> 2023</w:t>
      </w:r>
    </w:p>
    <w:p w14:paraId="500EFEEE" w14:textId="6406E5C4" w:rsidR="00E00F2B" w:rsidRPr="00ED70A5" w:rsidRDefault="00E00F2B" w:rsidP="00E00F2B">
      <w:pPr>
        <w:pStyle w:val="Sinespaciado"/>
        <w:jc w:val="center"/>
        <w:rPr>
          <w:rFonts w:ascii="Times New Roman" w:hAnsi="Times New Roman" w:cs="Times New Roman"/>
          <w:sz w:val="18"/>
          <w:szCs w:val="18"/>
        </w:rPr>
      </w:pPr>
      <w:r w:rsidRPr="00ED70A5">
        <w:rPr>
          <w:rFonts w:ascii="Times New Roman" w:hAnsi="Times New Roman" w:cs="Times New Roman"/>
          <w:sz w:val="18"/>
          <w:szCs w:val="18"/>
        </w:rPr>
        <w:t>Cifras en millones de quetzales y porcentajes</w:t>
      </w:r>
    </w:p>
    <w:p w14:paraId="77A988E9" w14:textId="09AADDE7" w:rsidR="00203366" w:rsidRPr="00ED70A5" w:rsidRDefault="00ED70A5" w:rsidP="00E00F2B">
      <w:pPr>
        <w:pStyle w:val="Sinespaciado"/>
        <w:jc w:val="center"/>
        <w:rPr>
          <w:rFonts w:ascii="Times New Roman" w:hAnsi="Times New Roman" w:cs="Times New Roman"/>
          <w:sz w:val="18"/>
          <w:szCs w:val="18"/>
        </w:rPr>
      </w:pPr>
      <w:r w:rsidRPr="00ED70A5">
        <w:rPr>
          <w:noProof/>
        </w:rPr>
        <w:drawing>
          <wp:inline distT="0" distB="0" distL="0" distR="0" wp14:anchorId="7B0F9AC4" wp14:editId="25F0EAFF">
            <wp:extent cx="2477069" cy="221336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7664" cy="2231763"/>
                    </a:xfrm>
                    <a:prstGeom prst="rect">
                      <a:avLst/>
                    </a:prstGeom>
                    <a:noFill/>
                    <a:ln>
                      <a:noFill/>
                    </a:ln>
                  </pic:spPr>
                </pic:pic>
              </a:graphicData>
            </a:graphic>
          </wp:inline>
        </w:drawing>
      </w:r>
    </w:p>
    <w:p w14:paraId="255E8CB8" w14:textId="1D382900" w:rsidR="008E4819" w:rsidRPr="00ED70A5" w:rsidRDefault="00E00F2B" w:rsidP="00123FD5">
      <w:pPr>
        <w:pStyle w:val="Sinespaciado"/>
        <w:jc w:val="both"/>
        <w:rPr>
          <w:rFonts w:ascii="Times New Roman" w:hAnsi="Times New Roman" w:cs="Times New Roman"/>
          <w:sz w:val="14"/>
          <w:szCs w:val="14"/>
        </w:rPr>
      </w:pPr>
      <w:r w:rsidRPr="00ED70A5">
        <w:rPr>
          <w:rFonts w:ascii="Times New Roman" w:hAnsi="Times New Roman" w:cs="Times New Roman"/>
          <w:sz w:val="14"/>
          <w:szCs w:val="14"/>
        </w:rPr>
        <w:t>Fuente: Dirección de Análisis y Política Fiscal.</w:t>
      </w:r>
      <w:r w:rsidR="008E4819" w:rsidRPr="00ED70A5">
        <w:rPr>
          <w:rFonts w:ascii="Times New Roman" w:hAnsi="Times New Roman" w:cs="Times New Roman"/>
          <w:sz w:val="14"/>
          <w:szCs w:val="14"/>
        </w:rPr>
        <w:t xml:space="preserve"> </w:t>
      </w:r>
    </w:p>
    <w:p w14:paraId="04AC249C" w14:textId="77777777" w:rsidR="00093DF1" w:rsidRPr="00A37A37" w:rsidRDefault="00093DF1" w:rsidP="00776700">
      <w:pPr>
        <w:pStyle w:val="Sinespaciado"/>
        <w:ind w:right="213"/>
        <w:rPr>
          <w:rFonts w:ascii="Times New Roman" w:hAnsi="Times New Roman" w:cs="Times New Roman"/>
          <w:color w:val="FF0000"/>
        </w:rPr>
        <w:sectPr w:rsidR="00093DF1" w:rsidRPr="00A37A37" w:rsidSect="008E00B7">
          <w:type w:val="continuous"/>
          <w:pgSz w:w="12240" w:h="15840"/>
          <w:pgMar w:top="1417" w:right="1701" w:bottom="1417" w:left="1701" w:header="708" w:footer="708" w:gutter="0"/>
          <w:cols w:num="2" w:space="708"/>
          <w:docGrid w:linePitch="360"/>
        </w:sectPr>
      </w:pPr>
    </w:p>
    <w:p w14:paraId="3DA3F17F" w14:textId="3DD26FFC" w:rsidR="00123FD5" w:rsidRPr="00A37A37" w:rsidRDefault="00123FD5" w:rsidP="00776700">
      <w:pPr>
        <w:spacing w:after="0"/>
        <w:rPr>
          <w:rFonts w:ascii="Times New Roman" w:hAnsi="Times New Roman" w:cs="Times New Roman"/>
          <w:color w:val="FF0000"/>
          <w:sz w:val="14"/>
        </w:rPr>
        <w:sectPr w:rsidR="00123FD5" w:rsidRPr="00A37A37"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557460D0" w14:textId="71519C1B" w:rsidR="008E00B7" w:rsidRPr="00A33E12"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A33E12">
        <w:rPr>
          <w:rFonts w:ascii="Times New Roman" w:hAnsi="Times New Roman" w:cs="Times New Roman"/>
          <w:b/>
          <w:color w:val="FFFFFF" w:themeColor="background1"/>
          <w:sz w:val="24"/>
          <w:szCs w:val="24"/>
        </w:rPr>
        <w:t>Ambiente macroeconómico</w:t>
      </w:r>
      <w:r w:rsidR="00776700" w:rsidRPr="00A33E12">
        <w:rPr>
          <w:rFonts w:ascii="Times New Roman" w:hAnsi="Times New Roman" w:cs="Times New Roman"/>
          <w:b/>
          <w:color w:val="FFFFFF" w:themeColor="background1"/>
          <w:sz w:val="24"/>
          <w:szCs w:val="24"/>
        </w:rPr>
        <w:t xml:space="preserve"> (externo e interno)</w:t>
      </w:r>
    </w:p>
    <w:p w14:paraId="6CB2F6EF" w14:textId="77777777" w:rsidR="00776700" w:rsidRPr="00A37A37" w:rsidRDefault="00776700" w:rsidP="00C76B98">
      <w:pPr>
        <w:pStyle w:val="Sinespaciado"/>
        <w:rPr>
          <w:rFonts w:ascii="Times New Roman" w:hAnsi="Times New Roman" w:cs="Times New Roman"/>
          <w:color w:val="FF0000"/>
          <w:sz w:val="18"/>
          <w:szCs w:val="18"/>
        </w:rPr>
      </w:pPr>
    </w:p>
    <w:p w14:paraId="28B813D4" w14:textId="77777777" w:rsidR="00776700" w:rsidRPr="00A37A37" w:rsidRDefault="00776700" w:rsidP="00776700">
      <w:pPr>
        <w:spacing w:after="0"/>
        <w:rPr>
          <w:rFonts w:ascii="Times New Roman" w:hAnsi="Times New Roman" w:cs="Times New Roman"/>
          <w:color w:val="FF0000"/>
          <w:sz w:val="18"/>
        </w:rPr>
        <w:sectPr w:rsidR="00776700" w:rsidRPr="00A37A37" w:rsidSect="00960BE9">
          <w:headerReference w:type="default" r:id="rId45"/>
          <w:footerReference w:type="default" r:id="rId46"/>
          <w:type w:val="continuous"/>
          <w:pgSz w:w="12240" w:h="15840"/>
          <w:pgMar w:top="1417" w:right="1701" w:bottom="1417" w:left="1701" w:header="708" w:footer="708" w:gutter="0"/>
          <w:cols w:space="708"/>
          <w:docGrid w:linePitch="360"/>
        </w:sectPr>
      </w:pPr>
    </w:p>
    <w:p w14:paraId="2E7EE241" w14:textId="539C1BD7" w:rsidR="00EF1BB1" w:rsidRPr="00295E59" w:rsidRDefault="00DC74EB" w:rsidP="00EF1BB1">
      <w:pPr>
        <w:pStyle w:val="Textodeglobo"/>
        <w:jc w:val="both"/>
        <w:rPr>
          <w:rFonts w:ascii="Times New Roman" w:hAnsi="Times New Roman" w:cs="Times New Roman"/>
          <w:sz w:val="22"/>
          <w:szCs w:val="22"/>
        </w:rPr>
      </w:pPr>
      <w:r w:rsidRPr="00C13E60">
        <w:rPr>
          <w:rFonts w:ascii="Times New Roman" w:hAnsi="Times New Roman" w:cs="Times New Roman"/>
          <w:sz w:val="22"/>
          <w:szCs w:val="22"/>
        </w:rPr>
        <w:t xml:space="preserve">Entre lo más relevante acontecido en </w:t>
      </w:r>
      <w:r w:rsidR="00AF0DA2" w:rsidRPr="00C13E60">
        <w:rPr>
          <w:rFonts w:ascii="Times New Roman" w:hAnsi="Times New Roman" w:cs="Times New Roman"/>
          <w:sz w:val="22"/>
          <w:szCs w:val="22"/>
        </w:rPr>
        <w:t>el ámbito económico</w:t>
      </w:r>
      <w:r w:rsidR="00637577" w:rsidRPr="00C13E60">
        <w:rPr>
          <w:rFonts w:ascii="Times New Roman" w:hAnsi="Times New Roman" w:cs="Times New Roman"/>
          <w:sz w:val="22"/>
          <w:szCs w:val="22"/>
        </w:rPr>
        <w:t xml:space="preserve"> internacional</w:t>
      </w:r>
      <w:r w:rsidR="001521E6" w:rsidRPr="00C13E60">
        <w:rPr>
          <w:rFonts w:ascii="Times New Roman" w:hAnsi="Times New Roman" w:cs="Times New Roman"/>
          <w:sz w:val="22"/>
          <w:szCs w:val="22"/>
        </w:rPr>
        <w:t xml:space="preserve"> </w:t>
      </w:r>
      <w:r w:rsidR="004C45CB" w:rsidRPr="00C13E60">
        <w:rPr>
          <w:rFonts w:ascii="Times New Roman" w:hAnsi="Times New Roman" w:cs="Times New Roman"/>
          <w:sz w:val="22"/>
          <w:szCs w:val="22"/>
        </w:rPr>
        <w:t>se destaca</w:t>
      </w:r>
      <w:r w:rsidR="009169F7" w:rsidRPr="00C13E60">
        <w:rPr>
          <w:rFonts w:ascii="Times New Roman" w:hAnsi="Times New Roman" w:cs="Times New Roman"/>
          <w:sz w:val="22"/>
          <w:szCs w:val="22"/>
        </w:rPr>
        <w:t xml:space="preserve"> </w:t>
      </w:r>
      <w:r w:rsidR="00010855" w:rsidRPr="00C13E60">
        <w:rPr>
          <w:rFonts w:ascii="Times New Roman" w:hAnsi="Times New Roman" w:cs="Times New Roman"/>
          <w:sz w:val="22"/>
          <w:szCs w:val="22"/>
        </w:rPr>
        <w:t>la</w:t>
      </w:r>
      <w:r w:rsidR="00C13E60">
        <w:rPr>
          <w:rFonts w:ascii="Times New Roman" w:hAnsi="Times New Roman" w:cs="Times New Roman"/>
          <w:sz w:val="22"/>
          <w:szCs w:val="22"/>
        </w:rPr>
        <w:t xml:space="preserve"> </w:t>
      </w:r>
      <w:r w:rsidR="00C13E60" w:rsidRPr="00C13E60">
        <w:rPr>
          <w:rFonts w:ascii="Times New Roman" w:hAnsi="Times New Roman" w:cs="Times New Roman"/>
          <w:sz w:val="22"/>
          <w:szCs w:val="22"/>
        </w:rPr>
        <w:t>actualización de perspectivas de la economía mundial de Fondo Monetario Internacional, en donde proyecta que el crecimiento mundial disminuya de un 3</w:t>
      </w:r>
      <w:r w:rsidR="00C13E60">
        <w:rPr>
          <w:rFonts w:ascii="Times New Roman" w:hAnsi="Times New Roman" w:cs="Times New Roman"/>
          <w:sz w:val="22"/>
          <w:szCs w:val="22"/>
        </w:rPr>
        <w:t>.</w:t>
      </w:r>
      <w:r w:rsidR="00C13E60" w:rsidRPr="00C13E60">
        <w:rPr>
          <w:rFonts w:ascii="Times New Roman" w:hAnsi="Times New Roman" w:cs="Times New Roman"/>
          <w:sz w:val="22"/>
          <w:szCs w:val="22"/>
        </w:rPr>
        <w:t>5% estimado para 2022 a 3</w:t>
      </w:r>
      <w:r w:rsidR="00C13E60">
        <w:rPr>
          <w:rFonts w:ascii="Times New Roman" w:hAnsi="Times New Roman" w:cs="Times New Roman"/>
          <w:sz w:val="22"/>
          <w:szCs w:val="22"/>
        </w:rPr>
        <w:t>.</w:t>
      </w:r>
      <w:r w:rsidR="00C13E60" w:rsidRPr="00C13E60">
        <w:rPr>
          <w:rFonts w:ascii="Times New Roman" w:hAnsi="Times New Roman" w:cs="Times New Roman"/>
          <w:sz w:val="22"/>
          <w:szCs w:val="22"/>
        </w:rPr>
        <w:t xml:space="preserve">0% en 2023 y 2024. La </w:t>
      </w:r>
      <w:r w:rsidR="00C13E60">
        <w:rPr>
          <w:rFonts w:ascii="Times New Roman" w:hAnsi="Times New Roman" w:cs="Times New Roman"/>
          <w:sz w:val="22"/>
          <w:szCs w:val="22"/>
        </w:rPr>
        <w:t xml:space="preserve">entidad resaltó que la </w:t>
      </w:r>
      <w:r w:rsidR="00C13E60" w:rsidRPr="00C13E60">
        <w:rPr>
          <w:rFonts w:ascii="Times New Roman" w:hAnsi="Times New Roman" w:cs="Times New Roman"/>
          <w:sz w:val="22"/>
          <w:szCs w:val="22"/>
        </w:rPr>
        <w:t>subida de las tasas de interés de política monetaria de los bancos centrales para combatir la inflación sigue lastrando la actividad económica</w:t>
      </w:r>
      <w:r w:rsidR="00C13E60">
        <w:rPr>
          <w:rFonts w:ascii="Times New Roman" w:hAnsi="Times New Roman" w:cs="Times New Roman"/>
          <w:sz w:val="22"/>
          <w:szCs w:val="22"/>
        </w:rPr>
        <w:t>, y</w:t>
      </w:r>
      <w:r w:rsidR="00C13E60" w:rsidRPr="00C13E60">
        <w:rPr>
          <w:rFonts w:ascii="Times New Roman" w:hAnsi="Times New Roman" w:cs="Times New Roman"/>
          <w:sz w:val="22"/>
          <w:szCs w:val="22"/>
        </w:rPr>
        <w:t xml:space="preserve"> prevé que el nivel </w:t>
      </w:r>
      <w:r w:rsidR="00C13E60" w:rsidRPr="00295E59">
        <w:rPr>
          <w:rFonts w:ascii="Times New Roman" w:hAnsi="Times New Roman" w:cs="Times New Roman"/>
          <w:sz w:val="22"/>
          <w:szCs w:val="22"/>
        </w:rPr>
        <w:t>general de inflación mundial descienda de 8.7% en 2022 a 6.8% en 2023 y 5.2% en 2024. Asimismo, proyecta que la inflación subyacente (básica) disminuya de forma más gradual, habiéndose revisado al alza los pronósticos para la inflación en 2024.</w:t>
      </w:r>
    </w:p>
    <w:p w14:paraId="53AF7D7F" w14:textId="297D3515" w:rsidR="006D1E17" w:rsidRPr="00295E59" w:rsidRDefault="006D1E17" w:rsidP="001521E6">
      <w:pPr>
        <w:spacing w:after="0" w:line="240" w:lineRule="auto"/>
        <w:jc w:val="both"/>
        <w:rPr>
          <w:rFonts w:ascii="Times New Roman" w:hAnsi="Times New Roman" w:cs="Times New Roman"/>
        </w:rPr>
      </w:pPr>
    </w:p>
    <w:p w14:paraId="436A1F93" w14:textId="7829212B" w:rsidR="00295E59" w:rsidRDefault="00295E59" w:rsidP="001521E6">
      <w:pPr>
        <w:spacing w:after="0" w:line="240" w:lineRule="auto"/>
        <w:jc w:val="both"/>
        <w:rPr>
          <w:rFonts w:ascii="Times New Roman" w:hAnsi="Times New Roman" w:cs="Times New Roman"/>
          <w:color w:val="FF0000"/>
        </w:rPr>
      </w:pPr>
      <w:r w:rsidRPr="00295E59">
        <w:rPr>
          <w:rFonts w:ascii="Times New Roman" w:hAnsi="Times New Roman" w:cs="Times New Roman"/>
        </w:rPr>
        <w:t xml:space="preserve">Entre las medidas adoptadas que permitieron reducir los riesgos inmediatos de trastornos en el sector financiero, el FMI hace mención del reciente acuerdo para elevar el techo de la deuda de Estados Unidos y las firmes medidas adoptadas a principios de este año por las autoridades para contener la turbulencia bancaria en Estados Unidos y Suiza. </w:t>
      </w:r>
      <w:r>
        <w:rPr>
          <w:rFonts w:ascii="Times New Roman" w:hAnsi="Times New Roman" w:cs="Times New Roman"/>
        </w:rPr>
        <w:t>No obstante, l</w:t>
      </w:r>
      <w:r w:rsidRPr="00295E59">
        <w:rPr>
          <w:rFonts w:ascii="Times New Roman" w:hAnsi="Times New Roman" w:cs="Times New Roman"/>
        </w:rPr>
        <w:t xml:space="preserve">a inflación podría seguir siendo elevada e incluso aumentar si se producen nuevos shocks, como los derivados de un recrudecimiento de la guerra en Ucrania y </w:t>
      </w:r>
      <w:r w:rsidRPr="00295E59">
        <w:rPr>
          <w:rFonts w:ascii="Times New Roman" w:hAnsi="Times New Roman" w:cs="Times New Roman"/>
        </w:rPr>
        <w:t>eventos meteorológicos extremos, que inducirían una política monetaria más restrictiva. La turbulencia en el sector financiero podría retornar conforme los mercados se adaptan al nuevo endurecimiento de la política por parte de los bancos centrales.</w:t>
      </w:r>
    </w:p>
    <w:p w14:paraId="082FF60F" w14:textId="32FF4F6D" w:rsidR="00C13E60" w:rsidRDefault="00C13E60" w:rsidP="001521E6">
      <w:pPr>
        <w:spacing w:after="0" w:line="240" w:lineRule="auto"/>
        <w:jc w:val="both"/>
        <w:rPr>
          <w:rFonts w:ascii="Times New Roman" w:hAnsi="Times New Roman" w:cs="Times New Roman"/>
          <w:color w:val="FF0000"/>
        </w:rPr>
      </w:pPr>
    </w:p>
    <w:p w14:paraId="1B45C6CE" w14:textId="5EE87FEF" w:rsidR="00295E59" w:rsidRPr="00295E59" w:rsidRDefault="00295E59" w:rsidP="001521E6">
      <w:pPr>
        <w:spacing w:after="0" w:line="240" w:lineRule="auto"/>
        <w:jc w:val="both"/>
        <w:rPr>
          <w:rFonts w:ascii="Times New Roman" w:hAnsi="Times New Roman" w:cs="Times New Roman"/>
          <w:b/>
          <w:bCs/>
        </w:rPr>
      </w:pPr>
      <w:r w:rsidRPr="00295E59">
        <w:rPr>
          <w:rFonts w:ascii="Times New Roman" w:hAnsi="Times New Roman" w:cs="Times New Roman"/>
          <w:b/>
          <w:bCs/>
        </w:rPr>
        <w:t>Proyecciones de crecimiento de la economía mundial, Fondo Monetario Internacional</w:t>
      </w:r>
    </w:p>
    <w:p w14:paraId="59C3B42C" w14:textId="3AAAD1AB" w:rsidR="00C13E60" w:rsidRDefault="00C13E60" w:rsidP="001521E6">
      <w:pPr>
        <w:spacing w:after="0" w:line="240" w:lineRule="auto"/>
        <w:jc w:val="both"/>
        <w:rPr>
          <w:rFonts w:ascii="Times New Roman" w:hAnsi="Times New Roman" w:cs="Times New Roman"/>
          <w:color w:val="FF0000"/>
        </w:rPr>
      </w:pPr>
      <w:r>
        <w:rPr>
          <w:noProof/>
        </w:rPr>
        <w:drawing>
          <wp:inline distT="0" distB="0" distL="0" distR="0" wp14:anchorId="42B3B6CD" wp14:editId="197BBA67">
            <wp:extent cx="2581275" cy="2817495"/>
            <wp:effectExtent l="0" t="0" r="9525" b="1905"/>
            <wp:docPr id="15" name="Imagen 5">
              <a:extLst xmlns:a="http://schemas.openxmlformats.org/drawingml/2006/main">
                <a:ext uri="{FF2B5EF4-FFF2-40B4-BE49-F238E27FC236}">
                  <a16:creationId xmlns:a16="http://schemas.microsoft.com/office/drawing/2014/main" id="{F7D64982-360A-4C48-9AB8-D0AC77654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7D64982-360A-4C48-9AB8-D0AC7765413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1275" cy="2817495"/>
                    </a:xfrm>
                    <a:prstGeom prst="rect">
                      <a:avLst/>
                    </a:prstGeom>
                    <a:noFill/>
                  </pic:spPr>
                </pic:pic>
              </a:graphicData>
            </a:graphic>
          </wp:inline>
        </w:drawing>
      </w:r>
    </w:p>
    <w:p w14:paraId="463A5534" w14:textId="05CDB585" w:rsidR="00C13E60" w:rsidRPr="00295E59" w:rsidRDefault="00295E59" w:rsidP="001521E6">
      <w:pPr>
        <w:spacing w:after="0" w:line="240" w:lineRule="auto"/>
        <w:jc w:val="both"/>
        <w:rPr>
          <w:rFonts w:ascii="Times New Roman" w:hAnsi="Times New Roman" w:cs="Times New Roman"/>
          <w:sz w:val="14"/>
          <w:szCs w:val="14"/>
        </w:rPr>
      </w:pPr>
      <w:r w:rsidRPr="00295E59">
        <w:rPr>
          <w:rFonts w:ascii="Times New Roman" w:hAnsi="Times New Roman" w:cs="Times New Roman"/>
          <w:sz w:val="14"/>
          <w:szCs w:val="14"/>
        </w:rPr>
        <w:t>Fuente: FMI, actualización de Perspectivas de la economía mundial, julio 2023.</w:t>
      </w:r>
    </w:p>
    <w:p w14:paraId="373C7BAA" w14:textId="77777777" w:rsidR="00B756C2" w:rsidRPr="00A37A37" w:rsidRDefault="00B756C2" w:rsidP="001521E6">
      <w:pPr>
        <w:spacing w:after="0" w:line="240" w:lineRule="auto"/>
        <w:jc w:val="both"/>
        <w:rPr>
          <w:rFonts w:ascii="Times New Roman" w:hAnsi="Times New Roman" w:cs="Times New Roman"/>
          <w:color w:val="FF0000"/>
        </w:rPr>
      </w:pPr>
    </w:p>
    <w:p w14:paraId="52A8E497" w14:textId="32DE75D5" w:rsidR="00BE28CC" w:rsidRPr="00BE28CC" w:rsidRDefault="00F37C4D" w:rsidP="00BE28CC">
      <w:pPr>
        <w:pStyle w:val="Textodeglobo"/>
        <w:jc w:val="both"/>
        <w:rPr>
          <w:rFonts w:ascii="Times New Roman" w:hAnsi="Times New Roman" w:cs="Times New Roman"/>
          <w:sz w:val="22"/>
          <w:szCs w:val="22"/>
        </w:rPr>
      </w:pPr>
      <w:r w:rsidRPr="00BE28CC">
        <w:rPr>
          <w:rFonts w:ascii="Times New Roman" w:hAnsi="Times New Roman" w:cs="Times New Roman"/>
          <w:sz w:val="22"/>
          <w:szCs w:val="22"/>
        </w:rPr>
        <w:lastRenderedPageBreak/>
        <w:t>En Estados Unido</w:t>
      </w:r>
      <w:r w:rsidR="00572979" w:rsidRPr="00BE28CC">
        <w:rPr>
          <w:rFonts w:ascii="Times New Roman" w:hAnsi="Times New Roman" w:cs="Times New Roman"/>
          <w:sz w:val="22"/>
          <w:szCs w:val="22"/>
        </w:rPr>
        <w:t>s</w:t>
      </w:r>
      <w:r w:rsidR="00BE28CC">
        <w:rPr>
          <w:rFonts w:ascii="Times New Roman" w:hAnsi="Times New Roman" w:cs="Times New Roman"/>
          <w:sz w:val="22"/>
          <w:szCs w:val="22"/>
        </w:rPr>
        <w:t>,</w:t>
      </w:r>
      <w:r w:rsidR="0043733C" w:rsidRPr="00BE28CC">
        <w:rPr>
          <w:rFonts w:ascii="Times New Roman" w:hAnsi="Times New Roman" w:cs="Times New Roman"/>
          <w:sz w:val="22"/>
          <w:szCs w:val="22"/>
        </w:rPr>
        <w:t xml:space="preserve"> </w:t>
      </w:r>
      <w:r w:rsidR="00BE28CC">
        <w:rPr>
          <w:rFonts w:ascii="Times New Roman" w:hAnsi="Times New Roman" w:cs="Times New Roman"/>
          <w:sz w:val="22"/>
          <w:szCs w:val="22"/>
        </w:rPr>
        <w:t>e</w:t>
      </w:r>
      <w:r w:rsidR="00BE28CC" w:rsidRPr="00BE28CC">
        <w:rPr>
          <w:rFonts w:ascii="Times New Roman" w:hAnsi="Times New Roman" w:cs="Times New Roman"/>
          <w:sz w:val="22"/>
          <w:szCs w:val="22"/>
        </w:rPr>
        <w:t>l desempleo continuó resistiendo al endurecimiento de la política monetaria y descendió a 3</w:t>
      </w:r>
      <w:r w:rsidR="00BE28CC">
        <w:rPr>
          <w:rFonts w:ascii="Times New Roman" w:hAnsi="Times New Roman" w:cs="Times New Roman"/>
          <w:sz w:val="22"/>
          <w:szCs w:val="22"/>
        </w:rPr>
        <w:t>.</w:t>
      </w:r>
      <w:r w:rsidR="00BE28CC" w:rsidRPr="00BE28CC">
        <w:rPr>
          <w:rFonts w:ascii="Times New Roman" w:hAnsi="Times New Roman" w:cs="Times New Roman"/>
          <w:sz w:val="22"/>
          <w:szCs w:val="22"/>
        </w:rPr>
        <w:t>5% en julio, un nivel inferior a la cifra de 3</w:t>
      </w:r>
      <w:r w:rsidR="00BE28CC">
        <w:rPr>
          <w:rFonts w:ascii="Times New Roman" w:hAnsi="Times New Roman" w:cs="Times New Roman"/>
          <w:sz w:val="22"/>
          <w:szCs w:val="22"/>
        </w:rPr>
        <w:t>.</w:t>
      </w:r>
      <w:r w:rsidR="00BE28CC" w:rsidRPr="00BE28CC">
        <w:rPr>
          <w:rFonts w:ascii="Times New Roman" w:hAnsi="Times New Roman" w:cs="Times New Roman"/>
          <w:sz w:val="22"/>
          <w:szCs w:val="22"/>
        </w:rPr>
        <w:t>6% registrada para junio, de acuerdo con el Departamento de Trabajo.</w:t>
      </w:r>
      <w:r w:rsidR="00BE28CC">
        <w:rPr>
          <w:rFonts w:ascii="Times New Roman" w:hAnsi="Times New Roman" w:cs="Times New Roman"/>
          <w:sz w:val="22"/>
          <w:szCs w:val="22"/>
        </w:rPr>
        <w:t xml:space="preserve">  A</w:t>
      </w:r>
      <w:r w:rsidR="00FA48F0" w:rsidRPr="00BE28CC">
        <w:rPr>
          <w:rFonts w:ascii="Times New Roman" w:hAnsi="Times New Roman" w:cs="Times New Roman"/>
          <w:sz w:val="22"/>
          <w:szCs w:val="22"/>
        </w:rPr>
        <w:t xml:space="preserve"> </w:t>
      </w:r>
      <w:r w:rsidR="00BE28CC" w:rsidRPr="00BE28CC">
        <w:rPr>
          <w:rFonts w:ascii="Times New Roman" w:hAnsi="Times New Roman" w:cs="Times New Roman"/>
          <w:sz w:val="22"/>
          <w:szCs w:val="22"/>
        </w:rPr>
        <w:t>lo largo de julio, la creación de nuevos puestos de trabajos llegó a 187</w:t>
      </w:r>
      <w:r w:rsidR="00BE28CC">
        <w:rPr>
          <w:rFonts w:ascii="Times New Roman" w:hAnsi="Times New Roman" w:cs="Times New Roman"/>
          <w:sz w:val="22"/>
          <w:szCs w:val="22"/>
        </w:rPr>
        <w:t>,</w:t>
      </w:r>
      <w:r w:rsidR="00BE28CC" w:rsidRPr="00BE28CC">
        <w:rPr>
          <w:rFonts w:ascii="Times New Roman" w:hAnsi="Times New Roman" w:cs="Times New Roman"/>
          <w:sz w:val="22"/>
          <w:szCs w:val="22"/>
        </w:rPr>
        <w:t>000 nóminas, una cifra inferior a la previsión de 200</w:t>
      </w:r>
      <w:r w:rsidR="00BE28CC">
        <w:rPr>
          <w:rFonts w:ascii="Times New Roman" w:hAnsi="Times New Roman" w:cs="Times New Roman"/>
          <w:sz w:val="22"/>
          <w:szCs w:val="22"/>
        </w:rPr>
        <w:t>,</w:t>
      </w:r>
      <w:r w:rsidR="00BE28CC" w:rsidRPr="00BE28CC">
        <w:rPr>
          <w:rFonts w:ascii="Times New Roman" w:hAnsi="Times New Roman" w:cs="Times New Roman"/>
          <w:sz w:val="22"/>
          <w:szCs w:val="22"/>
        </w:rPr>
        <w:t>000 nuevas vacantes estimada por analistas de mercado, aunque superando los 185</w:t>
      </w:r>
      <w:r w:rsidR="00BE28CC">
        <w:rPr>
          <w:rFonts w:ascii="Times New Roman" w:hAnsi="Times New Roman" w:cs="Times New Roman"/>
          <w:sz w:val="22"/>
          <w:szCs w:val="22"/>
        </w:rPr>
        <w:t>,</w:t>
      </w:r>
      <w:r w:rsidR="00BE28CC" w:rsidRPr="00BE28CC">
        <w:rPr>
          <w:rFonts w:ascii="Times New Roman" w:hAnsi="Times New Roman" w:cs="Times New Roman"/>
          <w:sz w:val="22"/>
          <w:szCs w:val="22"/>
        </w:rPr>
        <w:t>000 empleos reportados al cierre de junio.</w:t>
      </w:r>
      <w:r w:rsidR="00BE28CC" w:rsidRPr="00BE28CC">
        <w:t xml:space="preserve"> </w:t>
      </w:r>
    </w:p>
    <w:p w14:paraId="3456677F" w14:textId="472946DF" w:rsidR="00BE28CC" w:rsidRPr="00BE28CC" w:rsidRDefault="00BE28CC" w:rsidP="00BE28CC">
      <w:pPr>
        <w:pStyle w:val="Textodeglobo"/>
        <w:jc w:val="both"/>
        <w:rPr>
          <w:rFonts w:ascii="Times New Roman" w:hAnsi="Times New Roman" w:cs="Times New Roman"/>
          <w:sz w:val="22"/>
          <w:szCs w:val="22"/>
        </w:rPr>
      </w:pPr>
      <w:r w:rsidRPr="00BE28CC">
        <w:rPr>
          <w:rFonts w:ascii="Times New Roman" w:hAnsi="Times New Roman" w:cs="Times New Roman"/>
          <w:sz w:val="22"/>
          <w:szCs w:val="22"/>
        </w:rPr>
        <w:t xml:space="preserve">La tasa de inflación interanual de Estados Unidos </w:t>
      </w:r>
      <w:r>
        <w:rPr>
          <w:rFonts w:ascii="Times New Roman" w:hAnsi="Times New Roman" w:cs="Times New Roman"/>
          <w:sz w:val="22"/>
          <w:szCs w:val="22"/>
        </w:rPr>
        <w:t xml:space="preserve">se </w:t>
      </w:r>
      <w:r w:rsidRPr="00BE28CC">
        <w:rPr>
          <w:rFonts w:ascii="Times New Roman" w:hAnsi="Times New Roman" w:cs="Times New Roman"/>
          <w:sz w:val="22"/>
          <w:szCs w:val="22"/>
        </w:rPr>
        <w:t>aceleró en julio</w:t>
      </w:r>
      <w:r>
        <w:rPr>
          <w:rFonts w:ascii="Times New Roman" w:hAnsi="Times New Roman" w:cs="Times New Roman"/>
          <w:sz w:val="22"/>
          <w:szCs w:val="22"/>
        </w:rPr>
        <w:t>, subiendo</w:t>
      </w:r>
      <w:r w:rsidRPr="00BE28CC">
        <w:rPr>
          <w:rFonts w:ascii="Times New Roman" w:hAnsi="Times New Roman" w:cs="Times New Roman"/>
          <w:sz w:val="22"/>
          <w:szCs w:val="22"/>
        </w:rPr>
        <w:t xml:space="preserve"> al 3</w:t>
      </w:r>
      <w:r>
        <w:rPr>
          <w:rFonts w:ascii="Times New Roman" w:hAnsi="Times New Roman" w:cs="Times New Roman"/>
          <w:sz w:val="22"/>
          <w:szCs w:val="22"/>
        </w:rPr>
        <w:t>.</w:t>
      </w:r>
      <w:r w:rsidRPr="00BE28CC">
        <w:rPr>
          <w:rFonts w:ascii="Times New Roman" w:hAnsi="Times New Roman" w:cs="Times New Roman"/>
          <w:sz w:val="22"/>
          <w:szCs w:val="22"/>
        </w:rPr>
        <w:t>2% desde el 3% del mes anterior, lo que supone el primer repunte en 13 meses, aunque de menor intensidad de lo anticipado por el consenso del mercado, según la Oficina de Estadísticas Laborales del Departamento de Trabajo del país.</w:t>
      </w:r>
      <w:r>
        <w:rPr>
          <w:rFonts w:ascii="Times New Roman" w:hAnsi="Times New Roman" w:cs="Times New Roman"/>
          <w:sz w:val="22"/>
          <w:szCs w:val="22"/>
        </w:rPr>
        <w:t xml:space="preserve"> </w:t>
      </w:r>
      <w:r w:rsidRPr="00BE28CC">
        <w:rPr>
          <w:rFonts w:ascii="Times New Roman" w:hAnsi="Times New Roman" w:cs="Times New Roman"/>
          <w:sz w:val="22"/>
          <w:szCs w:val="22"/>
        </w:rPr>
        <w:t>La tasa de inflación subyacente, que excluye el impacto de la volatilidad de los precios de los alimentos y de la energía, alcanzó el 4</w:t>
      </w:r>
      <w:r>
        <w:rPr>
          <w:rFonts w:ascii="Times New Roman" w:hAnsi="Times New Roman" w:cs="Times New Roman"/>
          <w:sz w:val="22"/>
          <w:szCs w:val="22"/>
        </w:rPr>
        <w:t>.</w:t>
      </w:r>
      <w:r w:rsidRPr="00BE28CC">
        <w:rPr>
          <w:rFonts w:ascii="Times New Roman" w:hAnsi="Times New Roman" w:cs="Times New Roman"/>
          <w:sz w:val="22"/>
          <w:szCs w:val="22"/>
        </w:rPr>
        <w:t>7%, una décima menos que en junio.</w:t>
      </w:r>
    </w:p>
    <w:p w14:paraId="29E4BC91" w14:textId="256E33CC" w:rsidR="00B1655A" w:rsidRPr="00BE28CC" w:rsidRDefault="009E258A" w:rsidP="00993EED">
      <w:pPr>
        <w:pStyle w:val="Textodeglobo"/>
        <w:jc w:val="both"/>
        <w:rPr>
          <w:rFonts w:ascii="Times New Roman" w:hAnsi="Times New Roman" w:cs="Times New Roman"/>
          <w:sz w:val="22"/>
          <w:szCs w:val="22"/>
        </w:rPr>
      </w:pPr>
      <w:r w:rsidRPr="00BE28CC">
        <w:rPr>
          <w:rFonts w:ascii="Times New Roman" w:hAnsi="Times New Roman" w:cs="Times New Roman"/>
          <w:sz w:val="22"/>
          <w:szCs w:val="22"/>
        </w:rPr>
        <w:tab/>
      </w:r>
    </w:p>
    <w:p w14:paraId="49C28AB5" w14:textId="5BC37CC7" w:rsidR="006935D0" w:rsidRPr="00BE28CC" w:rsidRDefault="008E0CDE" w:rsidP="00F77A15">
      <w:pPr>
        <w:pStyle w:val="Textodeglobo"/>
        <w:jc w:val="both"/>
        <w:rPr>
          <w:rFonts w:ascii="Times New Roman" w:hAnsi="Times New Roman" w:cs="Times New Roman"/>
          <w:sz w:val="22"/>
          <w:szCs w:val="22"/>
        </w:rPr>
      </w:pPr>
      <w:r w:rsidRPr="00BE28CC">
        <w:rPr>
          <w:rFonts w:ascii="Times New Roman" w:hAnsi="Times New Roman" w:cs="Times New Roman"/>
          <w:sz w:val="22"/>
          <w:szCs w:val="22"/>
        </w:rPr>
        <w:t xml:space="preserve">En </w:t>
      </w:r>
      <w:r w:rsidR="00BE28CC" w:rsidRPr="00BE28CC">
        <w:rPr>
          <w:rFonts w:ascii="Times New Roman" w:hAnsi="Times New Roman" w:cs="Times New Roman"/>
          <w:sz w:val="22"/>
          <w:szCs w:val="22"/>
        </w:rPr>
        <w:t>la zona euro</w:t>
      </w:r>
      <w:r w:rsidR="00B10925" w:rsidRPr="00BE28CC">
        <w:rPr>
          <w:rFonts w:ascii="Times New Roman" w:hAnsi="Times New Roman" w:cs="Times New Roman"/>
          <w:sz w:val="22"/>
          <w:szCs w:val="22"/>
        </w:rPr>
        <w:t>,</w:t>
      </w:r>
      <w:r w:rsidR="00E16B0F" w:rsidRPr="00BE28CC">
        <w:rPr>
          <w:rFonts w:ascii="Times New Roman" w:hAnsi="Times New Roman" w:cs="Times New Roman"/>
          <w:sz w:val="22"/>
          <w:szCs w:val="22"/>
        </w:rPr>
        <w:t xml:space="preserve"> </w:t>
      </w:r>
      <w:r w:rsidR="00477CF8" w:rsidRPr="00BE28CC">
        <w:rPr>
          <w:rFonts w:ascii="Times New Roman" w:hAnsi="Times New Roman" w:cs="Times New Roman"/>
          <w:sz w:val="22"/>
          <w:szCs w:val="22"/>
        </w:rPr>
        <w:t xml:space="preserve">el Banco Central Europeo (BCE) </w:t>
      </w:r>
      <w:r w:rsidR="00BE28CC" w:rsidRPr="00BE28CC">
        <w:rPr>
          <w:rFonts w:ascii="Times New Roman" w:hAnsi="Times New Roman" w:cs="Times New Roman"/>
          <w:sz w:val="22"/>
          <w:szCs w:val="22"/>
        </w:rPr>
        <w:t>publicó su Boletín Económico en donde comunicó la perspectiva a corto plazo de la actividad económica de la zona, indicando un deterior debido, principalmente, a la mayor debilidad de la demanda interna. En este sentido, explican que la elevada inflación y el endurecimiento de las condiciones de financiación están frenando el gasto, lo que está afectando especialmente a la producción de manufacturas, que también se está viendo contenida por la debilidad de la demanda externa.</w:t>
      </w:r>
    </w:p>
    <w:p w14:paraId="1FF934F6" w14:textId="3671737F" w:rsidR="0042619E" w:rsidRPr="00F239E2" w:rsidRDefault="0042619E" w:rsidP="0075306E">
      <w:pPr>
        <w:pStyle w:val="Textodeglobo"/>
        <w:jc w:val="both"/>
        <w:rPr>
          <w:rFonts w:ascii="Times New Roman" w:hAnsi="Times New Roman" w:cs="Times New Roman"/>
          <w:sz w:val="22"/>
          <w:szCs w:val="22"/>
        </w:rPr>
      </w:pPr>
    </w:p>
    <w:p w14:paraId="664C80CF" w14:textId="706BB81B" w:rsidR="0042619E" w:rsidRDefault="0042619E" w:rsidP="00BE28CC">
      <w:pPr>
        <w:pStyle w:val="Textodeglobo"/>
        <w:jc w:val="both"/>
        <w:rPr>
          <w:rFonts w:ascii="Times New Roman" w:hAnsi="Times New Roman" w:cs="Times New Roman"/>
          <w:sz w:val="22"/>
          <w:szCs w:val="22"/>
        </w:rPr>
      </w:pPr>
      <w:r w:rsidRPr="00F239E2">
        <w:rPr>
          <w:rFonts w:ascii="Times New Roman" w:hAnsi="Times New Roman" w:cs="Times New Roman"/>
          <w:sz w:val="22"/>
          <w:szCs w:val="22"/>
        </w:rPr>
        <w:t xml:space="preserve">En Japón, </w:t>
      </w:r>
      <w:r w:rsidR="00BE28CC" w:rsidRPr="00F239E2">
        <w:rPr>
          <w:rFonts w:ascii="Times New Roman" w:hAnsi="Times New Roman" w:cs="Times New Roman"/>
          <w:sz w:val="22"/>
          <w:szCs w:val="22"/>
        </w:rPr>
        <w:t>la inflación mayorista se redujo por séptimo mes consecutivo en julio, al disminuir la presión de los altos precios mundiales de las materias primas, un hecho que, según los economistas, probablemente animará al banco central a mantener su estímulo monetario.</w:t>
      </w:r>
      <w:r w:rsidR="00F239E2" w:rsidRPr="00F239E2">
        <w:rPr>
          <w:rFonts w:ascii="Times New Roman" w:hAnsi="Times New Roman" w:cs="Times New Roman"/>
          <w:sz w:val="22"/>
          <w:szCs w:val="22"/>
        </w:rPr>
        <w:t xml:space="preserve">  </w:t>
      </w:r>
      <w:r w:rsidR="00BE28CC" w:rsidRPr="00F239E2">
        <w:rPr>
          <w:rFonts w:ascii="Times New Roman" w:hAnsi="Times New Roman" w:cs="Times New Roman"/>
          <w:sz w:val="22"/>
          <w:szCs w:val="22"/>
        </w:rPr>
        <w:t xml:space="preserve">El aumento de 3.6% en el índice de precios de bienes corporativos, que mide el precio que las </w:t>
      </w:r>
      <w:r w:rsidR="00BE28CC" w:rsidRPr="00F239E2">
        <w:rPr>
          <w:rFonts w:ascii="Times New Roman" w:hAnsi="Times New Roman" w:cs="Times New Roman"/>
          <w:sz w:val="22"/>
          <w:szCs w:val="22"/>
        </w:rPr>
        <w:t>empresas se cobran entre sí por sus bienes y servicios, está ligeramente por encima de la previsión media del mercado de un aumento anual de 3.5% y sigue a un aumento anual de 4.3% en junio.</w:t>
      </w:r>
    </w:p>
    <w:p w14:paraId="6F82E030" w14:textId="77777777" w:rsidR="00DD7677" w:rsidRPr="00F239E2" w:rsidRDefault="00DD7677" w:rsidP="00BE28CC">
      <w:pPr>
        <w:pStyle w:val="Textodeglobo"/>
        <w:jc w:val="both"/>
        <w:rPr>
          <w:rFonts w:ascii="Times New Roman" w:hAnsi="Times New Roman" w:cs="Times New Roman"/>
          <w:sz w:val="22"/>
          <w:szCs w:val="22"/>
        </w:rPr>
      </w:pPr>
    </w:p>
    <w:p w14:paraId="1DF49FFF" w14:textId="77689082" w:rsidR="008258B7" w:rsidRPr="00F239E2" w:rsidRDefault="008258B7" w:rsidP="00F239E2">
      <w:pPr>
        <w:pStyle w:val="Textodeglobo"/>
        <w:jc w:val="both"/>
        <w:rPr>
          <w:rFonts w:ascii="Times New Roman" w:hAnsi="Times New Roman" w:cs="Times New Roman"/>
          <w:sz w:val="22"/>
          <w:szCs w:val="22"/>
        </w:rPr>
      </w:pPr>
      <w:r w:rsidRPr="00F239E2">
        <w:rPr>
          <w:rFonts w:ascii="Times New Roman" w:hAnsi="Times New Roman" w:cs="Times New Roman"/>
          <w:sz w:val="22"/>
          <w:szCs w:val="22"/>
        </w:rPr>
        <w:t xml:space="preserve">En China, </w:t>
      </w:r>
      <w:r w:rsidR="00F239E2" w:rsidRPr="00F239E2">
        <w:rPr>
          <w:rFonts w:ascii="Times New Roman" w:hAnsi="Times New Roman" w:cs="Times New Roman"/>
          <w:sz w:val="22"/>
          <w:szCs w:val="22"/>
        </w:rPr>
        <w:t>los inversionistas extranjeros canalizaron más de US$3,000 millones hacia la deuda china en julio, en la primera entrada mensual neta del año, según datos del Instituto de Finanzas Internacionales (IIF).  Las entradas supusieron menos de un tercio de los US$10,600 millones inyectados en bonos chinos en diciembre, cuando China se preparaba para levantar casi dos años de estrictas restricciones por el Covid-19. En julio también se registró una entrada de US$7,700 millones de no residentes en el país en acciones chinas, un gran salto desde los US$1,900 millones de junio y la segunda mayor entrada mensual del 2023.</w:t>
      </w:r>
    </w:p>
    <w:p w14:paraId="5210BFC2" w14:textId="77777777" w:rsidR="00432D6D" w:rsidRPr="00A37A37" w:rsidRDefault="00432D6D" w:rsidP="00C079A3">
      <w:pPr>
        <w:pStyle w:val="Sinespaciado"/>
        <w:jc w:val="both"/>
        <w:rPr>
          <w:rFonts w:ascii="Times New Roman" w:hAnsi="Times New Roman" w:cs="Times New Roman"/>
          <w:color w:val="FF0000"/>
          <w:lang w:val="es-MX"/>
        </w:rPr>
      </w:pPr>
    </w:p>
    <w:p w14:paraId="4B7E9484" w14:textId="77777777" w:rsidR="00402974" w:rsidRPr="00402974" w:rsidRDefault="003B6264" w:rsidP="00402974">
      <w:pPr>
        <w:pStyle w:val="Sinespaciado"/>
        <w:jc w:val="both"/>
        <w:rPr>
          <w:rFonts w:ascii="Times New Roman" w:hAnsi="Times New Roman" w:cs="Times New Roman"/>
          <w:lang w:val="es-MX"/>
        </w:rPr>
      </w:pPr>
      <w:r w:rsidRPr="00CB2D61">
        <w:rPr>
          <w:rFonts w:ascii="Times New Roman" w:hAnsi="Times New Roman" w:cs="Times New Roman"/>
          <w:lang w:val="es-MX"/>
        </w:rPr>
        <w:t>En el ámbito interno</w:t>
      </w:r>
      <w:r w:rsidR="00832FEC" w:rsidRPr="00CB2D61">
        <w:rPr>
          <w:rFonts w:ascii="Times New Roman" w:hAnsi="Times New Roman" w:cs="Times New Roman"/>
          <w:lang w:val="es-MX"/>
        </w:rPr>
        <w:t xml:space="preserve">, </w:t>
      </w:r>
      <w:r w:rsidR="0065070A" w:rsidRPr="00CB2D61">
        <w:rPr>
          <w:rFonts w:ascii="Times New Roman" w:hAnsi="Times New Roman" w:cs="Times New Roman"/>
          <w:lang w:val="es-MX"/>
        </w:rPr>
        <w:t xml:space="preserve">el nivel del Índice de Confianza de la </w:t>
      </w:r>
      <w:r w:rsidR="0065070A" w:rsidRPr="00402974">
        <w:rPr>
          <w:rFonts w:ascii="Times New Roman" w:hAnsi="Times New Roman" w:cs="Times New Roman"/>
          <w:lang w:val="es-MX"/>
        </w:rPr>
        <w:t xml:space="preserve">Actividad Económica se situó en </w:t>
      </w:r>
      <w:r w:rsidR="00CB2D61" w:rsidRPr="00402974">
        <w:rPr>
          <w:rFonts w:ascii="Times New Roman" w:hAnsi="Times New Roman" w:cs="Times New Roman"/>
          <w:lang w:val="es-MX"/>
        </w:rPr>
        <w:t>4</w:t>
      </w:r>
      <w:r w:rsidR="0065070A" w:rsidRPr="00402974">
        <w:rPr>
          <w:rFonts w:ascii="Times New Roman" w:hAnsi="Times New Roman" w:cs="Times New Roman"/>
          <w:lang w:val="es-MX"/>
        </w:rPr>
        <w:t>5.</w:t>
      </w:r>
      <w:r w:rsidR="00ED5E37" w:rsidRPr="00402974">
        <w:rPr>
          <w:rFonts w:ascii="Times New Roman" w:hAnsi="Times New Roman" w:cs="Times New Roman"/>
          <w:lang w:val="es-MX"/>
        </w:rPr>
        <w:t>8</w:t>
      </w:r>
      <w:r w:rsidR="00CB2D61" w:rsidRPr="00402974">
        <w:rPr>
          <w:rFonts w:ascii="Times New Roman" w:hAnsi="Times New Roman" w:cs="Times New Roman"/>
          <w:lang w:val="es-MX"/>
        </w:rPr>
        <w:t>8</w:t>
      </w:r>
      <w:r w:rsidR="0065070A" w:rsidRPr="00402974">
        <w:rPr>
          <w:rFonts w:ascii="Times New Roman" w:hAnsi="Times New Roman" w:cs="Times New Roman"/>
          <w:lang w:val="es-MX"/>
        </w:rPr>
        <w:t xml:space="preserve"> puntos, </w:t>
      </w:r>
      <w:r w:rsidR="00CB2D61" w:rsidRPr="00402974">
        <w:rPr>
          <w:rFonts w:ascii="Times New Roman" w:hAnsi="Times New Roman" w:cs="Times New Roman"/>
          <w:lang w:val="es-MX"/>
        </w:rPr>
        <w:t>inf</w:t>
      </w:r>
      <w:r w:rsidR="00ED5E37" w:rsidRPr="00402974">
        <w:rPr>
          <w:rFonts w:ascii="Times New Roman" w:hAnsi="Times New Roman" w:cs="Times New Roman"/>
          <w:lang w:val="es-MX"/>
        </w:rPr>
        <w:t>e</w:t>
      </w:r>
      <w:r w:rsidR="0065070A" w:rsidRPr="00402974">
        <w:rPr>
          <w:rFonts w:ascii="Times New Roman" w:hAnsi="Times New Roman" w:cs="Times New Roman"/>
          <w:lang w:val="es-MX"/>
        </w:rPr>
        <w:t xml:space="preserve">rior en </w:t>
      </w:r>
      <w:r w:rsidR="00CB2D61" w:rsidRPr="00402974">
        <w:rPr>
          <w:rFonts w:ascii="Times New Roman" w:hAnsi="Times New Roman" w:cs="Times New Roman"/>
          <w:lang w:val="es-MX"/>
        </w:rPr>
        <w:t>14</w:t>
      </w:r>
      <w:r w:rsidR="00ED5E37" w:rsidRPr="00402974">
        <w:rPr>
          <w:rFonts w:ascii="Times New Roman" w:hAnsi="Times New Roman" w:cs="Times New Roman"/>
          <w:lang w:val="es-MX"/>
        </w:rPr>
        <w:t>.</w:t>
      </w:r>
      <w:r w:rsidR="00CB2D61" w:rsidRPr="00402974">
        <w:rPr>
          <w:rFonts w:ascii="Times New Roman" w:hAnsi="Times New Roman" w:cs="Times New Roman"/>
          <w:lang w:val="es-MX"/>
        </w:rPr>
        <w:t>86</w:t>
      </w:r>
      <w:r w:rsidR="0065070A" w:rsidRPr="00402974">
        <w:rPr>
          <w:rFonts w:ascii="Times New Roman" w:hAnsi="Times New Roman" w:cs="Times New Roman"/>
          <w:lang w:val="es-MX"/>
        </w:rPr>
        <w:t xml:space="preserve">% al registrado en </w:t>
      </w:r>
      <w:r w:rsidR="00CB2D61" w:rsidRPr="00402974">
        <w:rPr>
          <w:rFonts w:ascii="Times New Roman" w:hAnsi="Times New Roman" w:cs="Times New Roman"/>
          <w:lang w:val="es-MX"/>
        </w:rPr>
        <w:t>juni</w:t>
      </w:r>
      <w:r w:rsidR="00ED5E37" w:rsidRPr="00402974">
        <w:rPr>
          <w:rFonts w:ascii="Times New Roman" w:hAnsi="Times New Roman" w:cs="Times New Roman"/>
          <w:lang w:val="es-MX"/>
        </w:rPr>
        <w:t>o</w:t>
      </w:r>
      <w:r w:rsidR="0065070A" w:rsidRPr="00402974">
        <w:rPr>
          <w:rFonts w:ascii="Times New Roman" w:hAnsi="Times New Roman" w:cs="Times New Roman"/>
          <w:lang w:val="es-MX"/>
        </w:rPr>
        <w:t xml:space="preserve"> de 202</w:t>
      </w:r>
      <w:r w:rsidR="00311E17" w:rsidRPr="00402974">
        <w:rPr>
          <w:rFonts w:ascii="Times New Roman" w:hAnsi="Times New Roman" w:cs="Times New Roman"/>
          <w:lang w:val="es-MX"/>
        </w:rPr>
        <w:t>3</w:t>
      </w:r>
      <w:r w:rsidR="0065070A" w:rsidRPr="00402974">
        <w:rPr>
          <w:rFonts w:ascii="Times New Roman" w:hAnsi="Times New Roman" w:cs="Times New Roman"/>
          <w:lang w:val="es-MX"/>
        </w:rPr>
        <w:t xml:space="preserve"> e inferior en </w:t>
      </w:r>
      <w:r w:rsidR="00CB2D61" w:rsidRPr="00402974">
        <w:rPr>
          <w:rFonts w:ascii="Times New Roman" w:hAnsi="Times New Roman" w:cs="Times New Roman"/>
          <w:lang w:val="es-MX"/>
        </w:rPr>
        <w:t>9</w:t>
      </w:r>
      <w:r w:rsidR="0065070A" w:rsidRPr="00402974">
        <w:rPr>
          <w:rFonts w:ascii="Times New Roman" w:hAnsi="Times New Roman" w:cs="Times New Roman"/>
          <w:lang w:val="es-MX"/>
        </w:rPr>
        <w:t>.</w:t>
      </w:r>
      <w:r w:rsidR="00ED5E37" w:rsidRPr="00402974">
        <w:rPr>
          <w:rFonts w:ascii="Times New Roman" w:hAnsi="Times New Roman" w:cs="Times New Roman"/>
          <w:lang w:val="es-MX"/>
        </w:rPr>
        <w:t>20</w:t>
      </w:r>
      <w:r w:rsidR="0065070A" w:rsidRPr="00402974">
        <w:rPr>
          <w:rFonts w:ascii="Times New Roman" w:hAnsi="Times New Roman" w:cs="Times New Roman"/>
          <w:lang w:val="es-MX"/>
        </w:rPr>
        <w:t xml:space="preserve">% respecto al registrado en </w:t>
      </w:r>
      <w:r w:rsidR="00ED5E37" w:rsidRPr="00402974">
        <w:rPr>
          <w:rFonts w:ascii="Times New Roman" w:hAnsi="Times New Roman" w:cs="Times New Roman"/>
          <w:lang w:val="es-MX"/>
        </w:rPr>
        <w:t>ju</w:t>
      </w:r>
      <w:r w:rsidR="00CB2D61" w:rsidRPr="00402974">
        <w:rPr>
          <w:rFonts w:ascii="Times New Roman" w:hAnsi="Times New Roman" w:cs="Times New Roman"/>
          <w:lang w:val="es-MX"/>
        </w:rPr>
        <w:t>l</w:t>
      </w:r>
      <w:r w:rsidR="00ED5E37" w:rsidRPr="00402974">
        <w:rPr>
          <w:rFonts w:ascii="Times New Roman" w:hAnsi="Times New Roman" w:cs="Times New Roman"/>
          <w:lang w:val="es-MX"/>
        </w:rPr>
        <w:t>io</w:t>
      </w:r>
      <w:r w:rsidR="0065070A" w:rsidRPr="00402974">
        <w:rPr>
          <w:rFonts w:ascii="Times New Roman" w:hAnsi="Times New Roman" w:cs="Times New Roman"/>
          <w:lang w:val="es-MX"/>
        </w:rPr>
        <w:t xml:space="preserve"> 202</w:t>
      </w:r>
      <w:r w:rsidR="00311E17" w:rsidRPr="00402974">
        <w:rPr>
          <w:rFonts w:ascii="Times New Roman" w:hAnsi="Times New Roman" w:cs="Times New Roman"/>
          <w:lang w:val="es-MX"/>
        </w:rPr>
        <w:t>2</w:t>
      </w:r>
      <w:r w:rsidR="0065070A" w:rsidRPr="00402974">
        <w:rPr>
          <w:rFonts w:ascii="Times New Roman" w:hAnsi="Times New Roman" w:cs="Times New Roman"/>
          <w:lang w:val="es-MX"/>
        </w:rPr>
        <w:t xml:space="preserve"> </w:t>
      </w:r>
      <w:r w:rsidR="00FE4538" w:rsidRPr="00402974">
        <w:rPr>
          <w:rFonts w:ascii="Times New Roman" w:hAnsi="Times New Roman" w:cs="Times New Roman"/>
          <w:lang w:val="es-MX"/>
        </w:rPr>
        <w:t xml:space="preserve">cuando marcó los </w:t>
      </w:r>
      <w:r w:rsidR="00ED5E37" w:rsidRPr="00402974">
        <w:rPr>
          <w:rFonts w:ascii="Times New Roman" w:hAnsi="Times New Roman" w:cs="Times New Roman"/>
          <w:lang w:val="es-MX"/>
        </w:rPr>
        <w:t>5</w:t>
      </w:r>
      <w:r w:rsidR="00CB2D61" w:rsidRPr="00402974">
        <w:rPr>
          <w:rFonts w:ascii="Times New Roman" w:hAnsi="Times New Roman" w:cs="Times New Roman"/>
          <w:lang w:val="es-MX"/>
        </w:rPr>
        <w:t>0</w:t>
      </w:r>
      <w:r w:rsidR="0065070A" w:rsidRPr="00402974">
        <w:rPr>
          <w:rFonts w:ascii="Times New Roman" w:hAnsi="Times New Roman" w:cs="Times New Roman"/>
          <w:lang w:val="es-MX"/>
        </w:rPr>
        <w:t>.</w:t>
      </w:r>
      <w:r w:rsidR="00CB2D61" w:rsidRPr="00402974">
        <w:rPr>
          <w:rFonts w:ascii="Times New Roman" w:hAnsi="Times New Roman" w:cs="Times New Roman"/>
          <w:lang w:val="es-MX"/>
        </w:rPr>
        <w:t>53</w:t>
      </w:r>
      <w:r w:rsidR="0065070A" w:rsidRPr="00402974">
        <w:rPr>
          <w:rFonts w:ascii="Times New Roman" w:hAnsi="Times New Roman" w:cs="Times New Roman"/>
          <w:lang w:val="es-MX"/>
        </w:rPr>
        <w:t xml:space="preserve"> puntos.   </w:t>
      </w:r>
      <w:r w:rsidR="005F53B3" w:rsidRPr="00402974">
        <w:rPr>
          <w:rFonts w:ascii="Times New Roman" w:hAnsi="Times New Roman" w:cs="Times New Roman"/>
          <w:lang w:val="es-MX"/>
        </w:rPr>
        <w:t>Además</w:t>
      </w:r>
      <w:r w:rsidR="0065070A" w:rsidRPr="00402974">
        <w:rPr>
          <w:rFonts w:ascii="Times New Roman" w:hAnsi="Times New Roman" w:cs="Times New Roman"/>
          <w:lang w:val="es-MX"/>
        </w:rPr>
        <w:t xml:space="preserve">, se espera un ritmo inflacionario de </w:t>
      </w:r>
      <w:r w:rsidR="00CB2D61" w:rsidRPr="00402974">
        <w:rPr>
          <w:rFonts w:ascii="Times New Roman" w:hAnsi="Times New Roman" w:cs="Times New Roman"/>
          <w:lang w:val="es-MX"/>
        </w:rPr>
        <w:t>5</w:t>
      </w:r>
      <w:r w:rsidR="0065070A" w:rsidRPr="00402974">
        <w:rPr>
          <w:rFonts w:ascii="Times New Roman" w:hAnsi="Times New Roman" w:cs="Times New Roman"/>
          <w:lang w:val="es-MX"/>
        </w:rPr>
        <w:t>.</w:t>
      </w:r>
      <w:r w:rsidR="00CB2D61" w:rsidRPr="00402974">
        <w:rPr>
          <w:rFonts w:ascii="Times New Roman" w:hAnsi="Times New Roman" w:cs="Times New Roman"/>
          <w:lang w:val="es-MX"/>
        </w:rPr>
        <w:t>31</w:t>
      </w:r>
      <w:r w:rsidR="0065070A" w:rsidRPr="00402974">
        <w:rPr>
          <w:rFonts w:ascii="Times New Roman" w:hAnsi="Times New Roman" w:cs="Times New Roman"/>
          <w:lang w:val="es-MX"/>
        </w:rPr>
        <w:t xml:space="preserve">% para </w:t>
      </w:r>
      <w:r w:rsidR="00ED5E37" w:rsidRPr="00402974">
        <w:rPr>
          <w:rFonts w:ascii="Times New Roman" w:hAnsi="Times New Roman" w:cs="Times New Roman"/>
          <w:lang w:val="es-MX"/>
        </w:rPr>
        <w:t>ju</w:t>
      </w:r>
      <w:r w:rsidR="00CB2D61" w:rsidRPr="00402974">
        <w:rPr>
          <w:rFonts w:ascii="Times New Roman" w:hAnsi="Times New Roman" w:cs="Times New Roman"/>
          <w:lang w:val="es-MX"/>
        </w:rPr>
        <w:t>l</w:t>
      </w:r>
      <w:r w:rsidR="00ED5E37" w:rsidRPr="00402974">
        <w:rPr>
          <w:rFonts w:ascii="Times New Roman" w:hAnsi="Times New Roman" w:cs="Times New Roman"/>
          <w:lang w:val="es-MX"/>
        </w:rPr>
        <w:t>i</w:t>
      </w:r>
      <w:r w:rsidR="00311E17" w:rsidRPr="00402974">
        <w:rPr>
          <w:rFonts w:ascii="Times New Roman" w:hAnsi="Times New Roman" w:cs="Times New Roman"/>
          <w:lang w:val="es-MX"/>
        </w:rPr>
        <w:t>o de 2023</w:t>
      </w:r>
      <w:r w:rsidR="0065070A" w:rsidRPr="00402974">
        <w:rPr>
          <w:rFonts w:ascii="Times New Roman" w:hAnsi="Times New Roman" w:cs="Times New Roman"/>
          <w:lang w:val="es-MX"/>
        </w:rPr>
        <w:t xml:space="preserve">, mientras </w:t>
      </w:r>
      <w:r w:rsidR="005F53B3" w:rsidRPr="00402974">
        <w:rPr>
          <w:rFonts w:ascii="Times New Roman" w:hAnsi="Times New Roman" w:cs="Times New Roman"/>
          <w:lang w:val="es-MX"/>
        </w:rPr>
        <w:t>que en</w:t>
      </w:r>
      <w:r w:rsidR="0065070A" w:rsidRPr="00402974">
        <w:rPr>
          <w:rFonts w:ascii="Times New Roman" w:hAnsi="Times New Roman" w:cs="Times New Roman"/>
          <w:lang w:val="es-MX"/>
        </w:rPr>
        <w:t xml:space="preserve"> </w:t>
      </w:r>
      <w:r w:rsidR="00CB2D61" w:rsidRPr="00402974">
        <w:rPr>
          <w:rFonts w:ascii="Times New Roman" w:hAnsi="Times New Roman" w:cs="Times New Roman"/>
          <w:lang w:val="es-MX"/>
        </w:rPr>
        <w:t>agost</w:t>
      </w:r>
      <w:r w:rsidR="0065070A" w:rsidRPr="00402974">
        <w:rPr>
          <w:rFonts w:ascii="Times New Roman" w:hAnsi="Times New Roman" w:cs="Times New Roman"/>
          <w:lang w:val="es-MX"/>
        </w:rPr>
        <w:t>o</w:t>
      </w:r>
      <w:r w:rsidR="00311E17" w:rsidRPr="00402974">
        <w:rPr>
          <w:rFonts w:ascii="Times New Roman" w:hAnsi="Times New Roman" w:cs="Times New Roman"/>
          <w:lang w:val="es-MX"/>
        </w:rPr>
        <w:t xml:space="preserve"> </w:t>
      </w:r>
      <w:r w:rsidR="0065070A" w:rsidRPr="00402974">
        <w:rPr>
          <w:rFonts w:ascii="Times New Roman" w:hAnsi="Times New Roman" w:cs="Times New Roman"/>
          <w:lang w:val="es-MX"/>
        </w:rPr>
        <w:t xml:space="preserve">se situaría en </w:t>
      </w:r>
      <w:r w:rsidR="00CB2D61" w:rsidRPr="00402974">
        <w:rPr>
          <w:rFonts w:ascii="Times New Roman" w:hAnsi="Times New Roman" w:cs="Times New Roman"/>
          <w:lang w:val="es-MX"/>
        </w:rPr>
        <w:t>5.06</w:t>
      </w:r>
      <w:r w:rsidR="0065070A" w:rsidRPr="00402974">
        <w:rPr>
          <w:rFonts w:ascii="Times New Roman" w:hAnsi="Times New Roman" w:cs="Times New Roman"/>
          <w:lang w:val="es-MX"/>
        </w:rPr>
        <w:t>% y</w:t>
      </w:r>
      <w:r w:rsidR="005F53B3" w:rsidRPr="00402974">
        <w:rPr>
          <w:rFonts w:ascii="Times New Roman" w:hAnsi="Times New Roman" w:cs="Times New Roman"/>
          <w:lang w:val="es-MX"/>
        </w:rPr>
        <w:t xml:space="preserve"> en </w:t>
      </w:r>
      <w:r w:rsidR="00CB2D61" w:rsidRPr="00402974">
        <w:rPr>
          <w:rFonts w:ascii="Times New Roman" w:hAnsi="Times New Roman" w:cs="Times New Roman"/>
          <w:lang w:val="es-MX"/>
        </w:rPr>
        <w:t>septiembre</w:t>
      </w:r>
      <w:r w:rsidR="005F53B3" w:rsidRPr="00402974">
        <w:rPr>
          <w:rFonts w:ascii="Times New Roman" w:hAnsi="Times New Roman" w:cs="Times New Roman"/>
          <w:lang w:val="es-MX"/>
        </w:rPr>
        <w:t xml:space="preserve"> del presente año en </w:t>
      </w:r>
      <w:r w:rsidR="00CB2D61" w:rsidRPr="00402974">
        <w:rPr>
          <w:rFonts w:ascii="Times New Roman" w:hAnsi="Times New Roman" w:cs="Times New Roman"/>
          <w:lang w:val="es-MX"/>
        </w:rPr>
        <w:t>4</w:t>
      </w:r>
      <w:r w:rsidR="0065070A" w:rsidRPr="00402974">
        <w:rPr>
          <w:rFonts w:ascii="Times New Roman" w:hAnsi="Times New Roman" w:cs="Times New Roman"/>
          <w:lang w:val="es-MX"/>
        </w:rPr>
        <w:t>.</w:t>
      </w:r>
      <w:r w:rsidR="00ED5E37" w:rsidRPr="00402974">
        <w:rPr>
          <w:rFonts w:ascii="Times New Roman" w:hAnsi="Times New Roman" w:cs="Times New Roman"/>
          <w:lang w:val="es-MX"/>
        </w:rPr>
        <w:t>9</w:t>
      </w:r>
      <w:r w:rsidR="00CB2D61" w:rsidRPr="00402974">
        <w:rPr>
          <w:rFonts w:ascii="Times New Roman" w:hAnsi="Times New Roman" w:cs="Times New Roman"/>
          <w:lang w:val="es-MX"/>
        </w:rPr>
        <w:t>2</w:t>
      </w:r>
      <w:r w:rsidR="0065070A" w:rsidRPr="00402974">
        <w:rPr>
          <w:rFonts w:ascii="Times New Roman" w:hAnsi="Times New Roman" w:cs="Times New Roman"/>
          <w:lang w:val="es-MX"/>
        </w:rPr>
        <w:t xml:space="preserve">%; en un horizonte de 12 y 24 meses </w:t>
      </w:r>
      <w:r w:rsidR="005F53B3" w:rsidRPr="00402974">
        <w:rPr>
          <w:rFonts w:ascii="Times New Roman" w:hAnsi="Times New Roman" w:cs="Times New Roman"/>
          <w:lang w:val="es-MX"/>
        </w:rPr>
        <w:t xml:space="preserve">el </w:t>
      </w:r>
      <w:r w:rsidR="0065070A" w:rsidRPr="00402974">
        <w:rPr>
          <w:rFonts w:ascii="Times New Roman" w:hAnsi="Times New Roman" w:cs="Times New Roman"/>
          <w:lang w:val="es-MX"/>
        </w:rPr>
        <w:t>ritmo</w:t>
      </w:r>
      <w:r w:rsidR="00311E17" w:rsidRPr="00402974">
        <w:rPr>
          <w:rFonts w:ascii="Times New Roman" w:hAnsi="Times New Roman" w:cs="Times New Roman"/>
          <w:lang w:val="es-MX"/>
        </w:rPr>
        <w:t xml:space="preserve"> inflacionario</w:t>
      </w:r>
      <w:r w:rsidR="0065070A" w:rsidRPr="00402974">
        <w:rPr>
          <w:rFonts w:ascii="Times New Roman" w:hAnsi="Times New Roman" w:cs="Times New Roman"/>
          <w:lang w:val="es-MX"/>
        </w:rPr>
        <w:t xml:space="preserve"> </w:t>
      </w:r>
      <w:r w:rsidR="005F53B3" w:rsidRPr="00402974">
        <w:rPr>
          <w:rFonts w:ascii="Times New Roman" w:hAnsi="Times New Roman" w:cs="Times New Roman"/>
          <w:lang w:val="es-MX"/>
        </w:rPr>
        <w:t>podría ubicarse en</w:t>
      </w:r>
      <w:r w:rsidR="0065070A" w:rsidRPr="00402974">
        <w:rPr>
          <w:rFonts w:ascii="Times New Roman" w:hAnsi="Times New Roman" w:cs="Times New Roman"/>
          <w:lang w:val="es-MX"/>
        </w:rPr>
        <w:t xml:space="preserve"> </w:t>
      </w:r>
      <w:r w:rsidR="00ED5E37" w:rsidRPr="00402974">
        <w:rPr>
          <w:rFonts w:ascii="Times New Roman" w:hAnsi="Times New Roman" w:cs="Times New Roman"/>
          <w:lang w:val="es-MX"/>
        </w:rPr>
        <w:t>4</w:t>
      </w:r>
      <w:r w:rsidR="0065070A" w:rsidRPr="00402974">
        <w:rPr>
          <w:rFonts w:ascii="Times New Roman" w:hAnsi="Times New Roman" w:cs="Times New Roman"/>
          <w:lang w:val="es-MX"/>
        </w:rPr>
        <w:t>.</w:t>
      </w:r>
      <w:r w:rsidR="00CB2D61" w:rsidRPr="00402974">
        <w:rPr>
          <w:rFonts w:ascii="Times New Roman" w:hAnsi="Times New Roman" w:cs="Times New Roman"/>
          <w:lang w:val="es-MX"/>
        </w:rPr>
        <w:t>67</w:t>
      </w:r>
      <w:r w:rsidR="0065070A" w:rsidRPr="00402974">
        <w:rPr>
          <w:rFonts w:ascii="Times New Roman" w:hAnsi="Times New Roman" w:cs="Times New Roman"/>
          <w:lang w:val="es-MX"/>
        </w:rPr>
        <w:t xml:space="preserve">% y </w:t>
      </w:r>
      <w:r w:rsidR="00311E17" w:rsidRPr="00402974">
        <w:rPr>
          <w:rFonts w:ascii="Times New Roman" w:hAnsi="Times New Roman" w:cs="Times New Roman"/>
          <w:lang w:val="es-MX"/>
        </w:rPr>
        <w:t>4</w:t>
      </w:r>
      <w:r w:rsidR="0065070A" w:rsidRPr="00402974">
        <w:rPr>
          <w:rFonts w:ascii="Times New Roman" w:hAnsi="Times New Roman" w:cs="Times New Roman"/>
          <w:lang w:val="es-MX"/>
        </w:rPr>
        <w:t>.</w:t>
      </w:r>
      <w:r w:rsidR="00ED5E37" w:rsidRPr="00402974">
        <w:rPr>
          <w:rFonts w:ascii="Times New Roman" w:hAnsi="Times New Roman" w:cs="Times New Roman"/>
          <w:lang w:val="es-MX"/>
        </w:rPr>
        <w:t>2</w:t>
      </w:r>
      <w:r w:rsidR="00CB2D61" w:rsidRPr="00402974">
        <w:rPr>
          <w:rFonts w:ascii="Times New Roman" w:hAnsi="Times New Roman" w:cs="Times New Roman"/>
          <w:lang w:val="es-MX"/>
        </w:rPr>
        <w:t>1</w:t>
      </w:r>
      <w:r w:rsidR="0065070A" w:rsidRPr="00402974">
        <w:rPr>
          <w:rFonts w:ascii="Times New Roman" w:hAnsi="Times New Roman" w:cs="Times New Roman"/>
          <w:lang w:val="es-MX"/>
        </w:rPr>
        <w:t>% respectivamente.</w:t>
      </w:r>
      <w:r w:rsidR="00ED5E37" w:rsidRPr="00402974">
        <w:rPr>
          <w:rFonts w:ascii="Times New Roman" w:hAnsi="Times New Roman" w:cs="Times New Roman"/>
          <w:lang w:val="es-MX"/>
        </w:rPr>
        <w:t xml:space="preserve">  El PIB real registrará un crecimiento de 3.</w:t>
      </w:r>
      <w:r w:rsidR="00402974" w:rsidRPr="00402974">
        <w:rPr>
          <w:rFonts w:ascii="Times New Roman" w:hAnsi="Times New Roman" w:cs="Times New Roman"/>
          <w:lang w:val="es-MX"/>
        </w:rPr>
        <w:t>4</w:t>
      </w:r>
      <w:r w:rsidR="00ED5E37" w:rsidRPr="00402974">
        <w:rPr>
          <w:rFonts w:ascii="Times New Roman" w:hAnsi="Times New Roman" w:cs="Times New Roman"/>
          <w:lang w:val="es-MX"/>
        </w:rPr>
        <w:t xml:space="preserve">% tanto para 2023 como para 2024, siendo los factores con mayor incidencia: </w:t>
      </w:r>
      <w:r w:rsidR="00402974" w:rsidRPr="00402974">
        <w:rPr>
          <w:rFonts w:ascii="Times New Roman" w:hAnsi="Times New Roman" w:cs="Times New Roman"/>
          <w:lang w:val="es-MX"/>
        </w:rPr>
        <w:t>la evolución del precio de energéticos, la estabilidad en el nivel general</w:t>
      </w:r>
    </w:p>
    <w:p w14:paraId="52145C5A" w14:textId="77777777" w:rsidR="00402974" w:rsidRPr="00402974" w:rsidRDefault="00402974" w:rsidP="00402974">
      <w:pPr>
        <w:pStyle w:val="Sinespaciado"/>
        <w:jc w:val="both"/>
        <w:rPr>
          <w:rFonts w:ascii="Times New Roman" w:hAnsi="Times New Roman" w:cs="Times New Roman"/>
          <w:lang w:val="es-MX"/>
        </w:rPr>
      </w:pPr>
      <w:r w:rsidRPr="00402974">
        <w:rPr>
          <w:rFonts w:ascii="Times New Roman" w:hAnsi="Times New Roman" w:cs="Times New Roman"/>
          <w:lang w:val="es-MX"/>
        </w:rPr>
        <w:t>de precios, el desempeño de la política fiscal, la estabilidad en el tipo de cambio nominal, el</w:t>
      </w:r>
    </w:p>
    <w:p w14:paraId="52791407" w14:textId="3BA8F5E2" w:rsidR="00832FEC" w:rsidRPr="00402974" w:rsidRDefault="00402974" w:rsidP="00402974">
      <w:pPr>
        <w:pStyle w:val="Sinespaciado"/>
        <w:jc w:val="both"/>
        <w:rPr>
          <w:rFonts w:ascii="Times New Roman" w:hAnsi="Times New Roman" w:cs="Times New Roman"/>
          <w:lang w:val="es-MX"/>
        </w:rPr>
      </w:pPr>
      <w:r w:rsidRPr="00402974">
        <w:rPr>
          <w:rFonts w:ascii="Times New Roman" w:hAnsi="Times New Roman" w:cs="Times New Roman"/>
          <w:lang w:val="es-MX"/>
        </w:rPr>
        <w:t>nivel de las tasas de interés, la política de inversiones públicas y privadas y el fortalecimiento del mercado interno.</w:t>
      </w:r>
    </w:p>
    <w:p w14:paraId="1B90F486" w14:textId="77777777" w:rsidR="00832FEC" w:rsidRPr="00F239E2" w:rsidRDefault="00832FEC" w:rsidP="00004F98">
      <w:pPr>
        <w:pStyle w:val="Sinespaciado"/>
        <w:jc w:val="both"/>
        <w:rPr>
          <w:rFonts w:ascii="Times New Roman" w:hAnsi="Times New Roman" w:cs="Times New Roman"/>
          <w:lang w:val="es-MX"/>
        </w:rPr>
      </w:pPr>
    </w:p>
    <w:p w14:paraId="79049383" w14:textId="0AB26031" w:rsidR="00A412E3" w:rsidRPr="005606B1" w:rsidRDefault="00C02CBF" w:rsidP="00C10066">
      <w:pPr>
        <w:pStyle w:val="Sinespaciado"/>
        <w:jc w:val="both"/>
        <w:rPr>
          <w:rFonts w:ascii="Times New Roman" w:hAnsi="Times New Roman" w:cs="Times New Roman"/>
          <w:color w:val="FFFFFF" w:themeColor="background1"/>
          <w:sz w:val="14"/>
        </w:rPr>
        <w:sectPr w:rsidR="00A412E3" w:rsidRPr="005606B1" w:rsidSect="00776700">
          <w:type w:val="continuous"/>
          <w:pgSz w:w="12240" w:h="15840"/>
          <w:pgMar w:top="1417" w:right="1701" w:bottom="1417" w:left="1701" w:header="708" w:footer="708" w:gutter="0"/>
          <w:cols w:num="2" w:space="708"/>
          <w:docGrid w:linePitch="360"/>
        </w:sectPr>
      </w:pPr>
      <w:r w:rsidRPr="005606B1">
        <w:rPr>
          <w:rFonts w:ascii="Times New Roman" w:hAnsi="Times New Roman" w:cs="Times New Roman"/>
          <w:color w:val="FFFFFF" w:themeColor="background1"/>
          <w:sz w:val="14"/>
        </w:rPr>
        <w:t>.</w:t>
      </w:r>
    </w:p>
    <w:p w14:paraId="70829754" w14:textId="4F6BEEAD" w:rsidR="0071038C" w:rsidRPr="00A37A37" w:rsidRDefault="0071038C" w:rsidP="0071038C">
      <w:pPr>
        <w:spacing w:after="0"/>
        <w:rPr>
          <w:rFonts w:ascii="Times New Roman" w:hAnsi="Times New Roman" w:cs="Times New Roman"/>
          <w:color w:val="FF0000"/>
        </w:rPr>
        <w:sectPr w:rsidR="0071038C" w:rsidRPr="00A37A37" w:rsidSect="00960BE9">
          <w:type w:val="continuous"/>
          <w:pgSz w:w="12240" w:h="15840"/>
          <w:pgMar w:top="1417" w:right="1701" w:bottom="1417" w:left="1701" w:header="708" w:footer="708" w:gutter="0"/>
          <w:cols w:space="708"/>
          <w:docGrid w:linePitch="360"/>
        </w:sectPr>
      </w:pPr>
    </w:p>
    <w:p w14:paraId="0F5031D0" w14:textId="77777777" w:rsidR="0049462E" w:rsidRPr="00A37A37" w:rsidRDefault="0049462E" w:rsidP="00C56D80">
      <w:pPr>
        <w:spacing w:after="0"/>
        <w:rPr>
          <w:rFonts w:ascii="Times New Roman" w:hAnsi="Times New Roman" w:cs="Times New Roman"/>
          <w:color w:val="FF0000"/>
        </w:rPr>
      </w:pPr>
    </w:p>
    <w:p w14:paraId="6EDB670D" w14:textId="22D409CD" w:rsidR="008E4819" w:rsidRPr="00A37A37" w:rsidRDefault="008E4819" w:rsidP="00C56D80">
      <w:pPr>
        <w:spacing w:after="0"/>
        <w:rPr>
          <w:rFonts w:ascii="Times New Roman" w:hAnsi="Times New Roman" w:cs="Times New Roman"/>
          <w:color w:val="FF0000"/>
        </w:rPr>
      </w:pPr>
    </w:p>
    <w:p w14:paraId="79DA80A2" w14:textId="6E78F566" w:rsidR="00AC6419" w:rsidRDefault="00AC6419" w:rsidP="00C56D80">
      <w:pPr>
        <w:spacing w:after="0"/>
        <w:rPr>
          <w:rFonts w:ascii="Times New Roman" w:hAnsi="Times New Roman" w:cs="Times New Roman"/>
          <w:color w:val="FF0000"/>
        </w:rPr>
      </w:pPr>
    </w:p>
    <w:p w14:paraId="0AC3E5F9" w14:textId="185A40ED" w:rsidR="00746622" w:rsidRDefault="00746622" w:rsidP="00C56D80">
      <w:pPr>
        <w:spacing w:after="0"/>
        <w:rPr>
          <w:rFonts w:ascii="Times New Roman" w:hAnsi="Times New Roman" w:cs="Times New Roman"/>
          <w:color w:val="FF0000"/>
        </w:rPr>
      </w:pPr>
    </w:p>
    <w:p w14:paraId="597971CD" w14:textId="230FBE09" w:rsidR="00746622" w:rsidRDefault="00746622" w:rsidP="00C56D80">
      <w:pPr>
        <w:spacing w:after="0"/>
        <w:rPr>
          <w:rFonts w:ascii="Times New Roman" w:hAnsi="Times New Roman" w:cs="Times New Roman"/>
          <w:color w:val="FF0000"/>
        </w:rPr>
      </w:pPr>
    </w:p>
    <w:p w14:paraId="25C431FC" w14:textId="1E853EDB" w:rsidR="008E4819" w:rsidRPr="00A37A37" w:rsidRDefault="008E4819" w:rsidP="00C56D80">
      <w:pPr>
        <w:spacing w:after="0"/>
        <w:rPr>
          <w:rFonts w:ascii="Times New Roman" w:hAnsi="Times New Roman" w:cs="Times New Roman"/>
          <w:color w:val="FF0000"/>
        </w:rPr>
        <w:sectPr w:rsidR="008E4819" w:rsidRPr="00A37A37" w:rsidSect="00960BE9">
          <w:headerReference w:type="default" r:id="rId48"/>
          <w:footerReference w:type="default" r:id="rId49"/>
          <w:type w:val="continuous"/>
          <w:pgSz w:w="12240" w:h="15840"/>
          <w:pgMar w:top="1417" w:right="1701" w:bottom="1417" w:left="1701" w:header="708" w:footer="708" w:gutter="0"/>
          <w:cols w:space="708"/>
          <w:docGrid w:linePitch="360"/>
        </w:sectPr>
      </w:pPr>
    </w:p>
    <w:p w14:paraId="4E1504DB" w14:textId="77C1F3E6" w:rsidR="00C56D80" w:rsidRPr="00785591"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785591" w:rsidSect="00960BE9">
          <w:headerReference w:type="default" r:id="rId50"/>
          <w:footerReference w:type="default" r:id="rId51"/>
          <w:type w:val="continuous"/>
          <w:pgSz w:w="12240" w:h="15840"/>
          <w:pgMar w:top="1417" w:right="1701" w:bottom="1417" w:left="1701" w:header="708" w:footer="708" w:gutter="0"/>
          <w:cols w:space="708"/>
          <w:docGrid w:linePitch="360"/>
        </w:sectPr>
      </w:pPr>
      <w:r w:rsidRPr="00785591">
        <w:rPr>
          <w:rFonts w:ascii="Times New Roman" w:hAnsi="Times New Roman" w:cs="Times New Roman"/>
          <w:b/>
          <w:color w:val="FFFFFF" w:themeColor="background1"/>
          <w:sz w:val="24"/>
          <w:szCs w:val="24"/>
        </w:rPr>
        <w:t>Anexo</w:t>
      </w:r>
    </w:p>
    <w:p w14:paraId="59B7BD25" w14:textId="35DE8916" w:rsidR="00BC181B" w:rsidRPr="00A37A37" w:rsidRDefault="00BC181B" w:rsidP="00F63250">
      <w:pPr>
        <w:pStyle w:val="Sinespaciado"/>
        <w:rPr>
          <w:rFonts w:ascii="Times New Roman" w:hAnsi="Times New Roman" w:cs="Times New Roman"/>
          <w:color w:val="FF0000"/>
          <w:sz w:val="18"/>
          <w:szCs w:val="18"/>
        </w:rPr>
      </w:pPr>
    </w:p>
    <w:p w14:paraId="31BBC6C7" w14:textId="083D32C8" w:rsidR="00D011CD" w:rsidRPr="00A37A37" w:rsidRDefault="00785591" w:rsidP="00C56D80">
      <w:pPr>
        <w:pStyle w:val="Sinespaciado"/>
        <w:rPr>
          <w:rFonts w:ascii="Times New Roman" w:hAnsi="Times New Roman" w:cs="Times New Roman"/>
          <w:color w:val="FF0000"/>
          <w:sz w:val="18"/>
          <w:szCs w:val="18"/>
        </w:rPr>
      </w:pPr>
      <w:r w:rsidRPr="00D9799D">
        <w:rPr>
          <w:noProof/>
        </w:rPr>
        <w:drawing>
          <wp:inline distT="0" distB="0" distL="0" distR="0" wp14:anchorId="42AE7956" wp14:editId="3A71C304">
            <wp:extent cx="5465701" cy="7460902"/>
            <wp:effectExtent l="0" t="0" r="0"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985" t="973" r="1602" b="1330"/>
                    <a:stretch/>
                  </pic:blipFill>
                  <pic:spPr bwMode="auto">
                    <a:xfrm>
                      <a:off x="0" y="0"/>
                      <a:ext cx="5468328" cy="7464488"/>
                    </a:xfrm>
                    <a:prstGeom prst="rect">
                      <a:avLst/>
                    </a:prstGeom>
                    <a:noFill/>
                    <a:ln>
                      <a:noFill/>
                    </a:ln>
                    <a:extLst>
                      <a:ext uri="{53640926-AAD7-44D8-BBD7-CCE9431645EC}">
                        <a14:shadowObscured xmlns:a14="http://schemas.microsoft.com/office/drawing/2010/main"/>
                      </a:ext>
                    </a:extLst>
                  </pic:spPr>
                </pic:pic>
              </a:graphicData>
            </a:graphic>
          </wp:inline>
        </w:drawing>
      </w:r>
    </w:p>
    <w:p w14:paraId="74538965" w14:textId="0CE12724" w:rsidR="00D011CD" w:rsidRPr="00A37A37" w:rsidRDefault="00D011CD" w:rsidP="00A12BEF">
      <w:pPr>
        <w:pStyle w:val="Sinespaciado"/>
        <w:rPr>
          <w:rFonts w:ascii="Times New Roman" w:hAnsi="Times New Roman" w:cs="Times New Roman"/>
          <w:color w:val="FF0000"/>
          <w:sz w:val="16"/>
          <w:szCs w:val="16"/>
        </w:rPr>
      </w:pPr>
    </w:p>
    <w:sectPr w:rsidR="00D011CD" w:rsidRPr="00A37A37"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517C7" w14:textId="77777777" w:rsidR="005F1AF2" w:rsidRDefault="005F1AF2" w:rsidP="008030B6">
      <w:pPr>
        <w:spacing w:after="0" w:line="240" w:lineRule="auto"/>
      </w:pPr>
      <w:r>
        <w:separator/>
      </w:r>
    </w:p>
  </w:endnote>
  <w:endnote w:type="continuationSeparator" w:id="0">
    <w:p w14:paraId="21C18AC1" w14:textId="77777777" w:rsidR="005F1AF2" w:rsidRDefault="005F1AF2"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41D779D1"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04C9F88"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15</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2752"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AABF00F"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9FA2B6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64EB2DB0" w14:textId="72FBF3A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2D449B05"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A6D05" w14:textId="77777777" w:rsidR="005F1AF2" w:rsidRDefault="005F1AF2" w:rsidP="008030B6">
      <w:pPr>
        <w:spacing w:after="0" w:line="240" w:lineRule="auto"/>
      </w:pPr>
      <w:r>
        <w:separator/>
      </w:r>
    </w:p>
  </w:footnote>
  <w:footnote w:type="continuationSeparator" w:id="0">
    <w:p w14:paraId="20F66C2E" w14:textId="77777777" w:rsidR="005F1AF2" w:rsidRDefault="005F1AF2"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480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1DFFB2" id="Grupo 60" o:spid="_x0000_s1034"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2cPDgkAAAAABP1/7Q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">
              <v:shapetype id="_x0000_t202" coordsize="21600,21600" o:spt="202" path="m,l,21600r21600,l21600,xe">
                <v:stroke joinstyle="miter"/>
                <v:path gradientshapeok="t" o:connecttype="rect"/>
              </v:shapetype>
              <v:shape id="Cuadro de texto 61"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">
                <v:imagedata r:id="rId2" o:title=""/>
              </v:shape>
              <v:shape id="Text Box 3" o:spid="_x0000_s1037"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rPr>
      <mc:AlternateContent>
        <mc:Choice Requires="wpg">
          <w:drawing>
            <wp:anchor distT="0" distB="0" distL="114300" distR="114300" simplePos="0" relativeHeight="251746304"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0F051F2A"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A96A0" id="Grupo 11" o:spid="_x0000_s1038" style="position:absolute;left:0;text-align:left;margin-left:196.85pt;margin-top:6.35pt;width:324.5pt;height:24.55pt;z-index:25174630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 id="Cuadro de texto 8" o:spid="_x0000_s103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0F051F2A"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io</w:t>
                      </w:r>
                      <w:r w:rsidRPr="00864F8C">
                        <w:rPr>
                          <w:rFonts w:ascii="Montserrat SemiBold" w:hAnsi="Montserrat SemiBold"/>
                          <w:sz w:val="14"/>
                          <w:szCs w:val="14"/>
                        </w:rPr>
                        <w:t xml:space="preserve"> 2023</w:t>
                      </w:r>
                    </w:p>
                  </w:txbxContent>
                </v:textbox>
              </v:shape>
              <v:rect id="Rectángulo 9" o:spid="_x0000_s104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7088"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1E44F" id="Grupo 216" o:spid="_x0000_s1077"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7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80"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9136"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08C87" id="Grupo 220" o:spid="_x0000_s1081"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8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8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4"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4496"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151C120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8E6E8" id="Grupo 29" o:spid="_x0000_s1085" style="position:absolute;left:0;text-align:left;margin-left:197.5pt;margin-top:5.45pt;width:324.5pt;height:24.55pt;z-index:2517544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k05g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bUUpNOYDAAB6CwAADgAAAAAAAAAAAAAAAAAuAgAAZHJzL2Uyb0RvYy54bWxQ&#10;SwECLQAUAAYACAAAACEAocjLp+AAAAAKAQAADwAAAAAAAAAAAAAAAABABgAAZHJzL2Rvd25yZXYu&#10;eG1sUEsFBgAAAAAEAAQA8wAAAE0HAAAAAA==&#10;">
              <v:shape id="Cuadro de texto 30" o:spid="_x0000_s108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151C120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35" o:spid="_x0000_s108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1184"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4"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9EB21" id="Grupo 227" o:spid="_x0000_s1088"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WOlVrgDAADE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89"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90"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">
                <v:imagedata r:id="rId2" o:title=""/>
              </v:shape>
              <v:shape id="Text Box 3" o:spid="_x0000_s1091"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6544"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41E3D21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A12BEF">
                              <w:rPr>
                                <w:rFonts w:ascii="Montserrat SemiBold" w:hAnsi="Montserrat SemiBold"/>
                                <w:sz w:val="14"/>
                                <w:szCs w:val="14"/>
                              </w:rPr>
                              <w:t>ju</w:t>
                            </w:r>
                            <w:r w:rsidR="00A37A37">
                              <w:rPr>
                                <w:rFonts w:ascii="Montserrat SemiBold" w:hAnsi="Montserrat SemiBold"/>
                                <w:sz w:val="14"/>
                                <w:szCs w:val="14"/>
                              </w:rPr>
                              <w:t>l</w:t>
                            </w:r>
                            <w:r w:rsidR="00A12BEF">
                              <w:rPr>
                                <w:rFonts w:ascii="Montserrat SemiBold" w:hAnsi="Montserrat SemiBold"/>
                                <w:sz w:val="14"/>
                                <w:szCs w:val="14"/>
                              </w:rPr>
                              <w:t>io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AF0CD" id="Grupo 38" o:spid="_x0000_s1092" style="position:absolute;left:0;text-align:left;margin-left:197pt;margin-top:5.95pt;width:324.5pt;height:24.55pt;z-index:25175654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DX5V8N5QMAAHoLAAAOAAAAAAAAAAAAAAAAAC4CAABkcnMvZTJvRG9jLnhtbFBL&#10;AQItABQABgAIAAAAIQDFZuQ04AAAAAoBAAAPAAAAAAAAAAAAAAAAAD8GAABkcnMvZG93bnJldi54&#10;bWxQSwUGAAAAAAQABADzAAAATAcAAAAA&#10;">
              <v:shape id="Cuadro de texto 40" o:spid="_x0000_s1093"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41E3D217"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A12BEF">
                        <w:rPr>
                          <w:rFonts w:ascii="Montserrat SemiBold" w:hAnsi="Montserrat SemiBold"/>
                          <w:sz w:val="14"/>
                          <w:szCs w:val="14"/>
                        </w:rPr>
                        <w:t>ju</w:t>
                      </w:r>
                      <w:r w:rsidR="00A37A37">
                        <w:rPr>
                          <w:rFonts w:ascii="Montserrat SemiBold" w:hAnsi="Montserrat SemiBold"/>
                          <w:sz w:val="14"/>
                          <w:szCs w:val="14"/>
                        </w:rPr>
                        <w:t>l</w:t>
                      </w:r>
                      <w:r w:rsidR="00A12BEF">
                        <w:rPr>
                          <w:rFonts w:ascii="Montserrat SemiBold" w:hAnsi="Montserrat SemiBold"/>
                          <w:sz w:val="14"/>
                          <w:szCs w:val="14"/>
                        </w:rPr>
                        <w:t>io</w:t>
                      </w:r>
                      <w:r w:rsidRPr="00864F8C">
                        <w:rPr>
                          <w:rFonts w:ascii="Montserrat SemiBold" w:hAnsi="Montserrat SemiBold"/>
                          <w:sz w:val="14"/>
                          <w:szCs w:val="14"/>
                        </w:rPr>
                        <w:t xml:space="preserve"> 2023</w:t>
                      </w:r>
                    </w:p>
                  </w:txbxContent>
                </v:textbox>
              </v:shape>
              <v:rect id="Rectángulo 42" o:spid="_x0000_s1094"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4323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F0B34" id="Grupo 237" o:spid="_x0000_s1095"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Wp9JW5AwAAxQoAAA4AAAAAAAAAAAAAAAAAOgIAAGRycy9lMm9Eb2MueG1sUEsBAi0A&#10;CgAAAAAAAAAhAAXTt8aCbgAAgm4AABQAAAAAAAAAAAAAAAAAHwYAAGRycy9tZWRpYS9pbWFnZTEu&#10;cG5nUEsBAi0AFAAGAAgAAAAhAIFoq4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38" o:spid="_x0000_s109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">
                <v:imagedata r:id="rId2" o:title=""/>
              </v:shape>
              <v:shape id="Text Box 3" o:spid="_x0000_s1098"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8592"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76CA527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AAE8F" id="Grupo 43" o:spid="_x0000_s1099" style="position:absolute;left:0;text-align:left;margin-left:197.5pt;margin-top:5.95pt;width:324.5pt;height:24.55pt;z-index:2517585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Mq4w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">
              <v:shape id="Cuadro de texto 44" o:spid="_x0000_s110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76CA527D"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45" o:spid="_x0000_s110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0288"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100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41"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2336"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6848" behindDoc="0" locked="0" layoutInCell="1" allowOverlap="1" wp14:anchorId="5CFA9123" wp14:editId="45C9F043">
              <wp:simplePos x="0" y="0"/>
              <wp:positionH relativeFrom="column">
                <wp:posOffset>-1016635</wp:posOffset>
              </wp:positionH>
              <wp:positionV relativeFrom="paragraph">
                <wp:posOffset>-392430</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4"/>
                          <a:ext cx="2412694" cy="191936"/>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A9123" id="Grupo 192" o:spid="_x0000_s1042" style="position:absolute;left:0;text-align:left;margin-left:-80.05pt;margin-top:-30.9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1Vzrg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rphwMXNkksYJ3CwetHgNZPyfc6S75V67+X+O/Kc50r0H4KnkrsbpWWff&#10;Ysdzx6mvj8/N7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C1Vz&#10;rgMAAMQKAAAOAAAAAAAAAAAAAAAAADoCAABkcnMvZTJvRG9jLnhtbFBLAQItAAoAAAAAAAAAIQAF&#10;07fGgm4AAIJuAAAUAAAAAAAAAAAAAAAAABQGAABkcnMvbWVkaWEvaW1hZ2UxLnBuZ1BLAQItABQA&#10;BgAIAAAAIQBWIkAX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193" o:spid="_x0000_s1043"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44"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45"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48352"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 name="Cuadro de texto 16"/>
                      <wps:cNvSpPr txBox="1"/>
                      <wps:spPr>
                        <a:xfrm>
                          <a:off x="607326" y="0"/>
                          <a:ext cx="3513872" cy="245659"/>
                        </a:xfrm>
                        <a:prstGeom prst="rect">
                          <a:avLst/>
                        </a:prstGeom>
                        <a:solidFill>
                          <a:schemeClr val="lt1"/>
                        </a:solidFill>
                        <a:ln w="6350">
                          <a:noFill/>
                        </a:ln>
                      </wps:spPr>
                      <wps:txbx>
                        <w:txbxContent>
                          <w:p w14:paraId="321EBD23" w14:textId="7566C994"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53F6E" id="Grupo 13" o:spid="_x0000_s1046" style="position:absolute;left:0;text-align:left;margin-left:198pt;margin-top:5.95pt;width:324.5pt;height:24.55pt;z-index:25174835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">
              <v:shape id="Cuadro de texto 16" o:spid="_x0000_s104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21EBD23" w14:textId="7566C994"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io</w:t>
                      </w:r>
                      <w:r w:rsidRPr="00864F8C">
                        <w:rPr>
                          <w:rFonts w:ascii="Montserrat SemiBold" w:hAnsi="Montserrat SemiBold"/>
                          <w:sz w:val="14"/>
                          <w:szCs w:val="14"/>
                        </w:rPr>
                        <w:t xml:space="preserve"> 2023</w:t>
                      </w:r>
                    </w:p>
                  </w:txbxContent>
                </v:textbox>
              </v:shape>
              <v:rect id="Rectángulo 17" o:spid="_x0000_s104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28896"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9862" id="Grupo 196" o:spid="_x0000_s1049"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5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5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5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0400"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377AFD5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146F9" id="Grupo 19" o:spid="_x0000_s1053" style="position:absolute;left:0;text-align:left;margin-left:198pt;margin-top:5.45pt;width:324.5pt;height:24.55pt;z-index:2517504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0l5g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">
              <v:shape id="Cuadro de texto 20" o:spid="_x0000_s1054"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377AFD5C"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21" o:spid="_x0000_s1055"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6268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07586EA1"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16F75B" id="Grupo 208" o:spid="_x0000_s1056"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07586EA1"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210" o:spid="_x0000_s105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rPr>
      <mc:AlternateContent>
        <mc:Choice Requires="wpg">
          <w:drawing>
            <wp:anchor distT="0" distB="0" distL="114300" distR="114300" simplePos="0" relativeHeight="251760640"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B81A9C" id="Grupo 56" o:spid="_x0000_s1059"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6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6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6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8BA9" w14:textId="3EEC993C"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30944" behindDoc="0" locked="0" layoutInCell="1" allowOverlap="1" wp14:anchorId="35A10484" wp14:editId="4188DB81">
              <wp:simplePos x="0" y="0"/>
              <wp:positionH relativeFrom="column">
                <wp:posOffset>-1022985</wp:posOffset>
              </wp:positionH>
              <wp:positionV relativeFrom="paragraph">
                <wp:posOffset>-379730</wp:posOffset>
              </wp:positionV>
              <wp:extent cx="4051300" cy="956945"/>
              <wp:effectExtent l="0" t="0" r="0" b="0"/>
              <wp:wrapNone/>
              <wp:docPr id="200" name="Grupo 20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01" name="Cuadro de texto 201"/>
                      <wps:cNvSpPr txBox="1"/>
                      <wps:spPr>
                        <a:xfrm>
                          <a:off x="1644679" y="231570"/>
                          <a:ext cx="1870417" cy="469076"/>
                        </a:xfrm>
                        <a:prstGeom prst="rect">
                          <a:avLst/>
                        </a:prstGeom>
                        <a:noFill/>
                        <a:ln w="6350">
                          <a:noFill/>
                        </a:ln>
                      </wps:spPr>
                      <wps:txb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Imagen 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3" name="Text Box 3"/>
                      <wps:cNvSpPr txBox="1"/>
                      <wps:spPr>
                        <a:xfrm>
                          <a:off x="1638646" y="552203"/>
                          <a:ext cx="2412694" cy="228847"/>
                        </a:xfrm>
                        <a:prstGeom prst="rect">
                          <a:avLst/>
                        </a:prstGeom>
                        <a:noFill/>
                        <a:ln w="6350">
                          <a:noFill/>
                        </a:ln>
                      </wps:spPr>
                      <wps:txb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A10484" id="Grupo 200" o:spid="_x0000_s1063" style="position:absolute;left:0;text-align:left;margin-left:-80.55pt;margin-top:-29.9pt;width:319pt;height:75.35pt;z-index:25173094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dr&#10;rgMAAMYKAAAOAAAAAAAAAAAAAAAAADoCAABkcnMvZTJvRG9jLnhtbFBLAQItAAoAAAAAAAAAIQAF&#10;07fGgm4AAIJuAAAUAAAAAAAAAAAAAAAAABQGAABkcnMvbWVkaWEvaW1hZ2UxLnBuZ1BLAQItABQA&#10;BgAIAAAAIQDtvHP6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201" o:spid="_x0000_s106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">
                <v:imagedata r:id="rId2" o:title=""/>
              </v:shape>
              <v:shape id="Text Box 3" o:spid="_x0000_s1066"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752448" behindDoc="0" locked="0" layoutInCell="1" allowOverlap="1" wp14:anchorId="4512D0CD" wp14:editId="67C53A0F">
              <wp:simplePos x="0" y="0"/>
              <wp:positionH relativeFrom="column">
                <wp:posOffset>2501900</wp:posOffset>
              </wp:positionH>
              <wp:positionV relativeFrom="paragraph">
                <wp:posOffset>69215</wp:posOffset>
              </wp:positionV>
              <wp:extent cx="4121198" cy="311785"/>
              <wp:effectExtent l="0" t="0" r="0" b="0"/>
              <wp:wrapNone/>
              <wp:docPr id="22" name="Grupo 22"/>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7" name="Cuadro de texto 23"/>
                      <wps:cNvSpPr txBox="1"/>
                      <wps:spPr>
                        <a:xfrm>
                          <a:off x="607326" y="0"/>
                          <a:ext cx="3513872" cy="245659"/>
                        </a:xfrm>
                        <a:prstGeom prst="rect">
                          <a:avLst/>
                        </a:prstGeom>
                        <a:solidFill>
                          <a:schemeClr val="lt1"/>
                        </a:solidFill>
                        <a:ln w="6350">
                          <a:noFill/>
                        </a:ln>
                      </wps:spPr>
                      <wps:txbx>
                        <w:txbxContent>
                          <w:p w14:paraId="40C2EDDF" w14:textId="6F310CE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ángulo 24"/>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12D0CD" id="Grupo 22" o:spid="_x0000_s1067" style="position:absolute;left:0;text-align:left;margin-left:197pt;margin-top:5.45pt;width:324.5pt;height:24.55pt;z-index:25175244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">
              <v:shape id="Cuadro de texto 23" o:spid="_x0000_s106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40C2EDDF" w14:textId="6F310CE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24" o:spid="_x0000_s106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BC8CEB" w14:textId="77777777" w:rsidR="001C05D1" w:rsidRPr="008030B6" w:rsidRDefault="001C05D1" w:rsidP="006906B8">
    <w:pPr>
      <w:pStyle w:val="Encabezado"/>
      <w:tabs>
        <w:tab w:val="left" w:pos="1276"/>
      </w:tabs>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18"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6672" behindDoc="1" locked="0" layoutInCell="1" allowOverlap="1" wp14:anchorId="64DDF87A" wp14:editId="7AD83667">
          <wp:simplePos x="0" y="0"/>
          <wp:positionH relativeFrom="column">
            <wp:posOffset>-1076325</wp:posOffset>
          </wp:positionH>
          <wp:positionV relativeFrom="paragraph">
            <wp:posOffset>-734060</wp:posOffset>
          </wp:positionV>
          <wp:extent cx="3093621" cy="1283913"/>
          <wp:effectExtent l="0" t="0" r="0" b="0"/>
          <wp:wrapNone/>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1C05D1" w:rsidRPr="008030B6" w:rsidRDefault="001C05D1">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764736"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11013DF4"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40E1B" id="Grupo 211" o:spid="_x0000_s1070" style="position:absolute;left:0;text-align:left;margin-left:196.15pt;margin-top:4pt;width:324.5pt;height:24.55pt;z-index:25176473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maXnTO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7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11013DF4"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971CB7">
                        <w:rPr>
                          <w:rFonts w:ascii="Montserrat SemiBold" w:hAnsi="Montserrat SemiBold"/>
                          <w:sz w:val="14"/>
                          <w:szCs w:val="14"/>
                        </w:rPr>
                        <w:t>ju</w:t>
                      </w:r>
                      <w:r w:rsidR="00A37A37">
                        <w:rPr>
                          <w:rFonts w:ascii="Montserrat SemiBold" w:hAnsi="Montserrat SemiBold"/>
                          <w:sz w:val="14"/>
                          <w:szCs w:val="14"/>
                        </w:rPr>
                        <w:t>l</w:t>
                      </w:r>
                      <w:r w:rsidR="00971CB7">
                        <w:rPr>
                          <w:rFonts w:ascii="Montserrat SemiBold" w:hAnsi="Montserrat SemiBold"/>
                          <w:sz w:val="14"/>
                          <w:szCs w:val="14"/>
                        </w:rPr>
                        <w:t>i</w:t>
                      </w:r>
                      <w:r w:rsidR="008B79B6">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213" o:spid="_x0000_s107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rPr>
      <mc:AlternateContent>
        <mc:Choice Requires="wpg">
          <w:drawing>
            <wp:anchor distT="0" distB="0" distL="114300" distR="114300" simplePos="0" relativeHeight="251732992"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EA2AF" id="Grupo 204" o:spid="_x0000_s1073"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4"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6"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372E"/>
    <w:rsid w:val="00004F98"/>
    <w:rsid w:val="000052B0"/>
    <w:rsid w:val="00006406"/>
    <w:rsid w:val="000075D4"/>
    <w:rsid w:val="00010855"/>
    <w:rsid w:val="00010AD5"/>
    <w:rsid w:val="00011AE9"/>
    <w:rsid w:val="00013059"/>
    <w:rsid w:val="000150E7"/>
    <w:rsid w:val="00015E02"/>
    <w:rsid w:val="00016A73"/>
    <w:rsid w:val="00016C2D"/>
    <w:rsid w:val="000177A0"/>
    <w:rsid w:val="00021456"/>
    <w:rsid w:val="000217B0"/>
    <w:rsid w:val="000229AA"/>
    <w:rsid w:val="0002331B"/>
    <w:rsid w:val="000261AD"/>
    <w:rsid w:val="00037748"/>
    <w:rsid w:val="00040839"/>
    <w:rsid w:val="00055701"/>
    <w:rsid w:val="00055C7A"/>
    <w:rsid w:val="00060940"/>
    <w:rsid w:val="0006294D"/>
    <w:rsid w:val="000650ED"/>
    <w:rsid w:val="00065849"/>
    <w:rsid w:val="00067ED3"/>
    <w:rsid w:val="000741E6"/>
    <w:rsid w:val="00075975"/>
    <w:rsid w:val="00086FED"/>
    <w:rsid w:val="000904DE"/>
    <w:rsid w:val="000908C0"/>
    <w:rsid w:val="00093D7C"/>
    <w:rsid w:val="00093DF1"/>
    <w:rsid w:val="00095D7D"/>
    <w:rsid w:val="000A533D"/>
    <w:rsid w:val="000B25FF"/>
    <w:rsid w:val="000B3860"/>
    <w:rsid w:val="000B3BF1"/>
    <w:rsid w:val="000C110D"/>
    <w:rsid w:val="000C3E1F"/>
    <w:rsid w:val="000C6E37"/>
    <w:rsid w:val="000D411C"/>
    <w:rsid w:val="000E04DE"/>
    <w:rsid w:val="000E17AF"/>
    <w:rsid w:val="000E4207"/>
    <w:rsid w:val="000F2612"/>
    <w:rsid w:val="000F63A0"/>
    <w:rsid w:val="00102B6B"/>
    <w:rsid w:val="001042A3"/>
    <w:rsid w:val="00105BDE"/>
    <w:rsid w:val="00112F6C"/>
    <w:rsid w:val="0011435E"/>
    <w:rsid w:val="00117D7D"/>
    <w:rsid w:val="001203A3"/>
    <w:rsid w:val="00123FD5"/>
    <w:rsid w:val="001240EF"/>
    <w:rsid w:val="00131C69"/>
    <w:rsid w:val="001474EA"/>
    <w:rsid w:val="00150CD5"/>
    <w:rsid w:val="001521E6"/>
    <w:rsid w:val="00154800"/>
    <w:rsid w:val="0016607D"/>
    <w:rsid w:val="00170115"/>
    <w:rsid w:val="00174880"/>
    <w:rsid w:val="001761C9"/>
    <w:rsid w:val="00182FAC"/>
    <w:rsid w:val="0019075F"/>
    <w:rsid w:val="00193A4E"/>
    <w:rsid w:val="001A725F"/>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03070"/>
    <w:rsid w:val="00203366"/>
    <w:rsid w:val="00215D81"/>
    <w:rsid w:val="0021637E"/>
    <w:rsid w:val="0022064E"/>
    <w:rsid w:val="0022107B"/>
    <w:rsid w:val="00221C59"/>
    <w:rsid w:val="002225B5"/>
    <w:rsid w:val="00223B27"/>
    <w:rsid w:val="00223CAA"/>
    <w:rsid w:val="0022584C"/>
    <w:rsid w:val="0023120C"/>
    <w:rsid w:val="00233911"/>
    <w:rsid w:val="0024077F"/>
    <w:rsid w:val="002417D1"/>
    <w:rsid w:val="00243E44"/>
    <w:rsid w:val="00250970"/>
    <w:rsid w:val="00250C9B"/>
    <w:rsid w:val="00250FE3"/>
    <w:rsid w:val="00251076"/>
    <w:rsid w:val="00252096"/>
    <w:rsid w:val="00256E07"/>
    <w:rsid w:val="00260D42"/>
    <w:rsid w:val="002617F1"/>
    <w:rsid w:val="00281A57"/>
    <w:rsid w:val="00283013"/>
    <w:rsid w:val="00283D03"/>
    <w:rsid w:val="00285C47"/>
    <w:rsid w:val="00285F51"/>
    <w:rsid w:val="00286DB5"/>
    <w:rsid w:val="002919AA"/>
    <w:rsid w:val="00295E59"/>
    <w:rsid w:val="002A484C"/>
    <w:rsid w:val="002A52B3"/>
    <w:rsid w:val="002A7BB4"/>
    <w:rsid w:val="002B3A71"/>
    <w:rsid w:val="002B49C9"/>
    <w:rsid w:val="002C0967"/>
    <w:rsid w:val="002C0D64"/>
    <w:rsid w:val="002C4CFE"/>
    <w:rsid w:val="002C5760"/>
    <w:rsid w:val="002C58AF"/>
    <w:rsid w:val="002C70D6"/>
    <w:rsid w:val="002D3898"/>
    <w:rsid w:val="002E3280"/>
    <w:rsid w:val="002E3DEF"/>
    <w:rsid w:val="002E4308"/>
    <w:rsid w:val="002E4A4F"/>
    <w:rsid w:val="002E635D"/>
    <w:rsid w:val="002F0F7E"/>
    <w:rsid w:val="00306328"/>
    <w:rsid w:val="00307D44"/>
    <w:rsid w:val="00311E17"/>
    <w:rsid w:val="00321D85"/>
    <w:rsid w:val="00322D28"/>
    <w:rsid w:val="00324AA3"/>
    <w:rsid w:val="003262F8"/>
    <w:rsid w:val="00332726"/>
    <w:rsid w:val="00332F67"/>
    <w:rsid w:val="00341F33"/>
    <w:rsid w:val="0034380A"/>
    <w:rsid w:val="003476E1"/>
    <w:rsid w:val="00353F94"/>
    <w:rsid w:val="00354FDB"/>
    <w:rsid w:val="003652BB"/>
    <w:rsid w:val="00367EB1"/>
    <w:rsid w:val="00371E68"/>
    <w:rsid w:val="0037734C"/>
    <w:rsid w:val="003854FF"/>
    <w:rsid w:val="003860E1"/>
    <w:rsid w:val="0039212B"/>
    <w:rsid w:val="00394977"/>
    <w:rsid w:val="00395039"/>
    <w:rsid w:val="00395A25"/>
    <w:rsid w:val="003A0C60"/>
    <w:rsid w:val="003A48F5"/>
    <w:rsid w:val="003B043B"/>
    <w:rsid w:val="003B0DD7"/>
    <w:rsid w:val="003B53FC"/>
    <w:rsid w:val="003B6264"/>
    <w:rsid w:val="003C1C53"/>
    <w:rsid w:val="003C28FF"/>
    <w:rsid w:val="003E3201"/>
    <w:rsid w:val="003E7E9F"/>
    <w:rsid w:val="003F1A51"/>
    <w:rsid w:val="0040097F"/>
    <w:rsid w:val="004018E5"/>
    <w:rsid w:val="00402974"/>
    <w:rsid w:val="00413373"/>
    <w:rsid w:val="004146ED"/>
    <w:rsid w:val="00421C7D"/>
    <w:rsid w:val="00421FDB"/>
    <w:rsid w:val="004229AD"/>
    <w:rsid w:val="00422EFA"/>
    <w:rsid w:val="00423752"/>
    <w:rsid w:val="0042619E"/>
    <w:rsid w:val="004272E5"/>
    <w:rsid w:val="00432D6D"/>
    <w:rsid w:val="0043733C"/>
    <w:rsid w:val="00451C7E"/>
    <w:rsid w:val="004577E8"/>
    <w:rsid w:val="00467154"/>
    <w:rsid w:val="0047180E"/>
    <w:rsid w:val="004747BE"/>
    <w:rsid w:val="004755F0"/>
    <w:rsid w:val="004773CC"/>
    <w:rsid w:val="00477CF8"/>
    <w:rsid w:val="00480E57"/>
    <w:rsid w:val="004902FF"/>
    <w:rsid w:val="0049255C"/>
    <w:rsid w:val="00492F01"/>
    <w:rsid w:val="0049462E"/>
    <w:rsid w:val="0049486A"/>
    <w:rsid w:val="0049733B"/>
    <w:rsid w:val="004A0389"/>
    <w:rsid w:val="004A768C"/>
    <w:rsid w:val="004B0480"/>
    <w:rsid w:val="004B1AE0"/>
    <w:rsid w:val="004B368F"/>
    <w:rsid w:val="004B5D0C"/>
    <w:rsid w:val="004B7EF3"/>
    <w:rsid w:val="004C261E"/>
    <w:rsid w:val="004C3C60"/>
    <w:rsid w:val="004C41E9"/>
    <w:rsid w:val="004C45CB"/>
    <w:rsid w:val="004D1906"/>
    <w:rsid w:val="004D1D74"/>
    <w:rsid w:val="004D7963"/>
    <w:rsid w:val="004E251A"/>
    <w:rsid w:val="004E4CAA"/>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5103F"/>
    <w:rsid w:val="0055579D"/>
    <w:rsid w:val="00556819"/>
    <w:rsid w:val="005606B1"/>
    <w:rsid w:val="00560D6F"/>
    <w:rsid w:val="00561FBA"/>
    <w:rsid w:val="00562442"/>
    <w:rsid w:val="005663BA"/>
    <w:rsid w:val="00567144"/>
    <w:rsid w:val="00570B6A"/>
    <w:rsid w:val="00572820"/>
    <w:rsid w:val="00572979"/>
    <w:rsid w:val="00576866"/>
    <w:rsid w:val="005806F0"/>
    <w:rsid w:val="00585A69"/>
    <w:rsid w:val="00586547"/>
    <w:rsid w:val="0058660F"/>
    <w:rsid w:val="00590009"/>
    <w:rsid w:val="00594811"/>
    <w:rsid w:val="00597915"/>
    <w:rsid w:val="005A2CF4"/>
    <w:rsid w:val="005A2F2F"/>
    <w:rsid w:val="005A4DB0"/>
    <w:rsid w:val="005B2D26"/>
    <w:rsid w:val="005B4194"/>
    <w:rsid w:val="005B5C01"/>
    <w:rsid w:val="005B5E8C"/>
    <w:rsid w:val="005B6627"/>
    <w:rsid w:val="005E386C"/>
    <w:rsid w:val="005E6810"/>
    <w:rsid w:val="005F1AF2"/>
    <w:rsid w:val="005F1F2F"/>
    <w:rsid w:val="005F271B"/>
    <w:rsid w:val="005F2B8F"/>
    <w:rsid w:val="005F53B3"/>
    <w:rsid w:val="0060490F"/>
    <w:rsid w:val="00606FA1"/>
    <w:rsid w:val="006126D9"/>
    <w:rsid w:val="006170B5"/>
    <w:rsid w:val="00617901"/>
    <w:rsid w:val="00621F36"/>
    <w:rsid w:val="006266DD"/>
    <w:rsid w:val="006302AC"/>
    <w:rsid w:val="00636D61"/>
    <w:rsid w:val="00637577"/>
    <w:rsid w:val="00650468"/>
    <w:rsid w:val="0065070A"/>
    <w:rsid w:val="00655596"/>
    <w:rsid w:val="006625FF"/>
    <w:rsid w:val="00662CE2"/>
    <w:rsid w:val="00672F97"/>
    <w:rsid w:val="006765A4"/>
    <w:rsid w:val="0067690E"/>
    <w:rsid w:val="0068012D"/>
    <w:rsid w:val="00684381"/>
    <w:rsid w:val="006906B8"/>
    <w:rsid w:val="006935D0"/>
    <w:rsid w:val="00697BAE"/>
    <w:rsid w:val="006A2A15"/>
    <w:rsid w:val="006A369B"/>
    <w:rsid w:val="006B0874"/>
    <w:rsid w:val="006B2CD2"/>
    <w:rsid w:val="006B4A2A"/>
    <w:rsid w:val="006B4F7B"/>
    <w:rsid w:val="006D1E17"/>
    <w:rsid w:val="006D2CBE"/>
    <w:rsid w:val="006D31E9"/>
    <w:rsid w:val="006D32F5"/>
    <w:rsid w:val="006D3A8A"/>
    <w:rsid w:val="006E10B6"/>
    <w:rsid w:val="006F1578"/>
    <w:rsid w:val="006F299C"/>
    <w:rsid w:val="00700651"/>
    <w:rsid w:val="007063EC"/>
    <w:rsid w:val="0071038C"/>
    <w:rsid w:val="00711E49"/>
    <w:rsid w:val="00721A61"/>
    <w:rsid w:val="007270C6"/>
    <w:rsid w:val="00730CBF"/>
    <w:rsid w:val="00732D3C"/>
    <w:rsid w:val="00734E2E"/>
    <w:rsid w:val="00735821"/>
    <w:rsid w:val="0073605B"/>
    <w:rsid w:val="00736DFB"/>
    <w:rsid w:val="00737AC4"/>
    <w:rsid w:val="00741401"/>
    <w:rsid w:val="00746622"/>
    <w:rsid w:val="0075021C"/>
    <w:rsid w:val="00752414"/>
    <w:rsid w:val="0075306E"/>
    <w:rsid w:val="00757BA4"/>
    <w:rsid w:val="007602BA"/>
    <w:rsid w:val="007617BD"/>
    <w:rsid w:val="0076345F"/>
    <w:rsid w:val="00766CC7"/>
    <w:rsid w:val="00767975"/>
    <w:rsid w:val="00772A84"/>
    <w:rsid w:val="00776700"/>
    <w:rsid w:val="00777BA0"/>
    <w:rsid w:val="00785591"/>
    <w:rsid w:val="007876AF"/>
    <w:rsid w:val="00795BF0"/>
    <w:rsid w:val="007A35F0"/>
    <w:rsid w:val="007A5F2C"/>
    <w:rsid w:val="007B0601"/>
    <w:rsid w:val="007B344C"/>
    <w:rsid w:val="007C093F"/>
    <w:rsid w:val="007C1355"/>
    <w:rsid w:val="007C138E"/>
    <w:rsid w:val="007C1DEB"/>
    <w:rsid w:val="007C36FF"/>
    <w:rsid w:val="007C401E"/>
    <w:rsid w:val="007C49F4"/>
    <w:rsid w:val="007D40CD"/>
    <w:rsid w:val="007D4ABC"/>
    <w:rsid w:val="007E25D1"/>
    <w:rsid w:val="007E4D7F"/>
    <w:rsid w:val="007E74D2"/>
    <w:rsid w:val="007F7147"/>
    <w:rsid w:val="008030B6"/>
    <w:rsid w:val="00813974"/>
    <w:rsid w:val="00815C32"/>
    <w:rsid w:val="00816A9D"/>
    <w:rsid w:val="00817EA1"/>
    <w:rsid w:val="0082027C"/>
    <w:rsid w:val="00821B3D"/>
    <w:rsid w:val="008258B7"/>
    <w:rsid w:val="00832FEC"/>
    <w:rsid w:val="008338D5"/>
    <w:rsid w:val="008359E2"/>
    <w:rsid w:val="00840733"/>
    <w:rsid w:val="00841A3C"/>
    <w:rsid w:val="00854981"/>
    <w:rsid w:val="00863E34"/>
    <w:rsid w:val="00864F8C"/>
    <w:rsid w:val="00871E6D"/>
    <w:rsid w:val="008723AB"/>
    <w:rsid w:val="00872BB9"/>
    <w:rsid w:val="00873A4C"/>
    <w:rsid w:val="00874C9B"/>
    <w:rsid w:val="0087713D"/>
    <w:rsid w:val="0089134E"/>
    <w:rsid w:val="00895F40"/>
    <w:rsid w:val="008A026E"/>
    <w:rsid w:val="008A32ED"/>
    <w:rsid w:val="008A33EF"/>
    <w:rsid w:val="008A4F88"/>
    <w:rsid w:val="008B01A3"/>
    <w:rsid w:val="008B1626"/>
    <w:rsid w:val="008B1F06"/>
    <w:rsid w:val="008B221F"/>
    <w:rsid w:val="008B2C28"/>
    <w:rsid w:val="008B5495"/>
    <w:rsid w:val="008B79B6"/>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E7F"/>
    <w:rsid w:val="0093398D"/>
    <w:rsid w:val="0094207C"/>
    <w:rsid w:val="0094241B"/>
    <w:rsid w:val="00942DFF"/>
    <w:rsid w:val="009436BA"/>
    <w:rsid w:val="00951E6B"/>
    <w:rsid w:val="00960BE9"/>
    <w:rsid w:val="009668C5"/>
    <w:rsid w:val="00971CB7"/>
    <w:rsid w:val="00973FD3"/>
    <w:rsid w:val="00973FDF"/>
    <w:rsid w:val="009811E3"/>
    <w:rsid w:val="009850CF"/>
    <w:rsid w:val="00991026"/>
    <w:rsid w:val="00991CB3"/>
    <w:rsid w:val="00993DD2"/>
    <w:rsid w:val="00993EED"/>
    <w:rsid w:val="0099630E"/>
    <w:rsid w:val="009A002A"/>
    <w:rsid w:val="009A0B79"/>
    <w:rsid w:val="009A198C"/>
    <w:rsid w:val="009B2158"/>
    <w:rsid w:val="009B6E33"/>
    <w:rsid w:val="009C126C"/>
    <w:rsid w:val="009C2E0C"/>
    <w:rsid w:val="009D2F40"/>
    <w:rsid w:val="009D4E87"/>
    <w:rsid w:val="009D7B7E"/>
    <w:rsid w:val="009E0410"/>
    <w:rsid w:val="009E258A"/>
    <w:rsid w:val="009E27D3"/>
    <w:rsid w:val="009E464F"/>
    <w:rsid w:val="009E6013"/>
    <w:rsid w:val="00A01418"/>
    <w:rsid w:val="00A02862"/>
    <w:rsid w:val="00A02F83"/>
    <w:rsid w:val="00A05516"/>
    <w:rsid w:val="00A070D9"/>
    <w:rsid w:val="00A10144"/>
    <w:rsid w:val="00A12BEF"/>
    <w:rsid w:val="00A163F8"/>
    <w:rsid w:val="00A30D0C"/>
    <w:rsid w:val="00A327F7"/>
    <w:rsid w:val="00A33E12"/>
    <w:rsid w:val="00A37A37"/>
    <w:rsid w:val="00A412E3"/>
    <w:rsid w:val="00A57E56"/>
    <w:rsid w:val="00A604D3"/>
    <w:rsid w:val="00A614D3"/>
    <w:rsid w:val="00A667C8"/>
    <w:rsid w:val="00A715C9"/>
    <w:rsid w:val="00A72673"/>
    <w:rsid w:val="00A749CF"/>
    <w:rsid w:val="00A76041"/>
    <w:rsid w:val="00A765C2"/>
    <w:rsid w:val="00A879E5"/>
    <w:rsid w:val="00A9102F"/>
    <w:rsid w:val="00A92BA9"/>
    <w:rsid w:val="00AA1402"/>
    <w:rsid w:val="00AB693C"/>
    <w:rsid w:val="00AC30BA"/>
    <w:rsid w:val="00AC3377"/>
    <w:rsid w:val="00AC3505"/>
    <w:rsid w:val="00AC6419"/>
    <w:rsid w:val="00AD7B46"/>
    <w:rsid w:val="00AD7C37"/>
    <w:rsid w:val="00AE122B"/>
    <w:rsid w:val="00AE12E5"/>
    <w:rsid w:val="00AE7265"/>
    <w:rsid w:val="00AF0DA2"/>
    <w:rsid w:val="00B0267D"/>
    <w:rsid w:val="00B03113"/>
    <w:rsid w:val="00B06193"/>
    <w:rsid w:val="00B10925"/>
    <w:rsid w:val="00B15E0D"/>
    <w:rsid w:val="00B1655A"/>
    <w:rsid w:val="00B218D0"/>
    <w:rsid w:val="00B24C0B"/>
    <w:rsid w:val="00B31260"/>
    <w:rsid w:val="00B44FB1"/>
    <w:rsid w:val="00B51395"/>
    <w:rsid w:val="00B535BC"/>
    <w:rsid w:val="00B64542"/>
    <w:rsid w:val="00B6454C"/>
    <w:rsid w:val="00B67897"/>
    <w:rsid w:val="00B756C2"/>
    <w:rsid w:val="00B77BCA"/>
    <w:rsid w:val="00B812E4"/>
    <w:rsid w:val="00B82227"/>
    <w:rsid w:val="00B831D6"/>
    <w:rsid w:val="00B87B86"/>
    <w:rsid w:val="00B9195A"/>
    <w:rsid w:val="00BA23E7"/>
    <w:rsid w:val="00BA3966"/>
    <w:rsid w:val="00BA4056"/>
    <w:rsid w:val="00BB2668"/>
    <w:rsid w:val="00BB7EEC"/>
    <w:rsid w:val="00BC181B"/>
    <w:rsid w:val="00BC51E0"/>
    <w:rsid w:val="00BC79C1"/>
    <w:rsid w:val="00BE17ED"/>
    <w:rsid w:val="00BE1AC0"/>
    <w:rsid w:val="00BE28CC"/>
    <w:rsid w:val="00BE6087"/>
    <w:rsid w:val="00BF1804"/>
    <w:rsid w:val="00BF4A4A"/>
    <w:rsid w:val="00BF7E38"/>
    <w:rsid w:val="00C02CBF"/>
    <w:rsid w:val="00C067A7"/>
    <w:rsid w:val="00C079A3"/>
    <w:rsid w:val="00C10066"/>
    <w:rsid w:val="00C1011D"/>
    <w:rsid w:val="00C106C8"/>
    <w:rsid w:val="00C13A10"/>
    <w:rsid w:val="00C13E60"/>
    <w:rsid w:val="00C17274"/>
    <w:rsid w:val="00C17FDF"/>
    <w:rsid w:val="00C24781"/>
    <w:rsid w:val="00C25708"/>
    <w:rsid w:val="00C27C16"/>
    <w:rsid w:val="00C31244"/>
    <w:rsid w:val="00C329CC"/>
    <w:rsid w:val="00C343BB"/>
    <w:rsid w:val="00C35AC1"/>
    <w:rsid w:val="00C36242"/>
    <w:rsid w:val="00C36E8D"/>
    <w:rsid w:val="00C44B4C"/>
    <w:rsid w:val="00C503BE"/>
    <w:rsid w:val="00C5211D"/>
    <w:rsid w:val="00C527E2"/>
    <w:rsid w:val="00C56025"/>
    <w:rsid w:val="00C56D80"/>
    <w:rsid w:val="00C60D3A"/>
    <w:rsid w:val="00C60DF9"/>
    <w:rsid w:val="00C63B9F"/>
    <w:rsid w:val="00C66E5B"/>
    <w:rsid w:val="00C73BFD"/>
    <w:rsid w:val="00C74C0C"/>
    <w:rsid w:val="00C76B98"/>
    <w:rsid w:val="00C76DE3"/>
    <w:rsid w:val="00C811C5"/>
    <w:rsid w:val="00C815E5"/>
    <w:rsid w:val="00C85B13"/>
    <w:rsid w:val="00C86DF4"/>
    <w:rsid w:val="00C87A24"/>
    <w:rsid w:val="00C91CEC"/>
    <w:rsid w:val="00CA1EC8"/>
    <w:rsid w:val="00CA4683"/>
    <w:rsid w:val="00CA570C"/>
    <w:rsid w:val="00CB2D61"/>
    <w:rsid w:val="00CB30A9"/>
    <w:rsid w:val="00CB4C8F"/>
    <w:rsid w:val="00CC39FE"/>
    <w:rsid w:val="00CC4364"/>
    <w:rsid w:val="00CD2026"/>
    <w:rsid w:val="00CD5A70"/>
    <w:rsid w:val="00CE01A9"/>
    <w:rsid w:val="00CE0B3D"/>
    <w:rsid w:val="00CE36D9"/>
    <w:rsid w:val="00CE5162"/>
    <w:rsid w:val="00CE5240"/>
    <w:rsid w:val="00CE6A9E"/>
    <w:rsid w:val="00CE75D2"/>
    <w:rsid w:val="00CF19EC"/>
    <w:rsid w:val="00D011CD"/>
    <w:rsid w:val="00D01347"/>
    <w:rsid w:val="00D04A4E"/>
    <w:rsid w:val="00D06D9C"/>
    <w:rsid w:val="00D12478"/>
    <w:rsid w:val="00D13023"/>
    <w:rsid w:val="00D163E4"/>
    <w:rsid w:val="00D22B51"/>
    <w:rsid w:val="00D22BC7"/>
    <w:rsid w:val="00D26729"/>
    <w:rsid w:val="00D42071"/>
    <w:rsid w:val="00D43859"/>
    <w:rsid w:val="00D508C0"/>
    <w:rsid w:val="00D509EF"/>
    <w:rsid w:val="00D62B21"/>
    <w:rsid w:val="00D63267"/>
    <w:rsid w:val="00D74AAA"/>
    <w:rsid w:val="00D815C9"/>
    <w:rsid w:val="00D973EC"/>
    <w:rsid w:val="00D976DE"/>
    <w:rsid w:val="00DC74EB"/>
    <w:rsid w:val="00DD0CF2"/>
    <w:rsid w:val="00DD2FF2"/>
    <w:rsid w:val="00DD3A94"/>
    <w:rsid w:val="00DD69DF"/>
    <w:rsid w:val="00DD7677"/>
    <w:rsid w:val="00DF059D"/>
    <w:rsid w:val="00DF3517"/>
    <w:rsid w:val="00DF6AE8"/>
    <w:rsid w:val="00DF7969"/>
    <w:rsid w:val="00DF7AAF"/>
    <w:rsid w:val="00E00D73"/>
    <w:rsid w:val="00E00F2B"/>
    <w:rsid w:val="00E02DD8"/>
    <w:rsid w:val="00E033B0"/>
    <w:rsid w:val="00E13AB2"/>
    <w:rsid w:val="00E161E3"/>
    <w:rsid w:val="00E16520"/>
    <w:rsid w:val="00E16B0F"/>
    <w:rsid w:val="00E21B05"/>
    <w:rsid w:val="00E234FC"/>
    <w:rsid w:val="00E30D00"/>
    <w:rsid w:val="00E33745"/>
    <w:rsid w:val="00E34FF8"/>
    <w:rsid w:val="00E35916"/>
    <w:rsid w:val="00E43170"/>
    <w:rsid w:val="00E46C09"/>
    <w:rsid w:val="00E47401"/>
    <w:rsid w:val="00E564DE"/>
    <w:rsid w:val="00E67D90"/>
    <w:rsid w:val="00E71CB9"/>
    <w:rsid w:val="00E735AB"/>
    <w:rsid w:val="00E747D9"/>
    <w:rsid w:val="00E7505D"/>
    <w:rsid w:val="00E76E6D"/>
    <w:rsid w:val="00E81EF7"/>
    <w:rsid w:val="00E838EE"/>
    <w:rsid w:val="00E8686E"/>
    <w:rsid w:val="00E87621"/>
    <w:rsid w:val="00E97595"/>
    <w:rsid w:val="00EA081D"/>
    <w:rsid w:val="00EA18EF"/>
    <w:rsid w:val="00EA3AF3"/>
    <w:rsid w:val="00EA4E46"/>
    <w:rsid w:val="00EA6105"/>
    <w:rsid w:val="00EB56B7"/>
    <w:rsid w:val="00EC0646"/>
    <w:rsid w:val="00ED5C09"/>
    <w:rsid w:val="00ED5E37"/>
    <w:rsid w:val="00ED70A5"/>
    <w:rsid w:val="00EE350A"/>
    <w:rsid w:val="00EE3B08"/>
    <w:rsid w:val="00EE6DAE"/>
    <w:rsid w:val="00EF1BB1"/>
    <w:rsid w:val="00EF25AE"/>
    <w:rsid w:val="00EF31E4"/>
    <w:rsid w:val="00EF3AFD"/>
    <w:rsid w:val="00EF7D80"/>
    <w:rsid w:val="00F01A8C"/>
    <w:rsid w:val="00F01B17"/>
    <w:rsid w:val="00F02C25"/>
    <w:rsid w:val="00F0543B"/>
    <w:rsid w:val="00F05A6A"/>
    <w:rsid w:val="00F0629D"/>
    <w:rsid w:val="00F1085F"/>
    <w:rsid w:val="00F239E2"/>
    <w:rsid w:val="00F23E3F"/>
    <w:rsid w:val="00F243EA"/>
    <w:rsid w:val="00F26E66"/>
    <w:rsid w:val="00F31BDF"/>
    <w:rsid w:val="00F32FAA"/>
    <w:rsid w:val="00F35312"/>
    <w:rsid w:val="00F37C4D"/>
    <w:rsid w:val="00F40523"/>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79D8"/>
    <w:rsid w:val="00FA0E54"/>
    <w:rsid w:val="00FA3475"/>
    <w:rsid w:val="00FA48F0"/>
    <w:rsid w:val="00FA6265"/>
    <w:rsid w:val="00FB4B07"/>
    <w:rsid w:val="00FB4D90"/>
    <w:rsid w:val="00FB6185"/>
    <w:rsid w:val="00FC0ED3"/>
    <w:rsid w:val="00FC1405"/>
    <w:rsid w:val="00FC23EC"/>
    <w:rsid w:val="00FC45AB"/>
    <w:rsid w:val="00FC6136"/>
    <w:rsid w:val="00FD5DE3"/>
    <w:rsid w:val="00FD6C71"/>
    <w:rsid w:val="00FE4538"/>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 w:type="character" w:styleId="Hipervnculo">
    <w:name w:val="Hyperlink"/>
    <w:basedOn w:val="Fuentedeprrafopredeter"/>
    <w:uiPriority w:val="99"/>
    <w:unhideWhenUsed/>
    <w:rsid w:val="00427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footer" Target="footer5.xml"/><Relationship Id="rId39" Type="http://schemas.openxmlformats.org/officeDocument/2006/relationships/header" Target="header9.xml"/><Relationship Id="rId21" Type="http://schemas.openxmlformats.org/officeDocument/2006/relationships/chart" Target="charts/chart6.xml"/><Relationship Id="rId34" Type="http://schemas.openxmlformats.org/officeDocument/2006/relationships/chart" Target="charts/chart12.xml"/><Relationship Id="rId42" Type="http://schemas.openxmlformats.org/officeDocument/2006/relationships/image" Target="media/image5.emf"/><Relationship Id="rId47" Type="http://schemas.openxmlformats.org/officeDocument/2006/relationships/image" Target="media/image6.emf"/><Relationship Id="rId50"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0.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header" Target="header11.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image" Target="media/image4.emf"/><Relationship Id="rId44" Type="http://schemas.openxmlformats.org/officeDocument/2006/relationships/footer" Target="footer10.xml"/><Relationship Id="rId52"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7.xml"/><Relationship Id="rId43" Type="http://schemas.openxmlformats.org/officeDocument/2006/relationships/header" Target="header10.xml"/><Relationship Id="rId48"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footer" Target="footer11.xml"/><Relationship Id="rId20" Type="http://schemas.openxmlformats.org/officeDocument/2006/relationships/chart" Target="charts/chart5.xml"/><Relationship Id="rId41" Type="http://schemas.openxmlformats.org/officeDocument/2006/relationships/chart" Target="charts/chart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chart" Target="charts/chart9.xml"/><Relationship Id="rId36" Type="http://schemas.openxmlformats.org/officeDocument/2006/relationships/footer" Target="footer7.xml"/><Relationship Id="rId49" Type="http://schemas.openxmlformats.org/officeDocument/2006/relationships/footer" Target="footer1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7161380794814"/>
          <c:y val="2.783530550301324E-2"/>
          <c:w val="0.89612838619205182"/>
          <c:h val="0.86399859235472665"/>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84E5-456B-817F-D18138060130}"/>
              </c:ext>
            </c:extLst>
          </c:dPt>
          <c:dLbls>
            <c:dLbl>
              <c:idx val="0"/>
              <c:layout>
                <c:manualLayout>
                  <c:x val="0"/>
                  <c:y val="8.9625812233925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E5-456B-817F-D1813806013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-11118.978554469999</c:v>
                </c:pt>
                <c:pt idx="1">
                  <c:v>-1226.6516905800027</c:v>
                </c:pt>
                <c:pt idx="2">
                  <c:v>-476.22821549000491</c:v>
                </c:pt>
                <c:pt idx="3">
                  <c:v>-3912.1</c:v>
                </c:pt>
              </c:numCache>
            </c:numRef>
          </c:val>
          <c:extLst>
            <c:ext xmlns:c16="http://schemas.microsoft.com/office/drawing/2014/chart" uri="{C3380CC4-5D6E-409C-BE32-E72D297353CC}">
              <c16:uniqueId val="{00000003-84E5-456B-817F-D18138060130}"/>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6474260438560718E-2"/>
          <c:w val="0.90422443251375917"/>
          <c:h val="0.880232142296953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FADF-4C2B-BB9A-DBA7A4906EEA}"/>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FADF-4C2B-BB9A-DBA7A4906EEA}"/>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DF-4C2B-BB9A-DBA7A4906EEA}"/>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DF-4C2B-BB9A-DBA7A4906EEA}"/>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DF-4C2B-BB9A-DBA7A4906EEA}"/>
                </c:ext>
              </c:extLst>
            </c:dLbl>
            <c:dLbl>
              <c:idx val="3"/>
              <c:layout>
                <c:manualLayout>
                  <c:x val="4.6006971460583234E-3"/>
                  <c:y val="3.4082580876150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DF-4C2B-BB9A-DBA7A4906EEA}"/>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DF-4C2B-BB9A-DBA7A4906EEA}"/>
                </c:ext>
              </c:extLst>
            </c:dLbl>
            <c:dLbl>
              <c:idx val="5"/>
              <c:layout>
                <c:manualLayout>
                  <c:x val="-1.8115732754494851E-16"/>
                  <c:y val="4.382435341649709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DF-4C2B-BB9A-DBA7A4906EEA}"/>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FADF-4C2B-BB9A-DBA7A4906EE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51.302324689850529</c:v>
                </c:pt>
                <c:pt idx="1">
                  <c:v>51.195977813015723</c:v>
                </c:pt>
                <c:pt idx="2">
                  <c:v>46.117546356408901</c:v>
                </c:pt>
                <c:pt idx="3">
                  <c:v>46.787199504173394</c:v>
                </c:pt>
                <c:pt idx="4">
                  <c:v>51.11620547645461</c:v>
                </c:pt>
                <c:pt idx="5">
                  <c:v>55.706261846670515</c:v>
                </c:pt>
              </c:numCache>
            </c:numRef>
          </c:val>
          <c:extLst>
            <c:ext xmlns:c16="http://schemas.microsoft.com/office/drawing/2014/chart" uri="{C3380CC4-5D6E-409C-BE32-E72D297353CC}">
              <c16:uniqueId val="{00000009-FADF-4C2B-BB9A-DBA7A4906EEA}"/>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0802904515888093"/>
                  <c:y val="-0.1559160900615979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FADF-4C2B-BB9A-DBA7A4906E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49.303850767980634</c:v>
                </c:pt>
                <c:pt idx="1">
                  <c:v>49.303850767980634</c:v>
                </c:pt>
                <c:pt idx="2">
                  <c:v>49.303850767980634</c:v>
                </c:pt>
                <c:pt idx="3">
                  <c:v>49.303850767980634</c:v>
                </c:pt>
                <c:pt idx="4">
                  <c:v>49.303850767980634</c:v>
                </c:pt>
              </c:numCache>
            </c:numRef>
          </c:val>
          <c:smooth val="0"/>
          <c:extLst>
            <c:ext xmlns:c16="http://schemas.microsoft.com/office/drawing/2014/chart" uri="{C3380CC4-5D6E-409C-BE32-E72D297353CC}">
              <c16:uniqueId val="{0000000B-FADF-4C2B-BB9A-DBA7A4906EEA}"/>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56"/>
          <c:min val="3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297179840650482"/>
          <c:h val="0.91978616142967484"/>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5AE4-4B8C-AA1E-B3FECC99D179}"/>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5AE4-4B8C-AA1E-B3FECC99D179}"/>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5AE4-4B8C-AA1E-B3FECC99D179}"/>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5AE4-4B8C-AA1E-B3FECC99D179}"/>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5AE4-4B8C-AA1E-B3FECC99D179}"/>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5AE4-4B8C-AA1E-B3FECC99D179}"/>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5AE4-4B8C-AA1E-B3FECC99D179}"/>
              </c:ext>
            </c:extLst>
          </c:dPt>
          <c:dPt>
            <c:idx val="1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5AE4-4B8C-AA1E-B3FECC99D179}"/>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5AE4-4B8C-AA1E-B3FECC99D179}"/>
              </c:ext>
            </c:extLst>
          </c:dPt>
          <c:dPt>
            <c:idx val="13"/>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13-5AE4-4B8C-AA1E-B3FECC99D179}"/>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5AE4-4B8C-AA1E-B3FECC99D179}"/>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5AE4-4B8C-AA1E-B3FECC99D179}"/>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5AE4-4B8C-AA1E-B3FECC99D179}"/>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5AE4-4B8C-AA1E-B3FECC99D179}"/>
              </c:ext>
            </c:extLst>
          </c:dPt>
          <c:dLbls>
            <c:dLbl>
              <c:idx val="1"/>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AE4-4B8C-AA1E-B3FECC99D179}"/>
                </c:ext>
              </c:extLst>
            </c:dLbl>
            <c:dLbl>
              <c:idx val="1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13-5AE4-4B8C-AA1E-B3FECC99D17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Ambiente </c:v>
                </c:pt>
                <c:pt idx="1">
                  <c:v>Trabajo </c:v>
                </c:pt>
                <c:pt idx="2">
                  <c:v>Economía</c:v>
                </c:pt>
                <c:pt idx="3">
                  <c:v>Finanzas</c:v>
                </c:pt>
                <c:pt idx="4">
                  <c:v>Obligaciones </c:v>
                </c:pt>
                <c:pt idx="5">
                  <c:v>Salud Pública </c:v>
                </c:pt>
                <c:pt idx="6">
                  <c:v>Secretarías</c:v>
                </c:pt>
                <c:pt idx="7">
                  <c:v>Desarrollo</c:v>
                </c:pt>
                <c:pt idx="8">
                  <c:v>Defensa </c:v>
                </c:pt>
                <c:pt idx="9">
                  <c:v>Deuda Pública</c:v>
                </c:pt>
                <c:pt idx="10">
                  <c:v>MINREX</c:v>
                </c:pt>
                <c:pt idx="11">
                  <c:v>PGN</c:v>
                </c:pt>
                <c:pt idx="12">
                  <c:v>Agricultura</c:v>
                </c:pt>
                <c:pt idx="13">
                  <c:v>Total</c:v>
                </c:pt>
                <c:pt idx="14">
                  <c:v>Gobernación</c:v>
                </c:pt>
                <c:pt idx="15">
                  <c:v>Presidencia</c:v>
                </c:pt>
                <c:pt idx="16">
                  <c:v>Cultura</c:v>
                </c:pt>
                <c:pt idx="17">
                  <c:v>Educación </c:v>
                </c:pt>
                <c:pt idx="18">
                  <c:v>Comunicaciones</c:v>
                </c:pt>
                <c:pt idx="19">
                  <c:v>Energía</c:v>
                </c:pt>
              </c:strCache>
            </c:strRef>
          </c:cat>
          <c:val>
            <c:numRef>
              <c:f>Hoja1!$B$2:$B$21</c:f>
              <c:numCache>
                <c:formatCode>0.0</c:formatCode>
                <c:ptCount val="20"/>
                <c:pt idx="0">
                  <c:v>39.19851309506803</c:v>
                </c:pt>
                <c:pt idx="1">
                  <c:v>46.623881670351437</c:v>
                </c:pt>
                <c:pt idx="2">
                  <c:v>47.207150305068517</c:v>
                </c:pt>
                <c:pt idx="3">
                  <c:v>47.5975833358521</c:v>
                </c:pt>
                <c:pt idx="4">
                  <c:v>51.401070198707103</c:v>
                </c:pt>
                <c:pt idx="5">
                  <c:v>52.436980596676577</c:v>
                </c:pt>
                <c:pt idx="6">
                  <c:v>53.604760467734572</c:v>
                </c:pt>
                <c:pt idx="7">
                  <c:v>53.724332285983458</c:v>
                </c:pt>
                <c:pt idx="8">
                  <c:v>54.509622825127636</c:v>
                </c:pt>
                <c:pt idx="9">
                  <c:v>54.644879115700306</c:v>
                </c:pt>
                <c:pt idx="10">
                  <c:v>54.884476681073004</c:v>
                </c:pt>
                <c:pt idx="11">
                  <c:v>55.378495411037143</c:v>
                </c:pt>
                <c:pt idx="12">
                  <c:v>55.700961551832819</c:v>
                </c:pt>
                <c:pt idx="13">
                  <c:v>55.706261846670515</c:v>
                </c:pt>
                <c:pt idx="14">
                  <c:v>55.714500579389167</c:v>
                </c:pt>
                <c:pt idx="15">
                  <c:v>57.216851531172061</c:v>
                </c:pt>
                <c:pt idx="16">
                  <c:v>58.832283536274865</c:v>
                </c:pt>
                <c:pt idx="17">
                  <c:v>60.421121868429836</c:v>
                </c:pt>
                <c:pt idx="18">
                  <c:v>74.337383020211021</c:v>
                </c:pt>
                <c:pt idx="19">
                  <c:v>84.42976419603815</c:v>
                </c:pt>
              </c:numCache>
            </c:numRef>
          </c:val>
          <c:extLst>
            <c:ext xmlns:c16="http://schemas.microsoft.com/office/drawing/2014/chart" uri="{C3380CC4-5D6E-409C-BE32-E72D297353CC}">
              <c16:uniqueId val="{0000001D-5AE4-4B8C-AA1E-B3FECC99D179}"/>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9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A0-448B-AEDE-33698C9B67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A0-448B-AEDE-33698C9B67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A0-448B-AEDE-33698C9B67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A0-448B-AEDE-33698C9B67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A0-448B-AEDE-33698C9B672C}"/>
              </c:ext>
            </c:extLst>
          </c:dPt>
          <c:dLbls>
            <c:dLbl>
              <c:idx val="0"/>
              <c:layout>
                <c:manualLayout>
                  <c:x val="8.2914968543504927E-2"/>
                  <c:y val="-4.9567974357187655E-2"/>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824516282198394"/>
                      <c:h val="0.4230269667618981"/>
                    </c:manualLayout>
                  </c15:layout>
                </c:ext>
                <c:ext xmlns:c16="http://schemas.microsoft.com/office/drawing/2014/chart" uri="{C3380CC4-5D6E-409C-BE32-E72D297353CC}">
                  <c16:uniqueId val="{00000001-F7A0-448B-AEDE-33698C9B672C}"/>
                </c:ext>
              </c:extLst>
            </c:dLbl>
            <c:dLbl>
              <c:idx val="2"/>
              <c:layout>
                <c:manualLayout>
                  <c:x val="-2.3175721125311688E-2"/>
                  <c:y val="-0.11986899867605046"/>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F7A0-448B-AEDE-33698C9B672C}"/>
                </c:ext>
              </c:extLst>
            </c:dLbl>
            <c:dLbl>
              <c:idx val="3"/>
              <c:layout>
                <c:manualLayout>
                  <c:x val="-5.2764016935069137E-2"/>
                  <c:y val="2.100550484286809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22688244371463"/>
                      <c:h val="0.26689568671172736"/>
                    </c:manualLayout>
                  </c15:layout>
                </c:ext>
                <c:ext xmlns:c16="http://schemas.microsoft.com/office/drawing/2014/chart" uri="{C3380CC4-5D6E-409C-BE32-E72D297353CC}">
                  <c16:uniqueId val="{00000007-F7A0-448B-AEDE-33698C9B672C}"/>
                </c:ext>
              </c:extLst>
            </c:dLbl>
            <c:dLbl>
              <c:idx val="4"/>
              <c:layout>
                <c:manualLayout>
                  <c:x val="-0.30934989910180827"/>
                  <c:y val="-2.9514319559612572E-2"/>
                </c:manualLayout>
              </c:layout>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solidFill>
                          <a:sysClr val="windowText" lastClr="000000"/>
                        </a:solidFill>
                      </a:rPr>
                      <a:t>Colocado</a:t>
                    </a:r>
                    <a:r>
                      <a:rPr lang="en-US" sz="800" baseline="0">
                        <a:solidFill>
                          <a:sysClr val="windowText" lastClr="000000"/>
                        </a:solidFill>
                      </a:rPr>
                      <a:t>; </a:t>
                    </a:r>
                    <a:fld id="{5F470291-ECD8-4B99-A982-6EACF9403757}" type="VALUE">
                      <a:rPr lang="en-US" sz="800" baseline="0">
                        <a:solidFill>
                          <a:sysClr val="windowText" lastClr="000000"/>
                        </a:solidFill>
                      </a:rPr>
                      <a:pPr>
                        <a:defRPr sz="800">
                          <a:solidFill>
                            <a:sysClr val="windowText" lastClr="000000"/>
                          </a:solidFill>
                        </a:defRPr>
                      </a:pPr>
                      <a:t>[VALOR]</a:t>
                    </a:fld>
                    <a:endParaRPr lang="en-US" sz="8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F7A0-448B-AEDE-33698C9B672C}"/>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7320.6</c:v>
                </c:pt>
                <c:pt idx="2" formatCode="#,##0.0">
                  <c:v>8404.6299999999992</c:v>
                </c:pt>
                <c:pt idx="3" formatCode="#,##0.0">
                  <c:v>482.15</c:v>
                </c:pt>
              </c:numCache>
            </c:numRef>
          </c:val>
          <c:extLst>
            <c:ext xmlns:c16="http://schemas.microsoft.com/office/drawing/2014/chart" uri="{C3380CC4-5D6E-409C-BE32-E72D297353CC}">
              <c16:uniqueId val="{0000000A-F7A0-448B-AEDE-33698C9B672C}"/>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F3-477E-8F0C-328AB550C092}"/>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114.3</c:v>
                </c:pt>
                <c:pt idx="1">
                  <c:v>630.48</c:v>
                </c:pt>
              </c:numCache>
            </c:numRef>
          </c:val>
          <c:extLst>
            <c:ext xmlns:c16="http://schemas.microsoft.com/office/drawing/2014/chart" uri="{C3380CC4-5D6E-409C-BE32-E72D297353CC}">
              <c16:uniqueId val="{00000001-7DF3-477E-8F0C-328AB550C092}"/>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F3-477E-8F0C-328AB550C092}"/>
                </c:ext>
              </c:extLst>
            </c:dLbl>
            <c:dLbl>
              <c:idx val="1"/>
              <c:layout>
                <c:manualLayout>
                  <c:x val="-4.0788995863706009E-3"/>
                  <c:y val="5.327701384265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F3-477E-8F0C-328AB550C092}"/>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77.05</c:v>
                </c:pt>
                <c:pt idx="1">
                  <c:v>330.14</c:v>
                </c:pt>
              </c:numCache>
            </c:numRef>
          </c:val>
          <c:extLst>
            <c:ext xmlns:c16="http://schemas.microsoft.com/office/drawing/2014/chart" uri="{C3380CC4-5D6E-409C-BE32-E72D297353CC}">
              <c16:uniqueId val="{00000004-7DF3-477E-8F0C-328AB550C092}"/>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7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6358719099287"/>
          <c:y val="7.6081334009700713E-2"/>
          <c:w val="0.66566621243307655"/>
          <c:h val="0.84783733198059863"/>
        </c:manualLayout>
      </c:layout>
      <c:radarChart>
        <c:radarStyle val="marker"/>
        <c:varyColors val="0"/>
        <c:ser>
          <c:idx val="0"/>
          <c:order val="0"/>
          <c:tx>
            <c:strRef>
              <c:f>Hoja1!$B$1</c:f>
              <c:strCache>
                <c:ptCount val="1"/>
                <c:pt idx="0">
                  <c:v>Meta</c:v>
                </c:pt>
              </c:strCache>
            </c:strRef>
          </c:tx>
          <c:spPr>
            <a:ln w="28575" cap="rnd">
              <a:solidFill>
                <a:schemeClr val="accent1"/>
              </a:solidFill>
              <a:round/>
            </a:ln>
            <a:effectLst>
              <a:outerShdw blurRad="50800" dist="38100" dir="5400000" algn="t" rotWithShape="0">
                <a:prstClr val="black">
                  <a:alpha val="40000"/>
                </a:prstClr>
              </a:outerShdw>
            </a:effectLst>
          </c:spPr>
          <c:marker>
            <c:symbol val="none"/>
          </c:marker>
          <c:dLbls>
            <c:dLbl>
              <c:idx val="0"/>
              <c:layout>
                <c:manualLayout>
                  <c:x val="-0.10137581462708183"/>
                  <c:y val="-0.318703245238499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53-42D1-9B7D-279C64A8B91A}"/>
                </c:ext>
              </c:extLst>
            </c:dLbl>
            <c:dLbl>
              <c:idx val="1"/>
              <c:layout>
                <c:manualLayout>
                  <c:x val="0.24619840695148443"/>
                  <c:y val="-0.208715042855738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53-42D1-9B7D-279C64A8B91A}"/>
                </c:ext>
              </c:extLst>
            </c:dLbl>
            <c:dLbl>
              <c:idx val="2"/>
              <c:layout>
                <c:manualLayout>
                  <c:x val="0.18344195027757654"/>
                  <c:y val="-1.9041574103459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53-42D1-9B7D-279C64A8B91A}"/>
                </c:ext>
              </c:extLst>
            </c:dLbl>
            <c:dLbl>
              <c:idx val="3"/>
              <c:layout>
                <c:manualLayout>
                  <c:x val="0.16895969104513636"/>
                  <c:y val="0.101254390590506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53-42D1-9B7D-279C64A8B91A}"/>
                </c:ext>
              </c:extLst>
            </c:dLbl>
            <c:dLbl>
              <c:idx val="4"/>
              <c:layout>
                <c:manualLayout>
                  <c:x val="1.4482259232440261E-2"/>
                  <c:y val="0.126943827356394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53-42D1-9B7D-279C64A8B91A}"/>
                </c:ext>
              </c:extLst>
            </c:dLbl>
            <c:dLbl>
              <c:idx val="5"/>
              <c:layout>
                <c:manualLayout>
                  <c:x val="-0.12551291334781559"/>
                  <c:y val="9.5207664876169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53-42D1-9B7D-279C64A8B91A}"/>
                </c:ext>
              </c:extLst>
            </c:dLbl>
            <c:dLbl>
              <c:idx val="6"/>
              <c:layout>
                <c:manualLayout>
                  <c:x val="-6.2756456673907793E-2"/>
                  <c:y val="7.0350442857525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53-42D1-9B7D-279C64A8B91A}"/>
                </c:ext>
              </c:extLst>
            </c:dLbl>
            <c:numFmt formatCode="#,##0.0" sourceLinked="0"/>
            <c:spPr>
              <a:noFill/>
              <a:ln>
                <a:noFill/>
              </a:ln>
              <a:effectLst/>
            </c:spPr>
            <c:txPr>
              <a:bodyPr rot="0" spcFirstLastPara="1" vertOverflow="ellipsis" vert="horz" wrap="square" anchor="ctr" anchorCtr="1"/>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ene</c:v>
                </c:pt>
                <c:pt idx="1">
                  <c:v>feb</c:v>
                </c:pt>
                <c:pt idx="2">
                  <c:v>mar</c:v>
                </c:pt>
                <c:pt idx="3">
                  <c:v>abr</c:v>
                </c:pt>
                <c:pt idx="4">
                  <c:v>may</c:v>
                </c:pt>
                <c:pt idx="5">
                  <c:v>jun</c:v>
                </c:pt>
                <c:pt idx="6">
                  <c:v>jul</c:v>
                </c:pt>
              </c:strCache>
            </c:strRef>
          </c:cat>
          <c:val>
            <c:numRef>
              <c:f>Hoja1!$B$2:$B$8</c:f>
              <c:numCache>
                <c:formatCode>#,##0.0</c:formatCode>
                <c:ptCount val="7"/>
                <c:pt idx="0">
                  <c:v>8006.9883923214684</c:v>
                </c:pt>
                <c:pt idx="1">
                  <c:v>13399.190804586648</c:v>
                </c:pt>
                <c:pt idx="2">
                  <c:v>20893.901390386371</c:v>
                </c:pt>
                <c:pt idx="3">
                  <c:v>29481.139310436745</c:v>
                </c:pt>
                <c:pt idx="4">
                  <c:v>35700.327441830748</c:v>
                </c:pt>
                <c:pt idx="5">
                  <c:v>41782.432698885379</c:v>
                </c:pt>
                <c:pt idx="6">
                  <c:v>51704.854462804557</c:v>
                </c:pt>
              </c:numCache>
            </c:numRef>
          </c:val>
          <c:extLst>
            <c:ext xmlns:c16="http://schemas.microsoft.com/office/drawing/2014/chart" uri="{C3380CC4-5D6E-409C-BE32-E72D297353CC}">
              <c16:uniqueId val="{00000007-AE53-42D1-9B7D-279C64A8B91A}"/>
            </c:ext>
          </c:extLst>
        </c:ser>
        <c:ser>
          <c:idx val="1"/>
          <c:order val="1"/>
          <c:tx>
            <c:strRef>
              <c:f>Hoja1!$C$1</c:f>
              <c:strCache>
                <c:ptCount val="1"/>
                <c:pt idx="0">
                  <c:v>Observado</c:v>
                </c:pt>
              </c:strCache>
            </c:strRef>
          </c:tx>
          <c:spPr>
            <a:ln w="28575" cap="rnd">
              <a:solidFill>
                <a:srgbClr val="FF0000"/>
              </a:solidFill>
              <a:round/>
            </a:ln>
            <a:effectLst>
              <a:outerShdw blurRad="25400" dir="2700000" algn="tl" rotWithShape="0">
                <a:prstClr val="black">
                  <a:alpha val="40000"/>
                </a:prstClr>
              </a:outerShdw>
            </a:effectLst>
          </c:spPr>
          <c:marker>
            <c:symbol val="none"/>
          </c:marker>
          <c:dLbls>
            <c:dLbl>
              <c:idx val="0"/>
              <c:layout>
                <c:manualLayout>
                  <c:x val="0.1111743363723271"/>
                  <c:y val="-0.2699683609355867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AE53-42D1-9B7D-279C64A8B91A}"/>
                </c:ext>
              </c:extLst>
            </c:dLbl>
            <c:dLbl>
              <c:idx val="1"/>
              <c:layout>
                <c:manualLayout>
                  <c:x val="0.23751589342425608"/>
                  <c:y val="-9.164514197359836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E53-42D1-9B7D-279C64A8B91A}"/>
                </c:ext>
              </c:extLst>
            </c:dLbl>
            <c:dLbl>
              <c:idx val="2"/>
              <c:layout>
                <c:manualLayout>
                  <c:x val="0.16413227130098962"/>
                  <c:y val="0.1015550618851158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E53-42D1-9B7D-279C64A8B91A}"/>
                </c:ext>
              </c:extLst>
            </c:dLbl>
            <c:dLbl>
              <c:idx val="3"/>
              <c:layout>
                <c:manualLayout>
                  <c:x val="-2.4137098720733767E-2"/>
                  <c:y val="0.13688051337510157"/>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E53-42D1-9B7D-279C64A8B91A}"/>
                </c:ext>
              </c:extLst>
            </c:dLbl>
            <c:dLbl>
              <c:idx val="4"/>
              <c:layout>
                <c:manualLayout>
                  <c:x val="-0.18344195027757665"/>
                  <c:y val="5.712472231037765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AE53-42D1-9B7D-279C64A8B91A}"/>
                </c:ext>
              </c:extLst>
            </c:dLbl>
            <c:dLbl>
              <c:idx val="5"/>
              <c:layout>
                <c:manualLayout>
                  <c:x val="-0.10104017591573682"/>
                  <c:y val="-5.578127932646330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E53-42D1-9B7D-279C64A8B91A}"/>
                </c:ext>
              </c:extLst>
            </c:dLbl>
            <c:dLbl>
              <c:idx val="6"/>
              <c:layout>
                <c:manualLayout>
                  <c:x val="5.3101617185614243E-2"/>
                  <c:y val="-4.8461394085103721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AE53-42D1-9B7D-279C64A8B91A}"/>
                </c:ext>
              </c:extLst>
            </c:dLbl>
            <c:numFmt formatCode="#,##0.0" sourceLinked="0"/>
            <c:spPr>
              <a:noFill/>
              <a:ln>
                <a:noFill/>
              </a:ln>
              <a:effectLst/>
            </c:spPr>
            <c:txPr>
              <a:bodyPr rot="0" spcFirstLastPara="1" vertOverflow="ellipsis" vert="horz" wrap="square" anchor="ctr" anchorCtr="1"/>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ene</c:v>
                </c:pt>
                <c:pt idx="1">
                  <c:v>feb</c:v>
                </c:pt>
                <c:pt idx="2">
                  <c:v>mar</c:v>
                </c:pt>
                <c:pt idx="3">
                  <c:v>abr</c:v>
                </c:pt>
                <c:pt idx="4">
                  <c:v>may</c:v>
                </c:pt>
                <c:pt idx="5">
                  <c:v>jun</c:v>
                </c:pt>
                <c:pt idx="6">
                  <c:v>jul</c:v>
                </c:pt>
              </c:strCache>
            </c:strRef>
          </c:cat>
          <c:val>
            <c:numRef>
              <c:f>Hoja1!$C$2:$C$8</c:f>
              <c:numCache>
                <c:formatCode>#,##0.0</c:formatCode>
                <c:ptCount val="7"/>
                <c:pt idx="0">
                  <c:v>8872.9790806299989</c:v>
                </c:pt>
                <c:pt idx="1">
                  <c:v>14618.577397669998</c:v>
                </c:pt>
                <c:pt idx="2">
                  <c:v>22981.374418299998</c:v>
                </c:pt>
                <c:pt idx="3">
                  <c:v>32821.984081139992</c:v>
                </c:pt>
                <c:pt idx="4">
                  <c:v>39681.107500089995</c:v>
                </c:pt>
                <c:pt idx="5">
                  <c:v>46252.802679429995</c:v>
                </c:pt>
                <c:pt idx="6">
                  <c:v>57363.212126869992</c:v>
                </c:pt>
              </c:numCache>
            </c:numRef>
          </c:val>
          <c:extLst>
            <c:ext xmlns:c16="http://schemas.microsoft.com/office/drawing/2014/chart" uri="{C3380CC4-5D6E-409C-BE32-E72D297353CC}">
              <c16:uniqueId val="{0000000F-AE53-42D1-9B7D-279C64A8B91A}"/>
            </c:ext>
          </c:extLst>
        </c:ser>
        <c:dLbls>
          <c:showLegendKey val="0"/>
          <c:showVal val="0"/>
          <c:showCatName val="0"/>
          <c:showSerName val="0"/>
          <c:showPercent val="0"/>
          <c:showBubbleSize val="0"/>
        </c:dLbls>
        <c:axId val="643078032"/>
        <c:axId val="643078360"/>
      </c:radarChart>
      <c:catAx>
        <c:axId val="643078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49681485324834035"/>
          <c:y val="0.95586601293158968"/>
          <c:w val="0.50318514675165971"/>
          <c:h val="3.5037223400510048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7.7365555672799138E-2"/>
          <c:w val="0.87195209498957349"/>
          <c:h val="0.895458395480355"/>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68D-4265-84AC-979214EC5FA6}"/>
                </c:ext>
              </c:extLst>
            </c:dLbl>
            <c:dLbl>
              <c:idx val="1"/>
              <c:layout>
                <c:manualLayout>
                  <c:x val="-0.10819269877806519"/>
                  <c:y val="0.105438039174357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68D-4265-84AC-979214EC5FA6}"/>
                </c:ext>
              </c:extLst>
            </c:dLbl>
            <c:dLbl>
              <c:idx val="2"/>
              <c:layout>
                <c:manualLayout>
                  <c:x val="6.721591060162342E-3"/>
                  <c:y val="9.566402192077795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68D-4265-84AC-979214EC5FA6}"/>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68D-4265-84AC-979214EC5FA6}"/>
                </c:ext>
              </c:extLst>
            </c:dLbl>
            <c:dLbl>
              <c:idx val="4"/>
              <c:layout>
                <c:manualLayout>
                  <c:x val="-0.25875960512171875"/>
                  <c:y val="-8.448030994213683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768D-4265-84AC-979214EC5FA6}"/>
                </c:ext>
              </c:extLst>
            </c:dLbl>
            <c:dLbl>
              <c:idx val="5"/>
              <c:layout>
                <c:manualLayout>
                  <c:x val="-4.7289674897728956E-3"/>
                  <c:y val="-0.111738255471412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68D-4265-84AC-979214EC5F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-199.02861099999063</c:v>
                </c:pt>
                <c:pt idx="1">
                  <c:v>362.9546953399992</c:v>
                </c:pt>
                <c:pt idx="2">
                  <c:v>136.65399835999915</c:v>
                </c:pt>
                <c:pt idx="3">
                  <c:v>803.8669934799982</c:v>
                </c:pt>
                <c:pt idx="4">
                  <c:v>1685.3513158900005</c:v>
                </c:pt>
                <c:pt idx="5">
                  <c:v>1945.0638452800031</c:v>
                </c:pt>
              </c:numCache>
            </c:numRef>
          </c:val>
          <c:smooth val="1"/>
          <c:extLst>
            <c:ext xmlns:c16="http://schemas.microsoft.com/office/drawing/2014/chart" uri="{C3380CC4-5D6E-409C-BE32-E72D297353CC}">
              <c16:uniqueId val="{00000006-768D-4265-84AC-979214EC5FA6}"/>
            </c:ext>
          </c:extLst>
        </c:ser>
        <c:ser>
          <c:idx val="1"/>
          <c:order val="1"/>
          <c:tx>
            <c:strRef>
              <c:f>Hoja1!$C$1</c:f>
              <c:strCache>
                <c:ptCount val="1"/>
                <c:pt idx="0">
                  <c:v>2022-Pres</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9.351580690619174E-2"/>
                  <c:y val="-0.1283574973778373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68D-4265-84AC-979214EC5FA6}"/>
                </c:ext>
              </c:extLst>
            </c:dLbl>
            <c:dLbl>
              <c:idx val="1"/>
              <c:layout>
                <c:manualLayout>
                  <c:x val="-5.7654280190374177E-2"/>
                  <c:y val="-9.62110018863481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68D-4265-84AC-979214EC5FA6}"/>
                </c:ext>
              </c:extLst>
            </c:dLbl>
            <c:dLbl>
              <c:idx val="2"/>
              <c:layout>
                <c:manualLayout>
                  <c:x val="-6.1096740620881149E-2"/>
                  <c:y val="-0.107329846996204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68D-4265-84AC-979214EC5FA6}"/>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68D-4265-84AC-979214EC5FA6}"/>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68D-4265-84AC-979214EC5FA6}"/>
                </c:ext>
              </c:extLst>
            </c:dLbl>
            <c:dLbl>
              <c:idx val="5"/>
              <c:layout>
                <c:manualLayout>
                  <c:x val="-1.5626483737289712E-3"/>
                  <c:y val="6.660995769410277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768D-4265-84AC-979214EC5FA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562.10466925000401</c:v>
                </c:pt>
                <c:pt idx="1">
                  <c:v>345.6661195254527</c:v>
                </c:pt>
                <c:pt idx="2">
                  <c:v>6.2272273999974459</c:v>
                </c:pt>
                <c:pt idx="3">
                  <c:v>841.56402075000096</c:v>
                </c:pt>
                <c:pt idx="4">
                  <c:v>2781.04545375001</c:v>
                </c:pt>
                <c:pt idx="5">
                  <c:v>1121.7501733900008</c:v>
                </c:pt>
              </c:numCache>
            </c:numRef>
          </c:val>
          <c:smooth val="1"/>
          <c:extLst>
            <c:ext xmlns:c16="http://schemas.microsoft.com/office/drawing/2014/chart" uri="{C3380CC4-5D6E-409C-BE32-E72D297353CC}">
              <c16:uniqueId val="{0000000D-768D-4265-84AC-979214EC5FA6}"/>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8710625271982713"/>
          <c:y val="3.5374607511257749E-3"/>
          <c:w val="0.60594304869319271"/>
          <c:h val="5.912612969738798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6"/>
              <c:layout>
                <c:manualLayout>
                  <c:x val="-5.3063193439459741E-2"/>
                  <c:y val="-0.11656952539550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86-450C-816C-61DF4F8CAD74}"/>
                </c:ext>
              </c:extLst>
            </c:dLbl>
            <c:dLbl>
              <c:idx val="18"/>
              <c:layout>
                <c:manualLayout>
                  <c:x val="-6.7534973468403231E-2"/>
                  <c:y val="-9.9916736053288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86-450C-816C-61DF4F8CAD74}"/>
                </c:ext>
              </c:extLst>
            </c:dLbl>
            <c:dLbl>
              <c:idx val="30"/>
              <c:layout>
                <c:manualLayout>
                  <c:x val="-7.2358900144717797E-2"/>
                  <c:y val="-0.116569525395503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86-450C-816C-61DF4F8CAD74}"/>
                </c:ext>
              </c:extLst>
            </c:dLbl>
            <c:dLbl>
              <c:idx val="4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86-450C-816C-61DF4F8CAD74}"/>
                </c:ext>
              </c:extLst>
            </c:dLbl>
            <c:dLbl>
              <c:idx val="54"/>
              <c:layout>
                <c:manualLayout>
                  <c:x val="0"/>
                  <c:y val="-9.9916736053288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86-450C-816C-61DF4F8CAD7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Hoja1!$A$2:$A$56</c:f>
              <c:numCache>
                <c:formatCode>mmm\-yy</c:formatCode>
                <c:ptCount val="5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numCache>
            </c:numRef>
          </c:cat>
          <c:val>
            <c:numRef>
              <c:f>Hoja1!$B$2:$B$56</c:f>
              <c:numCache>
                <c:formatCode>0.0</c:formatCode>
                <c:ptCount val="55"/>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pt idx="47">
                  <c:v>76.5</c:v>
                </c:pt>
                <c:pt idx="48">
                  <c:v>78.16</c:v>
                </c:pt>
                <c:pt idx="49">
                  <c:v>76.86</c:v>
                </c:pt>
                <c:pt idx="50">
                  <c:v>73.37</c:v>
                </c:pt>
                <c:pt idx="51">
                  <c:v>79.44</c:v>
                </c:pt>
                <c:pt idx="52">
                  <c:v>71.62</c:v>
                </c:pt>
                <c:pt idx="53">
                  <c:v>70.27</c:v>
                </c:pt>
                <c:pt idx="54">
                  <c:v>76.03</c:v>
                </c:pt>
              </c:numCache>
            </c:numRef>
          </c:val>
          <c:smooth val="1"/>
          <c:extLst>
            <c:ext xmlns:c16="http://schemas.microsoft.com/office/drawing/2014/chart" uri="{C3380CC4-5D6E-409C-BE32-E72D297353CC}">
              <c16:uniqueId val="{00000005-B386-450C-816C-61DF4F8CAD74}"/>
            </c:ext>
          </c:extLst>
        </c:ser>
        <c:dLbls>
          <c:showLegendKey val="0"/>
          <c:showVal val="0"/>
          <c:showCatName val="0"/>
          <c:showSerName val="0"/>
          <c:showPercent val="0"/>
          <c:showBubbleSize val="0"/>
        </c:dLbls>
        <c:marker val="1"/>
        <c:smooth val="0"/>
        <c:axId val="717364616"/>
        <c:axId val="717367568"/>
      </c:lineChart>
      <c:dateAx>
        <c:axId val="717364616"/>
        <c:scaling>
          <c:orientation val="minMax"/>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4783246160800085"/>
          <c:h val="0.83750857136942669"/>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42"/>
              <c:layout>
                <c:manualLayout>
                  <c:x val="-6.2711046792088943E-2"/>
                  <c:y val="0.10824313072439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F6-4C59-81D6-2A4DD5CCA8DF}"/>
                </c:ext>
              </c:extLst>
            </c:dLbl>
            <c:dLbl>
              <c:idx val="54"/>
              <c:layout>
                <c:manualLayout>
                  <c:x val="0"/>
                  <c:y val="-4.995836802664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F6-4C59-81D6-2A4DD5CCA8D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Hoja1!$A$2:$A$56</c:f>
              <c:numCache>
                <c:formatCode>mmm\-yy</c:formatCode>
                <c:ptCount val="5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numCache>
            </c:numRef>
          </c:cat>
          <c:val>
            <c:numRef>
              <c:f>Hoja1!$B$2:$B$56</c:f>
              <c:numCache>
                <c:formatCode>0.0</c:formatCode>
                <c:ptCount val="55"/>
                <c:pt idx="0">
                  <c:v>1.2133373398879099</c:v>
                </c:pt>
                <c:pt idx="1">
                  <c:v>1.3171949561501473</c:v>
                </c:pt>
                <c:pt idx="2">
                  <c:v>2.1515546627187465</c:v>
                </c:pt>
                <c:pt idx="3">
                  <c:v>2.6500406128148413</c:v>
                </c:pt>
                <c:pt idx="4">
                  <c:v>3.3774818086861336</c:v>
                </c:pt>
                <c:pt idx="5">
                  <c:v>3.0658139325091094</c:v>
                </c:pt>
                <c:pt idx="6">
                  <c:v>3.6913059989126973</c:v>
                </c:pt>
                <c:pt idx="7">
                  <c:v>4.1640139238722451</c:v>
                </c:pt>
                <c:pt idx="8">
                  <c:v>4.8135226542253884</c:v>
                </c:pt>
                <c:pt idx="9">
                  <c:v>5.7783454456295402</c:v>
                </c:pt>
                <c:pt idx="10">
                  <c:v>5.5422204220258564</c:v>
                </c:pt>
                <c:pt idx="11">
                  <c:v>6.6597541083223355</c:v>
                </c:pt>
                <c:pt idx="12">
                  <c:v>12.355001333193627</c:v>
                </c:pt>
                <c:pt idx="13">
                  <c:v>11.702529453413902</c:v>
                </c:pt>
                <c:pt idx="14">
                  <c:v>-4.1573962158443001</c:v>
                </c:pt>
                <c:pt idx="15">
                  <c:v>3.5316051677768412</c:v>
                </c:pt>
                <c:pt idx="16">
                  <c:v>-0.45608141251602952</c:v>
                </c:pt>
                <c:pt idx="17">
                  <c:v>-2.760244571157966</c:v>
                </c:pt>
                <c:pt idx="18">
                  <c:v>-4.524004040943197</c:v>
                </c:pt>
                <c:pt idx="19">
                  <c:v>-5.0795729243287013</c:v>
                </c:pt>
                <c:pt idx="20">
                  <c:v>-4.5671337435818637</c:v>
                </c:pt>
                <c:pt idx="21">
                  <c:v>-2.4012277155246342</c:v>
                </c:pt>
                <c:pt idx="22">
                  <c:v>-1.8659806932337597</c:v>
                </c:pt>
                <c:pt idx="23">
                  <c:v>-1.9497461309182063</c:v>
                </c:pt>
                <c:pt idx="24">
                  <c:v>6.0737663743792858</c:v>
                </c:pt>
                <c:pt idx="25">
                  <c:v>6.7628231282831797</c:v>
                </c:pt>
                <c:pt idx="26">
                  <c:v>24.207599090223919</c:v>
                </c:pt>
                <c:pt idx="27">
                  <c:v>16.170221856991063</c:v>
                </c:pt>
                <c:pt idx="28">
                  <c:v>19.48130710247964</c:v>
                </c:pt>
                <c:pt idx="29">
                  <c:v>21.311343890161872</c:v>
                </c:pt>
                <c:pt idx="30">
                  <c:v>25.000590353400053</c:v>
                </c:pt>
                <c:pt idx="31">
                  <c:v>24.869333811400416</c:v>
                </c:pt>
                <c:pt idx="32">
                  <c:v>23.865355092229311</c:v>
                </c:pt>
                <c:pt idx="33">
                  <c:v>22.37701682363744</c:v>
                </c:pt>
                <c:pt idx="34">
                  <c:v>21.261221489466742</c:v>
                </c:pt>
                <c:pt idx="35">
                  <c:v>24.189141456707031</c:v>
                </c:pt>
                <c:pt idx="36">
                  <c:v>6.1103013917060967</c:v>
                </c:pt>
                <c:pt idx="37">
                  <c:v>4.8899589562914514</c:v>
                </c:pt>
                <c:pt idx="38">
                  <c:v>9.8610280096090399</c:v>
                </c:pt>
                <c:pt idx="39">
                  <c:v>12.402002401719582</c:v>
                </c:pt>
                <c:pt idx="40">
                  <c:v>12.265306074707949</c:v>
                </c:pt>
                <c:pt idx="41">
                  <c:v>12.893635675323489</c:v>
                </c:pt>
                <c:pt idx="42">
                  <c:v>13.567594975491982</c:v>
                </c:pt>
                <c:pt idx="43">
                  <c:v>13.48825420591664</c:v>
                </c:pt>
                <c:pt idx="44">
                  <c:v>13.666316004100043</c:v>
                </c:pt>
                <c:pt idx="45">
                  <c:v>13.152568562688781</c:v>
                </c:pt>
                <c:pt idx="46">
                  <c:v>13.354154860574386</c:v>
                </c:pt>
                <c:pt idx="47">
                  <c:v>10.498752833368208</c:v>
                </c:pt>
                <c:pt idx="48">
                  <c:v>16.259136387916516</c:v>
                </c:pt>
                <c:pt idx="49">
                  <c:v>16.045623838805767</c:v>
                </c:pt>
                <c:pt idx="50">
                  <c:v>15.79930769462119</c:v>
                </c:pt>
                <c:pt idx="51">
                  <c:v>14.262525306151463</c:v>
                </c:pt>
                <c:pt idx="52">
                  <c:v>14.512683105482992</c:v>
                </c:pt>
                <c:pt idx="53">
                  <c:v>13.92823383663524</c:v>
                </c:pt>
                <c:pt idx="54">
                  <c:v>13.028016170240386</c:v>
                </c:pt>
              </c:numCache>
            </c:numRef>
          </c:val>
          <c:smooth val="1"/>
          <c:extLst>
            <c:ext xmlns:c16="http://schemas.microsoft.com/office/drawing/2014/chart" uri="{C3380CC4-5D6E-409C-BE32-E72D297353CC}">
              <c16:uniqueId val="{00000002-8AF6-4C59-81D6-2A4DD5CCA8DF}"/>
            </c:ext>
          </c:extLst>
        </c:ser>
        <c:ser>
          <c:idx val="1"/>
          <c:order val="1"/>
          <c:tx>
            <c:strRef>
              <c:f>Hoja1!$C$1</c:f>
              <c:strCache>
                <c:ptCount val="1"/>
                <c:pt idx="0">
                  <c:v>Aduanas</c:v>
                </c:pt>
              </c:strCache>
            </c:strRef>
          </c:tx>
          <c:spPr>
            <a:ln w="22225" cap="rnd">
              <a:solidFill>
                <a:srgbClr val="FF0000"/>
              </a:solidFill>
              <a:round/>
            </a:ln>
            <a:effectLst/>
          </c:spPr>
          <c:marker>
            <c:symbol val="none"/>
          </c:marker>
          <c:dLbls>
            <c:dLbl>
              <c:idx val="42"/>
              <c:layout>
                <c:manualLayout>
                  <c:x val="-4.8239266763145203E-2"/>
                  <c:y val="-9.1590341382181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F6-4C59-81D6-2A4DD5CCA8DF}"/>
                </c:ext>
              </c:extLst>
            </c:dLbl>
            <c:dLbl>
              <c:idx val="54"/>
              <c:layout>
                <c:manualLayout>
                  <c:x val="0"/>
                  <c:y val="6.6611157368859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F6-4C59-81D6-2A4DD5CCA8D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Hoja1!$A$2:$A$56</c:f>
              <c:numCache>
                <c:formatCode>mmm\-yy</c:formatCode>
                <c:ptCount val="5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numCache>
            </c:numRef>
          </c:cat>
          <c:val>
            <c:numRef>
              <c:f>Hoja1!$C$2:$C$56</c:f>
              <c:numCache>
                <c:formatCode>0.0</c:formatCode>
                <c:ptCount val="55"/>
                <c:pt idx="0">
                  <c:v>14.231067091366278</c:v>
                </c:pt>
                <c:pt idx="1">
                  <c:v>11.052035471847166</c:v>
                </c:pt>
                <c:pt idx="2">
                  <c:v>11.776701403870614</c:v>
                </c:pt>
                <c:pt idx="3">
                  <c:v>8.4371207706589679</c:v>
                </c:pt>
                <c:pt idx="4">
                  <c:v>8.0291446384383569</c:v>
                </c:pt>
                <c:pt idx="5">
                  <c:v>6.4402755717617888</c:v>
                </c:pt>
                <c:pt idx="6">
                  <c:v>6.4084902736351479</c:v>
                </c:pt>
                <c:pt idx="7">
                  <c:v>5.8328328182996048</c:v>
                </c:pt>
                <c:pt idx="8">
                  <c:v>5.4179983367725004</c:v>
                </c:pt>
                <c:pt idx="9">
                  <c:v>5.4293890454141902</c:v>
                </c:pt>
                <c:pt idx="10">
                  <c:v>5.6123803819541074</c:v>
                </c:pt>
                <c:pt idx="11">
                  <c:v>5.7210781442385228</c:v>
                </c:pt>
                <c:pt idx="12">
                  <c:v>2.7905007283526517</c:v>
                </c:pt>
                <c:pt idx="13">
                  <c:v>3.8650962860691473</c:v>
                </c:pt>
                <c:pt idx="14">
                  <c:v>-1.1437467318872518</c:v>
                </c:pt>
                <c:pt idx="15">
                  <c:v>-5.8413143875957303</c:v>
                </c:pt>
                <c:pt idx="16">
                  <c:v>-11.298967478449173</c:v>
                </c:pt>
                <c:pt idx="17">
                  <c:v>-11.820865466328623</c:v>
                </c:pt>
                <c:pt idx="18">
                  <c:v>-12.526525776931619</c:v>
                </c:pt>
                <c:pt idx="19">
                  <c:v>-12.933173997672998</c:v>
                </c:pt>
                <c:pt idx="20">
                  <c:v>-11.757513849863644</c:v>
                </c:pt>
                <c:pt idx="21">
                  <c:v>-11.177856784291107</c:v>
                </c:pt>
                <c:pt idx="22">
                  <c:v>-10.33987446076441</c:v>
                </c:pt>
                <c:pt idx="23">
                  <c:v>-8.0192460140194992</c:v>
                </c:pt>
                <c:pt idx="24">
                  <c:v>-9.7761611690150296E-2</c:v>
                </c:pt>
                <c:pt idx="25">
                  <c:v>8.2291598464747437</c:v>
                </c:pt>
                <c:pt idx="26">
                  <c:v>21.007301892208609</c:v>
                </c:pt>
                <c:pt idx="27">
                  <c:v>30.067838824985515</c:v>
                </c:pt>
                <c:pt idx="28">
                  <c:v>37.1992366604617</c:v>
                </c:pt>
                <c:pt idx="29">
                  <c:v>41.161224600746536</c:v>
                </c:pt>
                <c:pt idx="30">
                  <c:v>43.891560660863924</c:v>
                </c:pt>
                <c:pt idx="31">
                  <c:v>45.841954392154641</c:v>
                </c:pt>
                <c:pt idx="32">
                  <c:v>45.663593297139784</c:v>
                </c:pt>
                <c:pt idx="33">
                  <c:v>45.232250013522133</c:v>
                </c:pt>
                <c:pt idx="34">
                  <c:v>45.138870000339537</c:v>
                </c:pt>
                <c:pt idx="35">
                  <c:v>43.102791245264683</c:v>
                </c:pt>
                <c:pt idx="36">
                  <c:v>35.802848994375601</c:v>
                </c:pt>
                <c:pt idx="37">
                  <c:v>30.41359604226237</c:v>
                </c:pt>
                <c:pt idx="38">
                  <c:v>29.750178282009454</c:v>
                </c:pt>
                <c:pt idx="39">
                  <c:v>27.699320692097928</c:v>
                </c:pt>
                <c:pt idx="40">
                  <c:v>28.111318823070807</c:v>
                </c:pt>
                <c:pt idx="41">
                  <c:v>28.237311211709315</c:v>
                </c:pt>
                <c:pt idx="42">
                  <c:v>26.275306676146659</c:v>
                </c:pt>
                <c:pt idx="43">
                  <c:v>26.271522029927151</c:v>
                </c:pt>
                <c:pt idx="44">
                  <c:v>25.717845090591538</c:v>
                </c:pt>
                <c:pt idx="45">
                  <c:v>23.818597838368195</c:v>
                </c:pt>
                <c:pt idx="46">
                  <c:v>22.080707212811525</c:v>
                </c:pt>
                <c:pt idx="47">
                  <c:v>20.419559656025221</c:v>
                </c:pt>
                <c:pt idx="48">
                  <c:v>8.7181808915200101</c:v>
                </c:pt>
                <c:pt idx="49">
                  <c:v>4.8033735189676685</c:v>
                </c:pt>
                <c:pt idx="50">
                  <c:v>1.6501046939924935</c:v>
                </c:pt>
                <c:pt idx="51">
                  <c:v>-0.88486713950040041</c:v>
                </c:pt>
                <c:pt idx="52">
                  <c:v>-0.19324478757339891</c:v>
                </c:pt>
                <c:pt idx="53">
                  <c:v>-0.25148579862165343</c:v>
                </c:pt>
                <c:pt idx="54">
                  <c:v>-0.25096607606082122</c:v>
                </c:pt>
              </c:numCache>
            </c:numRef>
          </c:val>
          <c:smooth val="0"/>
          <c:extLst>
            <c:ext xmlns:c16="http://schemas.microsoft.com/office/drawing/2014/chart" uri="{C3380CC4-5D6E-409C-BE32-E72D297353CC}">
              <c16:uniqueId val="{00000005-8AF6-4C59-81D6-2A4DD5CCA8DF}"/>
            </c:ext>
          </c:extLst>
        </c:ser>
        <c:ser>
          <c:idx val="2"/>
          <c:order val="2"/>
          <c:tx>
            <c:strRef>
              <c:f>Hoja1!$D$1</c:f>
              <c:strCache>
                <c:ptCount val="1"/>
                <c:pt idx="0">
                  <c:v>TOTAL</c:v>
                </c:pt>
              </c:strCache>
            </c:strRef>
          </c:tx>
          <c:spPr>
            <a:ln w="22225" cap="rnd">
              <a:solidFill>
                <a:srgbClr val="00B050"/>
              </a:solidFill>
              <a:round/>
            </a:ln>
            <a:effectLst/>
          </c:spPr>
          <c:marker>
            <c:symbol val="none"/>
          </c:marker>
          <c:dLbls>
            <c:dLbl>
              <c:idx val="42"/>
              <c:layout>
                <c:manualLayout>
                  <c:x val="-7.2358900144717894E-2"/>
                  <c:y val="-4.1631973355537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F6-4C59-81D6-2A4DD5CCA8DF}"/>
                </c:ext>
              </c:extLst>
            </c:dLbl>
            <c:dLbl>
              <c:idx val="54"/>
              <c:layout>
                <c:manualLayout>
                  <c:x val="-1.768752681866743E-16"/>
                  <c:y val="3.33055786844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F6-4C59-81D6-2A4DD5CCA8D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Hoja1!$A$2:$A$56</c:f>
              <c:numCache>
                <c:formatCode>mmm\-yy</c:formatCode>
                <c:ptCount val="5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numCache>
            </c:numRef>
          </c:cat>
          <c:val>
            <c:numRef>
              <c:f>Hoja1!$D$2:$D$56</c:f>
              <c:numCache>
                <c:formatCode>0.0</c:formatCode>
                <c:ptCount val="55"/>
                <c:pt idx="0">
                  <c:v>4.144229832341817</c:v>
                </c:pt>
                <c:pt idx="1">
                  <c:v>3.8814875506469448</c:v>
                </c:pt>
                <c:pt idx="2">
                  <c:v>4.6775539995209447</c:v>
                </c:pt>
                <c:pt idx="3">
                  <c:v>4.110619818220318</c:v>
                </c:pt>
                <c:pt idx="4">
                  <c:v>4.6238114373573946</c:v>
                </c:pt>
                <c:pt idx="5">
                  <c:v>3.9980363745735659</c:v>
                </c:pt>
                <c:pt idx="6">
                  <c:v>4.4113053319681628</c:v>
                </c:pt>
                <c:pt idx="7">
                  <c:v>4.6214688048084929</c:v>
                </c:pt>
                <c:pt idx="8">
                  <c:v>4.983811764446</c:v>
                </c:pt>
                <c:pt idx="9">
                  <c:v>5.6811428030196343</c:v>
                </c:pt>
                <c:pt idx="10">
                  <c:v>5.5622459797806112</c:v>
                </c:pt>
                <c:pt idx="11">
                  <c:v>6.3878097653571775</c:v>
                </c:pt>
                <c:pt idx="12">
                  <c:v>9.9930227400694793</c:v>
                </c:pt>
                <c:pt idx="13">
                  <c:v>9.4955364780329852</c:v>
                </c:pt>
                <c:pt idx="14">
                  <c:v>-3.3128637792832483</c:v>
                </c:pt>
                <c:pt idx="15">
                  <c:v>1.0677030515781061</c:v>
                </c:pt>
                <c:pt idx="16">
                  <c:v>-3.4557963525804203</c:v>
                </c:pt>
                <c:pt idx="17">
                  <c:v>-5.3220955811382193</c:v>
                </c:pt>
                <c:pt idx="18">
                  <c:v>-6.6850729747290227</c:v>
                </c:pt>
                <c:pt idx="19">
                  <c:v>-7.2573203198649683</c:v>
                </c:pt>
                <c:pt idx="20">
                  <c:v>-6.6011401647065533</c:v>
                </c:pt>
                <c:pt idx="21">
                  <c:v>-4.8401549131182993</c:v>
                </c:pt>
                <c:pt idx="22">
                  <c:v>-4.2858087798717692</c:v>
                </c:pt>
                <c:pt idx="23">
                  <c:v>-3.6971244964329686</c:v>
                </c:pt>
                <c:pt idx="24">
                  <c:v>4.6494902126083204</c:v>
                </c:pt>
                <c:pt idx="25">
                  <c:v>7.1545054968904287</c:v>
                </c:pt>
                <c:pt idx="26">
                  <c:v>23.29064127425433</c:v>
                </c:pt>
                <c:pt idx="27">
                  <c:v>19.573809126610485</c:v>
                </c:pt>
                <c:pt idx="28">
                  <c:v>23.98481089832871</c:v>
                </c:pt>
                <c:pt idx="29">
                  <c:v>26.53856662084879</c:v>
                </c:pt>
                <c:pt idx="30">
                  <c:v>29.782719256067146</c:v>
                </c:pt>
                <c:pt idx="31">
                  <c:v>30.328979233186715</c:v>
                </c:pt>
                <c:pt idx="32">
                  <c:v>29.691188013712132</c:v>
                </c:pt>
                <c:pt idx="33">
                  <c:v>28.3052362657251</c:v>
                </c:pt>
                <c:pt idx="34">
                  <c:v>27.648503060633068</c:v>
                </c:pt>
                <c:pt idx="35">
                  <c:v>29.38990490263258</c:v>
                </c:pt>
                <c:pt idx="36">
                  <c:v>12.651947806173801</c:v>
                </c:pt>
                <c:pt idx="37">
                  <c:v>11.776112850662802</c:v>
                </c:pt>
                <c:pt idx="38">
                  <c:v>15.454181537735634</c:v>
                </c:pt>
                <c:pt idx="39">
                  <c:v>16.47717226265144</c:v>
                </c:pt>
                <c:pt idx="40">
                  <c:v>16.72228725197278</c:v>
                </c:pt>
                <c:pt idx="41">
                  <c:v>17.401128449168148</c:v>
                </c:pt>
                <c:pt idx="42">
                  <c:v>17.134182100907825</c:v>
                </c:pt>
                <c:pt idx="43">
                  <c:v>17.212129455721371</c:v>
                </c:pt>
                <c:pt idx="44">
                  <c:v>17.283906044041288</c:v>
                </c:pt>
                <c:pt idx="45">
                  <c:v>16.284123847429655</c:v>
                </c:pt>
                <c:pt idx="46">
                  <c:v>16.008364534048059</c:v>
                </c:pt>
                <c:pt idx="47">
                  <c:v>13.514917635696388</c:v>
                </c:pt>
                <c:pt idx="48">
                  <c:v>14.256342956729885</c:v>
                </c:pt>
                <c:pt idx="49">
                  <c:v>12.506780947165419</c:v>
                </c:pt>
                <c:pt idx="50">
                  <c:v>11.32762699302814</c:v>
                </c:pt>
                <c:pt idx="51">
                  <c:v>9.8385157298822801</c:v>
                </c:pt>
                <c:pt idx="52">
                  <c:v>9.972776236362213</c:v>
                </c:pt>
                <c:pt idx="53">
                  <c:v>9.3781917990671815</c:v>
                </c:pt>
                <c:pt idx="54">
                  <c:v>9.0102463067995195</c:v>
                </c:pt>
              </c:numCache>
            </c:numRef>
          </c:val>
          <c:smooth val="0"/>
          <c:extLst>
            <c:ext xmlns:c16="http://schemas.microsoft.com/office/drawing/2014/chart" uri="{C3380CC4-5D6E-409C-BE32-E72D297353CC}">
              <c16:uniqueId val="{00000008-8AF6-4C59-81D6-2A4DD5CCA8DF}"/>
            </c:ext>
          </c:extLst>
        </c:ser>
        <c:dLbls>
          <c:showLegendKey val="0"/>
          <c:showVal val="0"/>
          <c:showCatName val="0"/>
          <c:showSerName val="0"/>
          <c:showPercent val="0"/>
          <c:showBubbleSize val="0"/>
        </c:dLbls>
        <c:smooth val="0"/>
        <c:axId val="717364616"/>
        <c:axId val="717367568"/>
      </c:lineChart>
      <c:dateAx>
        <c:axId val="717364616"/>
        <c:scaling>
          <c:orientation val="minMax"/>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l"/>
      <c:layout>
        <c:manualLayout>
          <c:xMode val="edge"/>
          <c:yMode val="edge"/>
          <c:x val="8.2006753497346846E-2"/>
          <c:y val="6.4424003619031361E-2"/>
          <c:w val="0.27988498543326079"/>
          <c:h val="0.33101745920394421"/>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64A-48EA-AB48-8C2DCD1176C3}"/>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64A-48EA-AB48-8C2DCD1176C3}"/>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64A-48EA-AB48-8C2DCD1176C3}"/>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64A-48EA-AB48-8C2DCD1176C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64A-48EA-AB48-8C2DCD1176C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64A-48EA-AB48-8C2DCD1176C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764A-48EA-AB48-8C2DCD1176C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764A-48EA-AB48-8C2DCD1176C3}"/>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764A-48EA-AB48-8C2DCD1176C3}"/>
              </c:ext>
            </c:extLst>
          </c:dPt>
          <c:dLbls>
            <c:dLbl>
              <c:idx val="0"/>
              <c:layout>
                <c:manualLayout>
                  <c:x val="-0.1592843914552147"/>
                  <c:y val="-1.285305602794222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4A-48EA-AB48-8C2DCD1176C3}"/>
                </c:ext>
              </c:extLst>
            </c:dLbl>
            <c:dLbl>
              <c:idx val="1"/>
              <c:layout>
                <c:manualLayout>
                  <c:x val="0.10485947739096228"/>
                  <c:y val="-0.1706087630864677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4A-48EA-AB48-8C2DCD1176C3}"/>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4A-48EA-AB48-8C2DCD1176C3}"/>
                </c:ext>
              </c:extLst>
            </c:dLbl>
            <c:dLbl>
              <c:idx val="3"/>
              <c:layout>
                <c:manualLayout>
                  <c:x val="-2.1427988398478523E-2"/>
                  <c:y val="2.30102004988809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64A-48EA-AB48-8C2DCD1176C3}"/>
                </c:ext>
              </c:extLst>
            </c:dLbl>
            <c:dLbl>
              <c:idx val="4"/>
              <c:layout>
                <c:manualLayout>
                  <c:x val="-0.17642620173514939"/>
                  <c:y val="-0.109303184717265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64A-48EA-AB48-8C2DCD1176C3}"/>
                </c:ext>
              </c:extLst>
            </c:dLbl>
            <c:dLbl>
              <c:idx val="5"/>
              <c:layout>
                <c:manualLayout>
                  <c:x val="2.5644513855256268E-3"/>
                  <c:y val="-9.15596291060748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64A-48EA-AB48-8C2DCD1176C3}"/>
                </c:ext>
              </c:extLst>
            </c:dLbl>
            <c:dLbl>
              <c:idx val="6"/>
              <c:layout>
                <c:manualLayout>
                  <c:x val="8.9158309254190493E-2"/>
                  <c:y val="-8.27501351008906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64A-48EA-AB48-8C2DCD1176C3}"/>
                </c:ext>
              </c:extLst>
            </c:dLbl>
            <c:dLbl>
              <c:idx val="7"/>
              <c:layout>
                <c:manualLayout>
                  <c:x val="0.18935184933258603"/>
                  <c:y val="-0.1241187910836465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64A-48EA-AB48-8C2DCD1176C3}"/>
                </c:ext>
              </c:extLst>
            </c:dLbl>
            <c:dLbl>
              <c:idx val="8"/>
              <c:layout>
                <c:manualLayout>
                  <c:x val="0.29535630782848749"/>
                  <c:y val="-6.16402011400378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64A-48EA-AB48-8C2DCD1176C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2781.04545375001</c:v>
                </c:pt>
                <c:pt idx="1">
                  <c:v>562.10466925000401</c:v>
                </c:pt>
                <c:pt idx="2">
                  <c:v>1121.7501733900008</c:v>
                </c:pt>
                <c:pt idx="3">
                  <c:v>841.56402075000096</c:v>
                </c:pt>
                <c:pt idx="4">
                  <c:v>6.2272273999974459</c:v>
                </c:pt>
                <c:pt idx="5">
                  <c:v>105.33354155000006</c:v>
                </c:pt>
                <c:pt idx="6">
                  <c:v>124.95500787000014</c:v>
                </c:pt>
                <c:pt idx="7">
                  <c:v>68.344928510001182</c:v>
                </c:pt>
                <c:pt idx="8">
                  <c:v>47.032641595450514</c:v>
                </c:pt>
              </c:numCache>
            </c:numRef>
          </c:val>
          <c:extLst>
            <c:ext xmlns:c16="http://schemas.microsoft.com/office/drawing/2014/chart" uri="{C3380CC4-5D6E-409C-BE32-E72D297353CC}">
              <c16:uniqueId val="{00000012-764A-48EA-AB48-8C2DCD1176C3}"/>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9.29054054054054E-2"/>
          <c:w val="0.84944393037344834"/>
          <c:h val="0.77690000532028092"/>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0-90A6-4228-8A54-C4DCA8BB76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8872.9790806299989</c:v>
                </c:pt>
                <c:pt idx="1">
                  <c:v>5745.5983170399995</c:v>
                </c:pt>
                <c:pt idx="2">
                  <c:v>8362.7970206299997</c:v>
                </c:pt>
                <c:pt idx="3">
                  <c:v>9840.6096628399973</c:v>
                </c:pt>
                <c:pt idx="4">
                  <c:v>6859.1234189500001</c:v>
                </c:pt>
                <c:pt idx="5">
                  <c:v>6571.6951793400003</c:v>
                </c:pt>
                <c:pt idx="6">
                  <c:v>11110.409447439999</c:v>
                </c:pt>
              </c:numCache>
            </c:numRef>
          </c:val>
          <c:extLst>
            <c:ext xmlns:c16="http://schemas.microsoft.com/office/drawing/2014/chart" uri="{C3380CC4-5D6E-409C-BE32-E72D297353CC}">
              <c16:uniqueId val="{00000001-90A6-4228-8A54-C4DCA8BB7685}"/>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2-90A6-4228-8A54-C4DCA8BB7685}"/>
                </c:ext>
              </c:extLst>
            </c:dLbl>
            <c:dLbl>
              <c:idx val="2"/>
              <c:delete val="1"/>
              <c:extLst>
                <c:ext xmlns:c15="http://schemas.microsoft.com/office/drawing/2012/chart" uri="{CE6537A1-D6FC-4f65-9D91-7224C49458BB}"/>
                <c:ext xmlns:c16="http://schemas.microsoft.com/office/drawing/2014/chart" uri="{C3380CC4-5D6E-409C-BE32-E72D297353CC}">
                  <c16:uniqueId val="{00000003-90A6-4228-8A54-C4DCA8BB7685}"/>
                </c:ext>
              </c:extLst>
            </c:dLbl>
            <c:dLbl>
              <c:idx val="3"/>
              <c:delete val="1"/>
              <c:extLst>
                <c:ext xmlns:c15="http://schemas.microsoft.com/office/drawing/2012/chart" uri="{CE6537A1-D6FC-4f65-9D91-7224C49458BB}"/>
                <c:ext xmlns:c16="http://schemas.microsoft.com/office/drawing/2014/chart" uri="{C3380CC4-5D6E-409C-BE32-E72D297353CC}">
                  <c16:uniqueId val="{00000004-90A6-4228-8A54-C4DCA8BB7685}"/>
                </c:ext>
              </c:extLst>
            </c:dLbl>
            <c:dLbl>
              <c:idx val="4"/>
              <c:delete val="1"/>
              <c:extLst>
                <c:ext xmlns:c15="http://schemas.microsoft.com/office/drawing/2012/chart" uri="{CE6537A1-D6FC-4f65-9D91-7224C49458BB}"/>
                <c:ext xmlns:c16="http://schemas.microsoft.com/office/drawing/2014/chart" uri="{C3380CC4-5D6E-409C-BE32-E72D297353CC}">
                  <c16:uniqueId val="{00000005-90A6-4228-8A54-C4DCA8BB7685}"/>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A6-4228-8A54-C4DCA8BB7685}"/>
                </c:ext>
              </c:extLst>
            </c:dLbl>
            <c:dLbl>
              <c:idx val="6"/>
              <c:delete val="1"/>
              <c:extLst>
                <c:ext xmlns:c15="http://schemas.microsoft.com/office/drawing/2012/chart" uri="{CE6537A1-D6FC-4f65-9D91-7224C49458BB}"/>
                <c:ext xmlns:c16="http://schemas.microsoft.com/office/drawing/2014/chart" uri="{C3380CC4-5D6E-409C-BE32-E72D297353CC}">
                  <c16:uniqueId val="{00000007-90A6-4228-8A54-C4DCA8BB7685}"/>
                </c:ext>
              </c:extLst>
            </c:dLbl>
            <c:dLbl>
              <c:idx val="7"/>
              <c:layout>
                <c:manualLayout>
                  <c:x val="-4.9091524447594223E-2"/>
                  <c:y val="-0.11871110584968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A6-4228-8A54-C4DCA8BB7685}"/>
                </c:ext>
              </c:extLst>
            </c:dLbl>
            <c:dLbl>
              <c:idx val="8"/>
              <c:layout>
                <c:manualLayout>
                  <c:x val="-8.8651880110259568E-2"/>
                  <c:y val="8.1140570017821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A6-4228-8A54-C4DCA8BB7685}"/>
                </c:ext>
              </c:extLst>
            </c:dLbl>
            <c:dLbl>
              <c:idx val="9"/>
              <c:layout>
                <c:manualLayout>
                  <c:x val="-7.3862609862098194E-2"/>
                  <c:y val="-6.2589207227956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0A6-4228-8A54-C4DCA8BB7685}"/>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0A6-4228-8A54-C4DCA8BB7685}"/>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0A6-4228-8A54-C4DCA8BB76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6">
                  <c:v>11110.409447439999</c:v>
                </c:pt>
                <c:pt idx="7">
                  <c:v>6220.8452350548114</c:v>
                </c:pt>
                <c:pt idx="8">
                  <c:v>5949.6605901739276</c:v>
                </c:pt>
                <c:pt idx="9">
                  <c:v>9782.433507853124</c:v>
                </c:pt>
                <c:pt idx="10">
                  <c:v>6232.8424795382625</c:v>
                </c:pt>
                <c:pt idx="11">
                  <c:v>6356.9937245753199</c:v>
                </c:pt>
              </c:numCache>
            </c:numRef>
          </c:val>
          <c:smooth val="1"/>
          <c:extLst>
            <c:ext xmlns:c16="http://schemas.microsoft.com/office/drawing/2014/chart" uri="{C3380CC4-5D6E-409C-BE32-E72D297353CC}">
              <c16:uniqueId val="{0000000D-90A6-4228-8A54-C4DCA8BB7685}"/>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59120488708799779"/>
          <c:y val="0.74998384243009864"/>
          <c:w val="0.4087951129120021"/>
          <c:h val="0.1155192594168972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0.14213083954318043"/>
          <c:w val="0.90205628106458469"/>
          <c:h val="0.67186369198548757"/>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C4-4FB0-BEDD-4E661130F10C}"/>
                </c:ext>
              </c:extLst>
            </c:dLbl>
            <c:dLbl>
              <c:idx val="1"/>
              <c:layout>
                <c:manualLayout>
                  <c:x val="0"/>
                  <c:y val="1.65549396959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C4-4FB0-BEDD-4E661130F10C}"/>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C4-4FB0-BEDD-4E661130F10C}"/>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C4-4FB0-BEDD-4E661130F10C}"/>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C4-4FB0-BEDD-4E661130F10C}"/>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C4-4FB0-BEDD-4E661130F10C}"/>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C4-4FB0-BEDD-4E661130F10C}"/>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C4-4FB0-BEDD-4E661130F10C}"/>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C4-4FB0-BEDD-4E661130F10C}"/>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C4-4FB0-BEDD-4E661130F10C}"/>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C4-4FB0-BEDD-4E661130F10C}"/>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numCache>
            </c:numRef>
          </c:val>
          <c:extLst>
            <c:ext xmlns:c16="http://schemas.microsoft.com/office/drawing/2014/chart" uri="{C3380CC4-5D6E-409C-BE32-E72D297353CC}">
              <c16:uniqueId val="{0000000B-35C4-4FB0-BEDD-4E661130F10C}"/>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C4-4FB0-BEDD-4E661130F10C}"/>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C4-4FB0-BEDD-4E661130F10C}"/>
                </c:ext>
              </c:extLst>
            </c:dLbl>
            <c:dLbl>
              <c:idx val="3"/>
              <c:layout>
                <c:manualLayout>
                  <c:x val="-7.4260781977898566E-2"/>
                  <c:y val="3.767847372552756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E-35C4-4FB0-BEDD-4E661130F10C}"/>
                </c:ext>
              </c:extLst>
            </c:dLbl>
            <c:dLbl>
              <c:idx val="4"/>
              <c:layout>
                <c:manualLayout>
                  <c:x val="-7.4569350417913585E-2"/>
                  <c:y val="5.097723434117568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F-35C4-4FB0-BEDD-4E661130F10C}"/>
                </c:ext>
              </c:extLst>
            </c:dLbl>
            <c:dLbl>
              <c:idx val="5"/>
              <c:layout>
                <c:manualLayout>
                  <c:x val="-7.1769571239019475E-2"/>
                  <c:y val="-3.7349953612293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5C4-4FB0-BEDD-4E661130F10C}"/>
                </c:ext>
              </c:extLst>
            </c:dLbl>
            <c:dLbl>
              <c:idx val="6"/>
              <c:layout>
                <c:manualLayout>
                  <c:x val="-7.1687441283861661E-2"/>
                  <c:y val="6.21452529914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5C4-4FB0-BEDD-4E661130F10C}"/>
                </c:ext>
              </c:extLst>
            </c:dLbl>
            <c:dLbl>
              <c:idx val="7"/>
              <c:layout>
                <c:manualLayout>
                  <c:x val="-5.3357502973998751E-2"/>
                  <c:y val="2.91818674279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5C4-4FB0-BEDD-4E661130F10C}"/>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5C4-4FB0-BEDD-4E661130F10C}"/>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5C4-4FB0-BEDD-4E661130F10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35C4-4FB0-BEDD-4E661130F10C}"/>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50346127398281859"/>
          <c:y val="4.1300392015905282E-2"/>
          <c:w val="0.49098850053815213"/>
          <c:h val="9.649319869253146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57-4779-A30A-F0A7C82B5D3C}"/>
                </c:ext>
              </c:extLst>
            </c:dLbl>
            <c:dLbl>
              <c:idx val="1"/>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57-4779-A30A-F0A7C82B5D3C}"/>
                </c:ext>
              </c:extLst>
            </c:dLbl>
            <c:dLbl>
              <c:idx val="2"/>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57-4779-A30A-F0A7C82B5D3C}"/>
                </c:ext>
              </c:extLst>
            </c:dLbl>
            <c:dLbl>
              <c:idx val="3"/>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57-4779-A30A-F0A7C82B5D3C}"/>
                </c:ext>
              </c:extLst>
            </c:dLbl>
            <c:dLbl>
              <c:idx val="4"/>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57-4779-A30A-F0A7C82B5D3C}"/>
                </c:ext>
              </c:extLst>
            </c:dLbl>
            <c:dLbl>
              <c:idx val="5"/>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57-4779-A30A-F0A7C82B5D3C}"/>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57-4779-A30A-F0A7C82B5D3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Remuneraciones </c:v>
                </c:pt>
                <c:pt idx="6">
                  <c:v>Bienes y servicios </c:v>
                </c:pt>
              </c:strCache>
            </c:strRef>
          </c:cat>
          <c:val>
            <c:numRef>
              <c:f>Sheet1!$B$2:$B$8</c:f>
              <c:numCache>
                <c:formatCode>#,##0.0</c:formatCode>
                <c:ptCount val="7"/>
                <c:pt idx="0">
                  <c:v>4056.3039417300006</c:v>
                </c:pt>
                <c:pt idx="1">
                  <c:v>135.96123393000016</c:v>
                </c:pt>
                <c:pt idx="2">
                  <c:v>473.15698474999954</c:v>
                </c:pt>
                <c:pt idx="3">
                  <c:v>265.33382176999999</c:v>
                </c:pt>
                <c:pt idx="4">
                  <c:v>1081.6761913199989</c:v>
                </c:pt>
                <c:pt idx="5">
                  <c:v>815.04560080000374</c:v>
                </c:pt>
                <c:pt idx="6">
                  <c:v>318.26974498000163</c:v>
                </c:pt>
              </c:numCache>
            </c:numRef>
          </c:val>
          <c:extLst>
            <c:ext xmlns:c16="http://schemas.microsoft.com/office/drawing/2014/chart" uri="{C3380CC4-5D6E-409C-BE32-E72D297353CC}">
              <c16:uniqueId val="{00000007-6F57-4779-A30A-F0A7C82B5D3C}"/>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57-4779-A30A-F0A7C82B5D3C}"/>
                </c:ext>
              </c:extLst>
            </c:dLbl>
            <c:dLbl>
              <c:idx val="1"/>
              <c:layout>
                <c:manualLayout>
                  <c:x val="-9.0377725154295244E-17"/>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57-4779-A30A-F0A7C82B5D3C}"/>
                </c:ext>
              </c:extLst>
            </c:dLbl>
            <c:dLbl>
              <c:idx val="2"/>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57-4779-A30A-F0A7C82B5D3C}"/>
                </c:ext>
              </c:extLst>
            </c:dLbl>
            <c:dLbl>
              <c:idx val="3"/>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57-4779-A30A-F0A7C82B5D3C}"/>
                </c:ext>
              </c:extLst>
            </c:dLbl>
            <c:dLbl>
              <c:idx val="4"/>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57-4779-A30A-F0A7C82B5D3C}"/>
                </c:ext>
              </c:extLst>
            </c:dLbl>
            <c:dLbl>
              <c:idx val="5"/>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57-4779-A30A-F0A7C82B5D3C}"/>
                </c:ext>
              </c:extLst>
            </c:dLbl>
            <c:dLbl>
              <c:idx val="6"/>
              <c:layout>
                <c:manualLayout>
                  <c:x val="6.20954547307163E-3"/>
                  <c:y val="-1.536224638586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57-4779-A30A-F0A7C82B5D3C}"/>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57-4779-A30A-F0A7C82B5D3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Prestaciones a la S.S</c:v>
                </c:pt>
                <c:pt idx="2">
                  <c:v>Intereses </c:v>
                </c:pt>
                <c:pt idx="3">
                  <c:v>Inversión Real Directa</c:v>
                </c:pt>
                <c:pt idx="4">
                  <c:v>Trans. De Capital</c:v>
                </c:pt>
                <c:pt idx="5">
                  <c:v>Remuneraciones </c:v>
                </c:pt>
                <c:pt idx="6">
                  <c:v>Bienes y servicios </c:v>
                </c:pt>
              </c:strCache>
            </c:strRef>
          </c:cat>
          <c:val>
            <c:numRef>
              <c:f>Sheet1!$C$2:$C$8</c:f>
              <c:numCache>
                <c:formatCode>#,##0.0</c:formatCode>
                <c:ptCount val="7"/>
                <c:pt idx="0">
                  <c:v>382.36601407999842</c:v>
                </c:pt>
                <c:pt idx="1">
                  <c:v>589.38997558999972</c:v>
                </c:pt>
                <c:pt idx="2">
                  <c:v>612.84910071000104</c:v>
                </c:pt>
                <c:pt idx="3">
                  <c:v>1042.1265309299999</c:v>
                </c:pt>
                <c:pt idx="4">
                  <c:v>1084.7349770600013</c:v>
                </c:pt>
                <c:pt idx="5">
                  <c:v>1518.7754028699965</c:v>
                </c:pt>
                <c:pt idx="6">
                  <c:v>3112.1448985299994</c:v>
                </c:pt>
              </c:numCache>
            </c:numRef>
          </c:val>
          <c:extLst>
            <c:ext xmlns:c16="http://schemas.microsoft.com/office/drawing/2014/chart" uri="{C3380CC4-5D6E-409C-BE32-E72D297353CC}">
              <c16:uniqueId val="{00000010-6F57-4779-A30A-F0A7C82B5D3C}"/>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4500"/>
          <c:min val="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453059648046829"/>
          <c:y val="0.2932712577594467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4512</Words>
  <Characters>24818</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INFORME DE LAS FINANZAS PÚBLICAS</vt:lpstr>
    </vt:vector>
  </TitlesOfParts>
  <Company>mINISTERIO DE fiNANZAS PÚBLICAS</Company>
  <LinksUpToDate>false</LinksUpToDate>
  <CharactersWithSpaces>29272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JUlIO 2023</dc:subject>
  <dc:creator>dIRECCIÓN DE ANÁLISIS Y POLÍTICA FISCAL</dc:creator>
  <cp:keywords/>
  <dc:description/>
  <cp:lastModifiedBy>Saul Enrique De León Meneses</cp:lastModifiedBy>
  <cp:revision>4</cp:revision>
  <cp:lastPrinted>2022-07-08T22:37:00Z</cp:lastPrinted>
  <dcterms:created xsi:type="dcterms:W3CDTF">2023-09-22T13:53:00Z</dcterms:created>
  <dcterms:modified xsi:type="dcterms:W3CDTF">2023-09-22T13:59:00Z</dcterms:modified>
</cp:coreProperties>
</file>