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12416693"/>
        <w:docPartObj>
          <w:docPartGallery w:val="Cover Pages"/>
          <w:docPartUnique/>
        </w:docPartObj>
      </w:sdtPr>
      <w:sdtEndPr>
        <w:rPr>
          <w:rFonts w:ascii="Times New Roman" w:hAnsi="Times New Roman" w:cs="Times New Roman"/>
        </w:rPr>
      </w:sdtEndPr>
      <w:sdtContent>
        <w:p w14:paraId="3F2A319A" w14:textId="08BEE68E" w:rsidR="00037122" w:rsidRDefault="00037122">
          <w:r>
            <w:rPr>
              <w:noProof/>
            </w:rPr>
            <mc:AlternateContent>
              <mc:Choice Requires="wps">
                <w:drawing>
                  <wp:anchor distT="0" distB="0" distL="114300" distR="114300" simplePos="0" relativeHeight="251659264" behindDoc="0" locked="0" layoutInCell="1" allowOverlap="1" wp14:anchorId="594BA68E" wp14:editId="387FA64F">
                    <wp:simplePos x="0" y="0"/>
                    <wp:positionH relativeFrom="page">
                      <wp:posOffset>35626</wp:posOffset>
                    </wp:positionH>
                    <wp:positionV relativeFrom="page">
                      <wp:posOffset>1033153</wp:posOffset>
                    </wp:positionV>
                    <wp:extent cx="7030192" cy="217318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030192" cy="217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4BA68E" id="_x0000_t202" coordsize="21600,21600" o:spt="202" path="m,l,21600r21600,l21600,xe">
                    <v:stroke joinstyle="miter"/>
                    <v:path gradientshapeok="t" o:connecttype="rect"/>
                  </v:shapetype>
                  <v:shape id="Cuadro de texto 154" o:spid="_x0000_s1026" type="#_x0000_t202" style="position:absolute;margin-left:2.8pt;margin-top:81.35pt;width:553.55pt;height:17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" filled="f" stroked="f" strokeweight=".5pt">
                    <v:textbox inset="126pt,0,54pt,0">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g">
                <w:drawing>
                  <wp:anchor distT="0" distB="0" distL="114300" distR="114300" simplePos="0" relativeHeight="251662336" behindDoc="0" locked="0" layoutInCell="1" allowOverlap="1" wp14:anchorId="50BDC2E0" wp14:editId="3441FF7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CD2EDD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61AFB45B" w14:textId="1B2EEC9C" w:rsidR="00037122" w:rsidRDefault="00037122">
          <w:pPr>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42DB87A6" wp14:editId="13C31D67">
                    <wp:simplePos x="0" y="0"/>
                    <wp:positionH relativeFrom="page">
                      <wp:posOffset>121825</wp:posOffset>
                    </wp:positionH>
                    <wp:positionV relativeFrom="page">
                      <wp:posOffset>5046980</wp:posOffset>
                    </wp:positionV>
                    <wp:extent cx="6650182" cy="1009650"/>
                    <wp:effectExtent l="0" t="0" r="0" b="1397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6650182"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42DB87A6" id="Cuadro de texto 153" o:spid="_x0000_s1027" type="#_x0000_t202" style="position:absolute;margin-left:9.6pt;margin-top:397.4pt;width:523.6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" filled="f" stroked="f" strokeweight=".5pt">
                    <v:textbox style="mso-fit-shape-to-text:t" inset="126pt,0,54pt,0">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C5E45E2" wp14:editId="6E04C2B2">
                    <wp:simplePos x="0" y="0"/>
                    <wp:positionH relativeFrom="page">
                      <wp:posOffset>35626</wp:posOffset>
                    </wp:positionH>
                    <wp:positionV relativeFrom="page">
                      <wp:posOffset>8182099</wp:posOffset>
                    </wp:positionV>
                    <wp:extent cx="6852062"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68520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1F5784F3" w:rsidR="00037122" w:rsidRPr="0050080E" w:rsidRDefault="00037122" w:rsidP="00037122">
                                    <w:pPr>
                                      <w:pStyle w:val="Sinespaciado"/>
                                      <w:jc w:val="center"/>
                                      <w:rPr>
                                        <w:rFonts w:ascii="Times New Roman" w:hAnsi="Times New Roman" w:cs="Times New Roman"/>
                                        <w:color w:val="1F3864" w:themeColor="accent1" w:themeShade="80"/>
                                        <w:sz w:val="28"/>
                                        <w:szCs w:val="28"/>
                                      </w:rPr>
                                    </w:pPr>
                                    <w:r w:rsidRPr="0050080E">
                                      <w:rPr>
                                        <w:rFonts w:ascii="Times New Roman" w:hAnsi="Times New Roman" w:cs="Times New Roman"/>
                                        <w:color w:val="1F3864" w:themeColor="accent1" w:themeShade="80"/>
                                        <w:sz w:val="28"/>
                                        <w:szCs w:val="28"/>
                                      </w:rPr>
                                      <w:t>Enero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C82DA1">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1C5E45E2" id="Cuadro de texto 152" o:spid="_x0000_s1028" type="#_x0000_t202" style="position:absolute;margin-left:2.8pt;margin-top:644.25pt;width:539.55pt;height:1in;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" filled="f" stroked="f" strokeweight=".5pt">
                    <v:textbox inset="126pt,0,54pt,0">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1F5784F3" w:rsidR="00037122" w:rsidRPr="0050080E" w:rsidRDefault="00037122" w:rsidP="00037122">
                              <w:pPr>
                                <w:pStyle w:val="Sinespaciado"/>
                                <w:jc w:val="center"/>
                                <w:rPr>
                                  <w:rFonts w:ascii="Times New Roman" w:hAnsi="Times New Roman" w:cs="Times New Roman"/>
                                  <w:color w:val="1F3864" w:themeColor="accent1" w:themeShade="80"/>
                                  <w:sz w:val="28"/>
                                  <w:szCs w:val="28"/>
                                </w:rPr>
                              </w:pPr>
                              <w:r w:rsidRPr="0050080E">
                                <w:rPr>
                                  <w:rFonts w:ascii="Times New Roman" w:hAnsi="Times New Roman" w:cs="Times New Roman"/>
                                  <w:color w:val="1F3864" w:themeColor="accent1" w:themeShade="80"/>
                                  <w:sz w:val="28"/>
                                  <w:szCs w:val="28"/>
                                </w:rPr>
                                <w:t>Enero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C82DA1">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v:textbox>
                    <w10:wrap type="square" anchorx="page" anchory="page"/>
                  </v:shape>
                </w:pict>
              </mc:Fallback>
            </mc:AlternateContent>
          </w:r>
          <w:r>
            <w:rPr>
              <w:rFonts w:ascii="Times New Roman" w:hAnsi="Times New Roman" w:cs="Times New Roman"/>
            </w:rPr>
            <w:br w:type="page"/>
          </w:r>
        </w:p>
      </w:sdtContent>
    </w:sdt>
    <w:p w14:paraId="13F7EF6C" w14:textId="1B96839A" w:rsidR="00587CDB" w:rsidRPr="00BC3291" w:rsidRDefault="00BC3291" w:rsidP="00A7169E">
      <w:pPr>
        <w:shd w:val="clear" w:color="auto" w:fill="1F3864" w:themeFill="accent1" w:themeFillShade="80"/>
        <w:spacing w:after="0"/>
        <w:jc w:val="center"/>
        <w:rPr>
          <w:rFonts w:ascii="Times New Roman" w:hAnsi="Times New Roman" w:cs="Times New Roman"/>
          <w:b/>
          <w:bCs/>
        </w:rPr>
      </w:pPr>
      <w:r w:rsidRPr="00BC3291">
        <w:rPr>
          <w:rFonts w:ascii="Times New Roman" w:hAnsi="Times New Roman" w:cs="Times New Roman"/>
          <w:b/>
          <w:bCs/>
        </w:rPr>
        <w:lastRenderedPageBreak/>
        <w:t xml:space="preserve">Superávit fiscal </w:t>
      </w:r>
      <w:r w:rsidR="00B93E46">
        <w:rPr>
          <w:rFonts w:ascii="Times New Roman" w:hAnsi="Times New Roman" w:cs="Times New Roman"/>
          <w:b/>
          <w:bCs/>
        </w:rPr>
        <w:t>e</w:t>
      </w:r>
      <w:r w:rsidRPr="00BC3291">
        <w:rPr>
          <w:rFonts w:ascii="Times New Roman" w:hAnsi="Times New Roman" w:cs="Times New Roman"/>
          <w:b/>
          <w:bCs/>
        </w:rPr>
        <w:t>n el primer mes del año</w:t>
      </w:r>
    </w:p>
    <w:p w14:paraId="7F667E84" w14:textId="77777777" w:rsidR="00BC3291" w:rsidRDefault="00BC3291" w:rsidP="00A7169E">
      <w:pPr>
        <w:spacing w:after="0" w:line="240" w:lineRule="auto"/>
        <w:sectPr w:rsidR="00BC3291" w:rsidSect="00037122">
          <w:headerReference w:type="default" r:id="rId11"/>
          <w:footerReference w:type="default" r:id="rId12"/>
          <w:pgSz w:w="12240" w:h="15840"/>
          <w:pgMar w:top="1417" w:right="1701" w:bottom="1417" w:left="1701" w:header="708" w:footer="708" w:gutter="0"/>
          <w:pgNumType w:start="0"/>
          <w:cols w:space="708"/>
          <w:titlePg/>
          <w:docGrid w:linePitch="360"/>
        </w:sectPr>
      </w:pPr>
    </w:p>
    <w:p w14:paraId="07754E5B" w14:textId="77777777" w:rsidR="00BC3291" w:rsidRDefault="00BC3291" w:rsidP="00A7169E">
      <w:pPr>
        <w:spacing w:after="0" w:line="240" w:lineRule="auto"/>
        <w:sectPr w:rsidR="00BC3291" w:rsidSect="00BC3291">
          <w:type w:val="continuous"/>
          <w:pgSz w:w="12240" w:h="15840"/>
          <w:pgMar w:top="1417" w:right="1701" w:bottom="1417" w:left="1701" w:header="708" w:footer="708" w:gutter="0"/>
          <w:cols w:space="708"/>
          <w:docGrid w:linePitch="360"/>
        </w:sectPr>
      </w:pPr>
    </w:p>
    <w:p w14:paraId="01470929" w14:textId="77777777" w:rsidR="00A7169E" w:rsidRPr="00A7169E" w:rsidRDefault="00A7169E" w:rsidP="00A7169E">
      <w:pPr>
        <w:spacing w:after="0" w:line="240" w:lineRule="auto"/>
        <w:jc w:val="both"/>
        <w:rPr>
          <w:rFonts w:ascii="Times New Roman" w:hAnsi="Times New Roman" w:cs="Times New Roman"/>
        </w:rPr>
      </w:pPr>
      <w:r w:rsidRPr="00A7169E">
        <w:rPr>
          <w:rFonts w:ascii="Times New Roman" w:hAnsi="Times New Roman" w:cs="Times New Roman"/>
        </w:rPr>
        <w:t xml:space="preserve">El resultado presupuestario del gobierno muestra un superávit fiscal, al 31 de enero de 2024, de Q2,163.2 millones, equivalente al 0.3% del PIB. En los tres años anteriores (2021-2023) a la misma fecha también se reportaba superávit fiscal, el cual es habitual en el primes mes del año. </w:t>
      </w:r>
    </w:p>
    <w:p w14:paraId="1D3710EF" w14:textId="77777777" w:rsidR="00A7169E" w:rsidRPr="00A7169E" w:rsidRDefault="00A7169E" w:rsidP="00A7169E">
      <w:pPr>
        <w:spacing w:after="0" w:line="240" w:lineRule="auto"/>
        <w:jc w:val="both"/>
        <w:rPr>
          <w:rFonts w:ascii="Times New Roman" w:hAnsi="Times New Roman" w:cs="Times New Roman"/>
        </w:rPr>
      </w:pPr>
    </w:p>
    <w:p w14:paraId="64916CA7" w14:textId="77777777" w:rsidR="00A7169E" w:rsidRPr="00A7169E" w:rsidRDefault="00A7169E" w:rsidP="00A7169E">
      <w:pPr>
        <w:spacing w:after="0" w:line="240" w:lineRule="auto"/>
        <w:jc w:val="both"/>
        <w:rPr>
          <w:rFonts w:ascii="Times New Roman" w:hAnsi="Times New Roman" w:cs="Times New Roman"/>
        </w:rPr>
      </w:pPr>
      <w:r w:rsidRPr="00A7169E">
        <w:rPr>
          <w:rFonts w:ascii="Times New Roman" w:hAnsi="Times New Roman" w:cs="Times New Roman"/>
        </w:rPr>
        <w:t xml:space="preserve">Del lado de los ingresos, se observa que la recaudación continúa con la inercia que traía en años anteriores, siendo muy dinámica y ubicándose por arriba de la meta establecida para el mes, aunque hay que tomar en cuenta que dicha meta responde a la del ejercicio fiscal previo por la no aprobación del </w:t>
      </w:r>
      <w:r w:rsidRPr="00A7169E">
        <w:rPr>
          <w:rFonts w:ascii="Times New Roman" w:hAnsi="Times New Roman" w:cs="Times New Roman"/>
        </w:rPr>
        <w:t xml:space="preserve">presupuesto de ingresos y egresos del ejercicio fiscal 2024. </w:t>
      </w:r>
    </w:p>
    <w:p w14:paraId="3A02211E" w14:textId="77777777" w:rsidR="00A7169E" w:rsidRPr="00A7169E" w:rsidRDefault="00A7169E" w:rsidP="00A7169E">
      <w:pPr>
        <w:spacing w:after="0" w:line="240" w:lineRule="auto"/>
        <w:jc w:val="both"/>
        <w:rPr>
          <w:rFonts w:ascii="Times New Roman" w:hAnsi="Times New Roman" w:cs="Times New Roman"/>
        </w:rPr>
      </w:pPr>
    </w:p>
    <w:p w14:paraId="02BF859C" w14:textId="7EBD40FB" w:rsidR="00BC3291" w:rsidRPr="00BC3291" w:rsidRDefault="00A7169E" w:rsidP="00A7169E">
      <w:pPr>
        <w:spacing w:after="0" w:line="240" w:lineRule="auto"/>
        <w:jc w:val="both"/>
        <w:rPr>
          <w:rFonts w:ascii="Times New Roman" w:hAnsi="Times New Roman" w:cs="Times New Roman"/>
        </w:rPr>
      </w:pPr>
      <w:r w:rsidRPr="00A7169E">
        <w:rPr>
          <w:rFonts w:ascii="Times New Roman" w:hAnsi="Times New Roman" w:cs="Times New Roman"/>
        </w:rPr>
        <w:t>Mientras que, del lado del gasto público, existe una desaceleración en la ejecución, aunque esto es recurrente en el primer año de una nueva administración pública, dado que existen cambios importantes a nivel de autoridades superiores, equipos técnicos y unidades ejecutoras en las entidades, adicionalmente, la no aprobación del presupuesto inviabiliza la ejecución de algunas partidas presupuestarias que respondían a los requerimientos del ejercicio fiscal previo, con lo cual se hace necesario realizar reorientaciones presupuestarias.</w:t>
      </w:r>
    </w:p>
    <w:p w14:paraId="276F9469" w14:textId="77777777" w:rsidR="00BC3291" w:rsidRDefault="00BC3291" w:rsidP="00A7169E">
      <w:pPr>
        <w:spacing w:after="0" w:line="240" w:lineRule="auto"/>
        <w:sectPr w:rsidR="00BC3291" w:rsidSect="00BC3291">
          <w:type w:val="continuous"/>
          <w:pgSz w:w="12240" w:h="15840"/>
          <w:pgMar w:top="1417" w:right="1701" w:bottom="1417" w:left="1701" w:header="708" w:footer="708" w:gutter="0"/>
          <w:cols w:num="2" w:space="708"/>
          <w:docGrid w:linePitch="360"/>
        </w:sectPr>
      </w:pPr>
    </w:p>
    <w:p w14:paraId="7979C47C" w14:textId="77777777" w:rsidR="00BC3291" w:rsidRDefault="00BC3291" w:rsidP="00A7169E">
      <w:pPr>
        <w:spacing w:after="0" w:line="240" w:lineRule="auto"/>
      </w:pPr>
    </w:p>
    <w:p w14:paraId="00F25F49" w14:textId="77777777" w:rsidR="00BC3291" w:rsidRDefault="00BC3291" w:rsidP="00BC3291">
      <w:pPr>
        <w:spacing w:after="0"/>
        <w:sectPr w:rsidR="00BC3291" w:rsidSect="00BC3291">
          <w:type w:val="continuous"/>
          <w:pgSz w:w="12240" w:h="15840"/>
          <w:pgMar w:top="1417" w:right="1701" w:bottom="1417" w:left="1701" w:header="708" w:footer="708" w:gutter="0"/>
          <w:cols w:space="708"/>
          <w:docGrid w:linePitch="360"/>
        </w:sectPr>
      </w:pPr>
    </w:p>
    <w:p w14:paraId="3D315FAF" w14:textId="188240A3" w:rsidR="00BC3291" w:rsidRPr="00BC3291" w:rsidRDefault="00BC3291" w:rsidP="00BC3291">
      <w:pPr>
        <w:spacing w:after="0" w:line="240" w:lineRule="auto"/>
        <w:jc w:val="center"/>
        <w:rPr>
          <w:rFonts w:ascii="Times New Roman" w:hAnsi="Times New Roman" w:cs="Times New Roman"/>
          <w:b/>
          <w:bCs/>
        </w:rPr>
      </w:pPr>
      <w:r w:rsidRPr="00BC3291">
        <w:rPr>
          <w:rFonts w:ascii="Times New Roman" w:hAnsi="Times New Roman" w:cs="Times New Roman"/>
          <w:b/>
          <w:bCs/>
        </w:rPr>
        <w:t>Resultado Presupuestario</w:t>
      </w:r>
    </w:p>
    <w:p w14:paraId="57F66602" w14:textId="0A3B1A13" w:rsidR="00BC3291" w:rsidRPr="00A7169E" w:rsidRDefault="00BC3291" w:rsidP="00BC3291">
      <w:pPr>
        <w:spacing w:after="0" w:line="240" w:lineRule="auto"/>
        <w:jc w:val="center"/>
        <w:rPr>
          <w:rFonts w:ascii="Times New Roman" w:hAnsi="Times New Roman" w:cs="Times New Roman"/>
          <w:sz w:val="20"/>
          <w:szCs w:val="20"/>
        </w:rPr>
      </w:pPr>
      <w:r w:rsidRPr="00A7169E">
        <w:rPr>
          <w:rFonts w:ascii="Times New Roman" w:hAnsi="Times New Roman" w:cs="Times New Roman"/>
          <w:sz w:val="20"/>
          <w:szCs w:val="20"/>
        </w:rPr>
        <w:t>Cifras en millones de quetzales</w:t>
      </w:r>
    </w:p>
    <w:p w14:paraId="1863FE4E" w14:textId="709AEEDC" w:rsidR="00BC3291" w:rsidRPr="00A7169E" w:rsidRDefault="00BC3291" w:rsidP="00BC3291">
      <w:pPr>
        <w:spacing w:after="0" w:line="240" w:lineRule="auto"/>
        <w:jc w:val="center"/>
        <w:rPr>
          <w:rFonts w:ascii="Times New Roman" w:hAnsi="Times New Roman" w:cs="Times New Roman"/>
          <w:sz w:val="20"/>
          <w:szCs w:val="20"/>
        </w:rPr>
      </w:pPr>
      <w:r w:rsidRPr="00A7169E">
        <w:rPr>
          <w:rFonts w:ascii="Times New Roman" w:hAnsi="Times New Roman" w:cs="Times New Roman"/>
          <w:sz w:val="20"/>
          <w:szCs w:val="20"/>
        </w:rPr>
        <w:t>Al 31 de enero de cada año</w:t>
      </w:r>
    </w:p>
    <w:p w14:paraId="016878F9" w14:textId="41B37374" w:rsidR="00BC3291" w:rsidRPr="00BC3291" w:rsidRDefault="00A7169E" w:rsidP="00BC3291">
      <w:pPr>
        <w:spacing w:after="0" w:line="240" w:lineRule="auto"/>
        <w:rPr>
          <w:rFonts w:ascii="Times New Roman" w:hAnsi="Times New Roman" w:cs="Times New Roman"/>
        </w:rPr>
      </w:pPr>
      <w:r w:rsidRPr="00C1685B">
        <w:rPr>
          <w:rFonts w:ascii="Times New Roman" w:hAnsi="Times New Roman" w:cs="Times New Roman"/>
          <w:noProof/>
          <w:color w:val="FF0000"/>
          <w:lang w:val="es-MX"/>
        </w:rPr>
        <w:drawing>
          <wp:inline distT="0" distB="0" distL="0" distR="0" wp14:anchorId="6257E449" wp14:editId="761ED3A3">
            <wp:extent cx="5588635" cy="2053988"/>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DEEC53" w14:textId="6B57ED95" w:rsidR="00BC3291" w:rsidRPr="00BC3291" w:rsidRDefault="00BC3291" w:rsidP="00BC3291">
      <w:pPr>
        <w:spacing w:after="0" w:line="240" w:lineRule="auto"/>
        <w:rPr>
          <w:rFonts w:ascii="Times New Roman" w:hAnsi="Times New Roman" w:cs="Times New Roman"/>
          <w:sz w:val="14"/>
          <w:szCs w:val="14"/>
        </w:rPr>
      </w:pPr>
      <w:r w:rsidRPr="00BC3291">
        <w:rPr>
          <w:rFonts w:ascii="Times New Roman" w:hAnsi="Times New Roman" w:cs="Times New Roman"/>
          <w:sz w:val="14"/>
          <w:szCs w:val="14"/>
        </w:rPr>
        <w:t>Fuente:  Dirección de Análisis y Política Fiscal.</w:t>
      </w:r>
    </w:p>
    <w:p w14:paraId="176EC388" w14:textId="0F4FEAD6" w:rsidR="00BC3291" w:rsidRPr="00BC3291" w:rsidRDefault="00BC3291" w:rsidP="00BC3291">
      <w:pPr>
        <w:spacing w:after="0" w:line="240" w:lineRule="auto"/>
        <w:rPr>
          <w:rFonts w:ascii="Times New Roman" w:hAnsi="Times New Roman" w:cs="Times New Roman"/>
        </w:rPr>
      </w:pPr>
    </w:p>
    <w:p w14:paraId="7C0002A5" w14:textId="62729E03" w:rsidR="00BC3291" w:rsidRPr="00BC3291" w:rsidRDefault="00BC3291" w:rsidP="00BC3291">
      <w:pPr>
        <w:shd w:val="clear" w:color="auto" w:fill="1F3864" w:themeFill="accent1" w:themeFillShade="80"/>
        <w:jc w:val="center"/>
        <w:rPr>
          <w:rFonts w:ascii="Times New Roman" w:hAnsi="Times New Roman" w:cs="Times New Roman"/>
          <w:b/>
          <w:bCs/>
        </w:rPr>
      </w:pPr>
      <w:r>
        <w:rPr>
          <w:rFonts w:ascii="Times New Roman" w:hAnsi="Times New Roman" w:cs="Times New Roman"/>
          <w:b/>
          <w:bCs/>
        </w:rPr>
        <w:t>Enero 2024 con dinámica positiva en la recaudación tributaria</w:t>
      </w:r>
    </w:p>
    <w:p w14:paraId="277275F2" w14:textId="77777777" w:rsidR="00BC3291" w:rsidRDefault="00BC3291" w:rsidP="00BC3291">
      <w:pPr>
        <w:sectPr w:rsidR="00BC3291" w:rsidSect="00BC3291">
          <w:type w:val="continuous"/>
          <w:pgSz w:w="12240" w:h="15840"/>
          <w:pgMar w:top="1417" w:right="1701" w:bottom="1417" w:left="1701" w:header="708" w:footer="708" w:gutter="0"/>
          <w:cols w:space="708"/>
          <w:docGrid w:linePitch="360"/>
        </w:sectPr>
      </w:pPr>
    </w:p>
    <w:p w14:paraId="28204F00" w14:textId="129085A6" w:rsidR="00037122" w:rsidRPr="00A13C5D" w:rsidRDefault="002D75EC" w:rsidP="00037122">
      <w:pPr>
        <w:spacing w:after="0" w:line="240" w:lineRule="auto"/>
        <w:jc w:val="both"/>
        <w:rPr>
          <w:rFonts w:ascii="Times New Roman" w:hAnsi="Times New Roman" w:cs="Times New Roman"/>
        </w:rPr>
      </w:pPr>
      <w:r>
        <w:rPr>
          <w:rFonts w:ascii="Times New Roman" w:hAnsi="Times New Roman" w:cs="Times New Roman"/>
        </w:rPr>
        <w:t>A</w:t>
      </w:r>
      <w:r w:rsidR="00210517" w:rsidRPr="00210517">
        <w:rPr>
          <w:rFonts w:ascii="Times New Roman" w:hAnsi="Times New Roman" w:cs="Times New Roman"/>
        </w:rPr>
        <w:t xml:space="preserve"> enero se recaud</w:t>
      </w:r>
      <w:r>
        <w:rPr>
          <w:rFonts w:ascii="Times New Roman" w:hAnsi="Times New Roman" w:cs="Times New Roman"/>
        </w:rPr>
        <w:t>aron</w:t>
      </w:r>
      <w:r w:rsidR="00210517" w:rsidRPr="00210517">
        <w:rPr>
          <w:rFonts w:ascii="Times New Roman" w:hAnsi="Times New Roman" w:cs="Times New Roman"/>
        </w:rPr>
        <w:t xml:space="preserve"> Q9,501.9 millones, monto superior a lo establecido en la meta de presupuesto fijada en Q7,969.0 millones, resaltando que dicha meta para el Ejercicio Fiscal 2024 (Q86,247.6 millones), incluyendo la recaudación esperada de otras instituciones (Regalías y Salidas del País), es la misma que la meta establecida para el Ejercicio Fiscal del 2023, con una distribución distinta.</w:t>
      </w:r>
    </w:p>
    <w:p w14:paraId="00821D55" w14:textId="10324363" w:rsidR="00A7169E" w:rsidRDefault="00210517" w:rsidP="00037122">
      <w:pPr>
        <w:spacing w:after="0" w:line="240" w:lineRule="auto"/>
        <w:jc w:val="both"/>
        <w:rPr>
          <w:rFonts w:ascii="Times New Roman" w:hAnsi="Times New Roman" w:cs="Times New Roman"/>
        </w:rPr>
      </w:pPr>
      <w:r w:rsidRPr="00210517">
        <w:rPr>
          <w:rFonts w:ascii="Times New Roman" w:hAnsi="Times New Roman" w:cs="Times New Roman"/>
        </w:rPr>
        <w:t xml:space="preserve">Los impuestos que contribuyeron en mayor cuantía para generar la brecha positiva de Q1,532.8 millones respecto a la meta de presupuesto son: el ISR con una variación </w:t>
      </w:r>
      <w:r w:rsidRPr="00210517">
        <w:rPr>
          <w:rFonts w:ascii="Times New Roman" w:hAnsi="Times New Roman" w:cs="Times New Roman"/>
        </w:rPr>
        <w:t>positiva de 12.6%, ISO con 37.4%, IVA total 18.1%, el de Circulación de Vehículos 27.0%, el IPRIMA 34.8% y el de bebidas con 29.1%.  De los impuestos no administrados por la SAT, el de Regalías e Hidrocarburos Compartibles quedó 16.4% abajo del monto establecido en el presupuesto y el Impuesto de Salidas del País superó en 5.3% la meta para enero 2024.  Los impuestos que no alcanzaron la meta mensual son: el de Derivados del Petróleo (-0.7%) y el impuesto al tabaco (-5.4%), dejando de percibir en conjunto Q4.3 millones.</w:t>
      </w:r>
      <w:r w:rsidR="00F94D30" w:rsidRPr="00F94D30">
        <w:rPr>
          <w:rFonts w:ascii="Times New Roman" w:hAnsi="Times New Roman" w:cs="Times New Roman"/>
        </w:rPr>
        <w:t xml:space="preserve">  </w:t>
      </w:r>
    </w:p>
    <w:p w14:paraId="184A8CB8" w14:textId="77777777" w:rsidR="00037122" w:rsidRPr="007D6005" w:rsidRDefault="00037122" w:rsidP="00037122">
      <w:pPr>
        <w:spacing w:after="0" w:line="240" w:lineRule="auto"/>
        <w:jc w:val="center"/>
        <w:rPr>
          <w:rFonts w:ascii="Times New Roman" w:hAnsi="Times New Roman" w:cs="Times New Roman"/>
          <w:b/>
        </w:rPr>
      </w:pPr>
      <w:r w:rsidRPr="007D6005">
        <w:rPr>
          <w:rFonts w:ascii="Times New Roman" w:hAnsi="Times New Roman" w:cs="Times New Roman"/>
          <w:b/>
        </w:rPr>
        <w:lastRenderedPageBreak/>
        <w:t>Brecha de recaudación respecto a presupuesto (enero)</w:t>
      </w:r>
    </w:p>
    <w:p w14:paraId="7F05362C" w14:textId="77777777" w:rsidR="00037122" w:rsidRPr="007D6005" w:rsidRDefault="00037122" w:rsidP="00037122">
      <w:pPr>
        <w:spacing w:after="0" w:line="240" w:lineRule="auto"/>
        <w:jc w:val="center"/>
        <w:rPr>
          <w:rFonts w:ascii="Times New Roman" w:hAnsi="Times New Roman" w:cs="Times New Roman"/>
          <w:bCs/>
          <w:sz w:val="20"/>
          <w:szCs w:val="20"/>
        </w:rPr>
      </w:pPr>
      <w:r w:rsidRPr="007D6005">
        <w:rPr>
          <w:rFonts w:ascii="Times New Roman" w:hAnsi="Times New Roman" w:cs="Times New Roman"/>
          <w:bCs/>
          <w:sz w:val="20"/>
          <w:szCs w:val="20"/>
        </w:rPr>
        <w:t>En millones de quetzales</w:t>
      </w:r>
    </w:p>
    <w:p w14:paraId="05FC3332" w14:textId="2DFFD977" w:rsidR="00037122" w:rsidRPr="0050080E" w:rsidRDefault="00516077" w:rsidP="00037122">
      <w:pPr>
        <w:spacing w:after="0" w:line="240" w:lineRule="auto"/>
        <w:jc w:val="both"/>
        <w:rPr>
          <w:rFonts w:ascii="Times New Roman" w:hAnsi="Times New Roman" w:cs="Times New Roman"/>
          <w:color w:val="FF0000"/>
        </w:rPr>
      </w:pPr>
      <w:r w:rsidRPr="00516077">
        <w:rPr>
          <w:noProof/>
        </w:rPr>
        <w:drawing>
          <wp:inline distT="0" distB="0" distL="0" distR="0" wp14:anchorId="4915A5A7" wp14:editId="0523E714">
            <wp:extent cx="2518012" cy="138146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0966" cy="1410513"/>
                    </a:xfrm>
                    <a:prstGeom prst="rect">
                      <a:avLst/>
                    </a:prstGeom>
                    <a:noFill/>
                    <a:ln>
                      <a:noFill/>
                    </a:ln>
                  </pic:spPr>
                </pic:pic>
              </a:graphicData>
            </a:graphic>
          </wp:inline>
        </w:drawing>
      </w:r>
    </w:p>
    <w:p w14:paraId="3744A65C" w14:textId="77777777" w:rsidR="00037122" w:rsidRPr="00257B7F" w:rsidRDefault="00037122" w:rsidP="00037122">
      <w:pPr>
        <w:spacing w:after="0" w:line="240" w:lineRule="auto"/>
        <w:jc w:val="both"/>
        <w:rPr>
          <w:rFonts w:ascii="Times New Roman" w:hAnsi="Times New Roman" w:cs="Times New Roman"/>
          <w:sz w:val="20"/>
          <w:szCs w:val="20"/>
        </w:rPr>
      </w:pPr>
      <w:r w:rsidRPr="00257B7F">
        <w:rPr>
          <w:rFonts w:ascii="Times New Roman" w:hAnsi="Times New Roman" w:cs="Times New Roman"/>
          <w:sz w:val="14"/>
          <w:szCs w:val="20"/>
        </w:rPr>
        <w:t>Fuente: Ministerio de Finanzas Públicas.</w:t>
      </w:r>
    </w:p>
    <w:p w14:paraId="1C09EB10" w14:textId="21938FAA" w:rsidR="00BC3291" w:rsidRPr="0050080E" w:rsidRDefault="00BC3291" w:rsidP="00BC3291">
      <w:pPr>
        <w:spacing w:after="0" w:line="240" w:lineRule="auto"/>
        <w:rPr>
          <w:rFonts w:ascii="Times New Roman" w:hAnsi="Times New Roman" w:cs="Times New Roman"/>
          <w:color w:val="FF0000"/>
        </w:rPr>
      </w:pPr>
    </w:p>
    <w:p w14:paraId="5EBB6CC5" w14:textId="77777777" w:rsidR="00210517" w:rsidRPr="00210517"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t xml:space="preserve">Las expectativas para este ejercicio 2024 son positivas y se espera que la SAT mantenga los esfuerzos para reducir las brechas de incumplimiento, y se superen los Q86,247.6 millones, que corresponden a la meta establecida en el presupuesto vigente. </w:t>
      </w:r>
    </w:p>
    <w:p w14:paraId="574899D5" w14:textId="77777777" w:rsidR="00210517" w:rsidRPr="00210517" w:rsidRDefault="00210517" w:rsidP="00210517">
      <w:pPr>
        <w:spacing w:after="0" w:line="240" w:lineRule="auto"/>
        <w:jc w:val="both"/>
        <w:rPr>
          <w:rFonts w:ascii="Times New Roman" w:hAnsi="Times New Roman" w:cs="Times New Roman"/>
        </w:rPr>
      </w:pPr>
    </w:p>
    <w:p w14:paraId="34FB2A93" w14:textId="1742592C" w:rsidR="00037122" w:rsidRPr="007D6005"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t>En la comparación interanual de la recaudación destaca que el Impuestos Sobre la Renta, el Impuesto al Tabaco y los Impuestos no administrados por SAT no alcanzaron el nivel observado en 2023, y en conjunto estos impuestos generaron una brecha negativa de Q143.6 millones respecto a lo recaudado en enero de 2023.</w:t>
      </w:r>
    </w:p>
    <w:p w14:paraId="4385DC9B" w14:textId="217DC19E" w:rsidR="00037122" w:rsidRPr="0050080E" w:rsidRDefault="00037122" w:rsidP="00BC3291">
      <w:pPr>
        <w:spacing w:after="0" w:line="240" w:lineRule="auto"/>
        <w:rPr>
          <w:rFonts w:ascii="Times New Roman" w:hAnsi="Times New Roman" w:cs="Times New Roman"/>
          <w:color w:val="FF0000"/>
        </w:rPr>
      </w:pPr>
    </w:p>
    <w:p w14:paraId="585EF995" w14:textId="77777777" w:rsidR="00037122" w:rsidRPr="00FA23AA" w:rsidRDefault="00037122" w:rsidP="00037122">
      <w:pPr>
        <w:spacing w:after="0" w:line="240" w:lineRule="auto"/>
        <w:jc w:val="center"/>
        <w:rPr>
          <w:rFonts w:ascii="Times New Roman" w:hAnsi="Times New Roman" w:cs="Times New Roman"/>
          <w:b/>
        </w:rPr>
      </w:pPr>
      <w:r w:rsidRPr="00FA23AA">
        <w:rPr>
          <w:rFonts w:ascii="Times New Roman" w:hAnsi="Times New Roman" w:cs="Times New Roman"/>
          <w:b/>
        </w:rPr>
        <w:t>Variación de la recaudación tributaria neta de enero</w:t>
      </w:r>
    </w:p>
    <w:p w14:paraId="4E99BB3E" w14:textId="77777777" w:rsidR="00037122" w:rsidRPr="00FA23AA" w:rsidRDefault="00037122" w:rsidP="00037122">
      <w:pPr>
        <w:spacing w:after="0" w:line="240" w:lineRule="auto"/>
        <w:jc w:val="center"/>
        <w:rPr>
          <w:rFonts w:ascii="Times New Roman" w:hAnsi="Times New Roman" w:cs="Times New Roman"/>
          <w:sz w:val="20"/>
        </w:rPr>
      </w:pPr>
      <w:r w:rsidRPr="00FA23AA">
        <w:rPr>
          <w:rFonts w:ascii="Times New Roman" w:hAnsi="Times New Roman" w:cs="Times New Roman"/>
          <w:sz w:val="20"/>
        </w:rPr>
        <w:t>Millones de quetzales</w:t>
      </w:r>
    </w:p>
    <w:p w14:paraId="7AB12BDC" w14:textId="697E674E" w:rsidR="00037122" w:rsidRPr="00FA23AA" w:rsidRDefault="00257B7F" w:rsidP="00037122">
      <w:pPr>
        <w:spacing w:after="0" w:line="240" w:lineRule="auto"/>
        <w:jc w:val="center"/>
        <w:rPr>
          <w:rFonts w:ascii="Times New Roman" w:hAnsi="Times New Roman" w:cs="Times New Roman"/>
          <w:sz w:val="20"/>
        </w:rPr>
      </w:pPr>
      <w:r w:rsidRPr="00FA23AA">
        <w:rPr>
          <w:noProof/>
        </w:rPr>
        <w:drawing>
          <wp:inline distT="0" distB="0" distL="0" distR="0" wp14:anchorId="314E13BF" wp14:editId="7C06BA4F">
            <wp:extent cx="2634018" cy="1664970"/>
            <wp:effectExtent l="0" t="0" r="0" b="0"/>
            <wp:docPr id="1" name="Gráfico 1">
              <a:extLst xmlns:a="http://schemas.openxmlformats.org/drawingml/2006/main">
                <a:ext uri="{FF2B5EF4-FFF2-40B4-BE49-F238E27FC236}">
                  <a16:creationId xmlns:a16="http://schemas.microsoft.com/office/drawing/2014/main" id="{56C9AC4C-7492-4B3E-B027-8FFA4C607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797DF2" w14:textId="79EC9E2A" w:rsidR="00037122" w:rsidRPr="00FA23AA" w:rsidRDefault="00037122" w:rsidP="00037122">
      <w:pPr>
        <w:spacing w:after="0" w:line="240" w:lineRule="auto"/>
        <w:rPr>
          <w:rFonts w:ascii="Times New Roman" w:hAnsi="Times New Roman" w:cs="Times New Roman"/>
        </w:rPr>
      </w:pPr>
      <w:r w:rsidRPr="00FA23AA">
        <w:rPr>
          <w:rFonts w:ascii="Times New Roman" w:hAnsi="Times New Roman" w:cs="Times New Roman"/>
          <w:sz w:val="14"/>
          <w:szCs w:val="20"/>
        </w:rPr>
        <w:t>Fuente: Ministerio de Finanzas Públicas.</w:t>
      </w:r>
    </w:p>
    <w:p w14:paraId="2395D366" w14:textId="77777777" w:rsidR="001700BD" w:rsidRDefault="001700BD" w:rsidP="00210517">
      <w:pPr>
        <w:spacing w:after="0" w:line="240" w:lineRule="auto"/>
        <w:jc w:val="both"/>
        <w:rPr>
          <w:rFonts w:ascii="Times New Roman" w:hAnsi="Times New Roman" w:cs="Times New Roman"/>
        </w:rPr>
      </w:pPr>
    </w:p>
    <w:p w14:paraId="7CF48BBE" w14:textId="038BC1C8" w:rsidR="00210517" w:rsidRPr="00210517"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t xml:space="preserve">La recaudación asociada al comercio exterior mostró una brecha positiva interanual de 9.5%, lo que representa Q212.8 millones, un crecimiento interanual superior al observado en enero de 2023 (8.7%).  Tanto el impuesto al valor agregado en importaciones como los Derechos Arancelarios a la Importación </w:t>
      </w:r>
      <w:r w:rsidRPr="00210517">
        <w:rPr>
          <w:rFonts w:ascii="Times New Roman" w:hAnsi="Times New Roman" w:cs="Times New Roman"/>
        </w:rPr>
        <w:t xml:space="preserve">fueron superiores a lo establecido en la meta de presupuesto y en conjunto superaron en Q321.6 millones dicha meta. </w:t>
      </w:r>
    </w:p>
    <w:p w14:paraId="4CA1F2C1" w14:textId="77777777" w:rsidR="00210517" w:rsidRPr="00210517" w:rsidRDefault="00210517" w:rsidP="00210517">
      <w:pPr>
        <w:spacing w:after="0" w:line="240" w:lineRule="auto"/>
        <w:jc w:val="both"/>
        <w:rPr>
          <w:rFonts w:ascii="Times New Roman" w:hAnsi="Times New Roman" w:cs="Times New Roman"/>
        </w:rPr>
      </w:pPr>
    </w:p>
    <w:p w14:paraId="39526DDF" w14:textId="7BEAC454" w:rsidR="00037122" w:rsidRPr="0061070A"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t>Como parte de las acciones que la SAT continúa implementando en materia de Servicio Aduanero y de Comercio Exterior, en enero presentó un Nuevo Modelo de Despacho Aéreo de Mercancías.   Esta iniciativa circunscribe la implementación gradual de los componentes del reciente sistema informático aduanero que integra los procesos de importaciones, exportaciones y courier simplificando, automatizando las gestiones de la carga y el despacho de mercancías que se movilizarán vía aérea.</w:t>
      </w:r>
    </w:p>
    <w:p w14:paraId="6619F8EE" w14:textId="77777777" w:rsidR="0061070A" w:rsidRPr="0050080E" w:rsidRDefault="0061070A" w:rsidP="0050080E">
      <w:pPr>
        <w:spacing w:after="0" w:line="240" w:lineRule="auto"/>
        <w:jc w:val="both"/>
        <w:rPr>
          <w:rFonts w:ascii="Times New Roman" w:hAnsi="Times New Roman" w:cs="Times New Roman"/>
          <w:color w:val="FF0000"/>
        </w:rPr>
      </w:pPr>
    </w:p>
    <w:p w14:paraId="0958B975" w14:textId="77777777" w:rsidR="00037122" w:rsidRPr="00FA23AA" w:rsidRDefault="00037122" w:rsidP="0050080E">
      <w:pPr>
        <w:spacing w:after="0" w:line="240" w:lineRule="auto"/>
        <w:jc w:val="both"/>
        <w:rPr>
          <w:rFonts w:ascii="Times New Roman" w:hAnsi="Times New Roman" w:cs="Times New Roman"/>
          <w:b/>
          <w:bCs/>
        </w:rPr>
      </w:pPr>
      <w:r w:rsidRPr="00FA23AA">
        <w:rPr>
          <w:rFonts w:ascii="Times New Roman" w:hAnsi="Times New Roman" w:cs="Times New Roman"/>
          <w:b/>
          <w:bCs/>
        </w:rPr>
        <w:t>El Impuesto Sobre la Renta y el ISO</w:t>
      </w:r>
    </w:p>
    <w:p w14:paraId="2BCF648B" w14:textId="77777777" w:rsidR="00037122" w:rsidRPr="0050080E" w:rsidRDefault="00037122" w:rsidP="0050080E">
      <w:pPr>
        <w:spacing w:after="0" w:line="240" w:lineRule="auto"/>
        <w:jc w:val="both"/>
        <w:rPr>
          <w:rFonts w:ascii="Times New Roman" w:hAnsi="Times New Roman" w:cs="Times New Roman"/>
          <w:color w:val="FF0000"/>
        </w:rPr>
      </w:pPr>
    </w:p>
    <w:p w14:paraId="4E50F453" w14:textId="7490B8FF" w:rsidR="00037122" w:rsidRPr="0050080E" w:rsidRDefault="00210517" w:rsidP="0050080E">
      <w:pPr>
        <w:spacing w:after="0" w:line="240" w:lineRule="auto"/>
        <w:jc w:val="both"/>
        <w:rPr>
          <w:rFonts w:ascii="Times New Roman" w:hAnsi="Times New Roman" w:cs="Times New Roman"/>
          <w:color w:val="FF0000"/>
        </w:rPr>
      </w:pPr>
      <w:r w:rsidRPr="00210517">
        <w:rPr>
          <w:rFonts w:ascii="Times New Roman" w:hAnsi="Times New Roman" w:cs="Times New Roman"/>
        </w:rPr>
        <w:t>Del ISO se obtuvo una recaudación de Q1,683.1 millones en enero y generó una brecha positiva de Q458.3 millones respecto a la meta de presupuesto y de Q246.8 millones respecto a lo recaudado el año anterior.   De este impuesto se contabilizó el pago correspondiente al trimestre del 1 de octubre al 31 de diciembre del 2023.  El Impuesto Sobre la Renta superó la meta establecida en Q250.5 millones, aunque se recaudaron Q103.8 millones menos que el año anterior.</w:t>
      </w:r>
    </w:p>
    <w:p w14:paraId="12B9E71A" w14:textId="77777777" w:rsidR="00037122" w:rsidRPr="0050080E" w:rsidRDefault="00037122" w:rsidP="0050080E">
      <w:pPr>
        <w:spacing w:after="0" w:line="240" w:lineRule="auto"/>
        <w:jc w:val="both"/>
        <w:rPr>
          <w:rFonts w:ascii="Times New Roman" w:hAnsi="Times New Roman" w:cs="Times New Roman"/>
          <w:color w:val="FF0000"/>
        </w:rPr>
      </w:pPr>
    </w:p>
    <w:p w14:paraId="00E386D9" w14:textId="77777777" w:rsidR="00037122" w:rsidRPr="0050080E" w:rsidRDefault="00037122" w:rsidP="0050080E">
      <w:pPr>
        <w:spacing w:after="0" w:line="240" w:lineRule="auto"/>
        <w:jc w:val="both"/>
        <w:rPr>
          <w:rFonts w:ascii="Times New Roman" w:hAnsi="Times New Roman" w:cs="Times New Roman"/>
          <w:b/>
          <w:bCs/>
          <w:color w:val="FF0000"/>
        </w:rPr>
      </w:pPr>
      <w:r w:rsidRPr="00FA23AA">
        <w:rPr>
          <w:rFonts w:ascii="Times New Roman" w:hAnsi="Times New Roman" w:cs="Times New Roman"/>
          <w:b/>
          <w:bCs/>
        </w:rPr>
        <w:t>El Impuesto al Valor Agregado</w:t>
      </w:r>
    </w:p>
    <w:p w14:paraId="33B8E15D" w14:textId="77777777" w:rsidR="00037122" w:rsidRPr="0050080E" w:rsidRDefault="00037122" w:rsidP="0050080E">
      <w:pPr>
        <w:spacing w:after="0" w:line="240" w:lineRule="auto"/>
        <w:jc w:val="both"/>
        <w:rPr>
          <w:rFonts w:ascii="Times New Roman" w:hAnsi="Times New Roman" w:cs="Times New Roman"/>
          <w:color w:val="FF0000"/>
        </w:rPr>
      </w:pPr>
    </w:p>
    <w:p w14:paraId="16E18D68" w14:textId="77777777" w:rsidR="00210517" w:rsidRPr="00210517"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t xml:space="preserve">Este impuesto en enero generó una brecha positiva de Q666.8 millones respecto a la meta de presupuesto, monto que está explicado en su mayoría por el IVA asociado al consumo interno que mostró una brecha de Q398.7 millones y en menor contribución el IVA asociado al comercio exterior con una brecha de Q268.0 millones.  </w:t>
      </w:r>
    </w:p>
    <w:p w14:paraId="65FA7A9D" w14:textId="77777777" w:rsidR="00210517" w:rsidRPr="00210517" w:rsidRDefault="00210517" w:rsidP="00210517">
      <w:pPr>
        <w:spacing w:after="0" w:line="240" w:lineRule="auto"/>
        <w:jc w:val="both"/>
        <w:rPr>
          <w:rFonts w:ascii="Times New Roman" w:hAnsi="Times New Roman" w:cs="Times New Roman"/>
        </w:rPr>
      </w:pPr>
    </w:p>
    <w:p w14:paraId="7BE101F1" w14:textId="11A02386" w:rsidR="00037122" w:rsidRPr="00685CC7" w:rsidRDefault="00210517" w:rsidP="0050080E">
      <w:pPr>
        <w:spacing w:after="0" w:line="240" w:lineRule="auto"/>
        <w:jc w:val="both"/>
        <w:rPr>
          <w:rFonts w:ascii="Times New Roman" w:hAnsi="Times New Roman" w:cs="Times New Roman"/>
        </w:rPr>
      </w:pPr>
      <w:r w:rsidRPr="00210517">
        <w:rPr>
          <w:rFonts w:ascii="Times New Roman" w:hAnsi="Times New Roman" w:cs="Times New Roman"/>
        </w:rPr>
        <w:t>En comparación a lo recaudado el año anterior el IVA total creció 10.6%, generando una brecha positiva de Q415.8 millones.  De esa brecha, el IVA asociado al consumo interno participó con Q251.4 millones, mostrando un crecimiento interanual de 12.6% y el IVA asociado al comercio exterior participó con Q164.4 millones, con un crecimiento interanual de 8.5%.</w:t>
      </w:r>
    </w:p>
    <w:p w14:paraId="021485FF" w14:textId="77777777" w:rsidR="00037122" w:rsidRPr="005A1A16" w:rsidRDefault="00037122" w:rsidP="0050080E">
      <w:pPr>
        <w:spacing w:after="0" w:line="240" w:lineRule="auto"/>
        <w:jc w:val="both"/>
        <w:rPr>
          <w:rFonts w:ascii="Times New Roman" w:hAnsi="Times New Roman" w:cs="Times New Roman"/>
          <w:b/>
          <w:bCs/>
        </w:rPr>
      </w:pPr>
      <w:r w:rsidRPr="005A1A16">
        <w:rPr>
          <w:rFonts w:ascii="Times New Roman" w:hAnsi="Times New Roman" w:cs="Times New Roman"/>
          <w:b/>
          <w:bCs/>
        </w:rPr>
        <w:lastRenderedPageBreak/>
        <w:t>Los demás impuestos</w:t>
      </w:r>
    </w:p>
    <w:p w14:paraId="36381865" w14:textId="77777777" w:rsidR="003305DF" w:rsidRDefault="003305DF" w:rsidP="0050080E">
      <w:pPr>
        <w:spacing w:after="0" w:line="240" w:lineRule="auto"/>
        <w:jc w:val="both"/>
        <w:rPr>
          <w:rFonts w:ascii="Times New Roman" w:hAnsi="Times New Roman" w:cs="Times New Roman"/>
          <w:color w:val="FF0000"/>
        </w:rPr>
      </w:pPr>
    </w:p>
    <w:p w14:paraId="68653C76" w14:textId="65FAA1B7" w:rsidR="00037122" w:rsidRPr="005A1A16" w:rsidRDefault="00210517" w:rsidP="0050080E">
      <w:pPr>
        <w:spacing w:after="0" w:line="240" w:lineRule="auto"/>
        <w:jc w:val="both"/>
        <w:rPr>
          <w:rFonts w:ascii="Times New Roman" w:hAnsi="Times New Roman" w:cs="Times New Roman"/>
        </w:rPr>
      </w:pPr>
      <w:r w:rsidRPr="00210517">
        <w:rPr>
          <w:rFonts w:ascii="Times New Roman" w:hAnsi="Times New Roman" w:cs="Times New Roman"/>
        </w:rPr>
        <w:t>En la recaudación de enero de los demás impuestos destaca que el Impuesto sobre la Distribución de Bebidas, el IPRIMA, el de Circulación de Vehículos, el de Timbres Fiscales y el de Cemento superaron la meta de presupuesto por Q107.1 millones; por el contrario, el Impuesto de Tabaco, los Derivados del Petróleo y el de Regalías e Hidrocarburos Compartibles no alcanzaron las metas de presupuesto dejando de percibir Q7.38 millones.</w:t>
      </w:r>
    </w:p>
    <w:p w14:paraId="0ECD56E3" w14:textId="77777777" w:rsidR="00037122" w:rsidRPr="0050080E" w:rsidRDefault="00037122" w:rsidP="0050080E">
      <w:pPr>
        <w:spacing w:after="0" w:line="240" w:lineRule="auto"/>
        <w:jc w:val="both"/>
        <w:rPr>
          <w:rFonts w:ascii="Times New Roman" w:hAnsi="Times New Roman" w:cs="Times New Roman"/>
          <w:color w:val="FF0000"/>
        </w:rPr>
      </w:pPr>
    </w:p>
    <w:p w14:paraId="768AE8AD" w14:textId="39D47184" w:rsidR="00037122" w:rsidRPr="00FA23AA" w:rsidRDefault="00037122" w:rsidP="0050080E">
      <w:pPr>
        <w:spacing w:after="0" w:line="240" w:lineRule="auto"/>
        <w:jc w:val="both"/>
        <w:rPr>
          <w:rFonts w:ascii="Times New Roman" w:hAnsi="Times New Roman" w:cs="Times New Roman"/>
          <w:b/>
          <w:bCs/>
        </w:rPr>
      </w:pPr>
      <w:r w:rsidRPr="00FA23AA">
        <w:rPr>
          <w:rFonts w:ascii="Times New Roman" w:hAnsi="Times New Roman" w:cs="Times New Roman"/>
          <w:b/>
          <w:bCs/>
        </w:rPr>
        <w:t>Estructura de la recaudación tributaria acumulada a enero 202</w:t>
      </w:r>
      <w:r w:rsidR="00FA23AA">
        <w:rPr>
          <w:rFonts w:ascii="Times New Roman" w:hAnsi="Times New Roman" w:cs="Times New Roman"/>
          <w:b/>
          <w:bCs/>
        </w:rPr>
        <w:t>4</w:t>
      </w:r>
    </w:p>
    <w:p w14:paraId="4A0D271D" w14:textId="77777777" w:rsidR="00037122" w:rsidRPr="0050080E" w:rsidRDefault="00037122" w:rsidP="0050080E">
      <w:pPr>
        <w:spacing w:after="0" w:line="240" w:lineRule="auto"/>
        <w:jc w:val="both"/>
        <w:rPr>
          <w:rFonts w:ascii="Times New Roman" w:hAnsi="Times New Roman" w:cs="Times New Roman"/>
          <w:color w:val="FF0000"/>
        </w:rPr>
      </w:pPr>
    </w:p>
    <w:p w14:paraId="36B884BF" w14:textId="77777777" w:rsidR="00037122" w:rsidRPr="00D956F7" w:rsidRDefault="00210517" w:rsidP="0050080E">
      <w:pPr>
        <w:spacing w:after="0" w:line="240" w:lineRule="auto"/>
        <w:jc w:val="both"/>
        <w:rPr>
          <w:rFonts w:ascii="Times New Roman" w:hAnsi="Times New Roman" w:cs="Times New Roman"/>
        </w:rPr>
      </w:pPr>
      <w:r w:rsidRPr="00210517">
        <w:rPr>
          <w:rFonts w:ascii="Times New Roman" w:hAnsi="Times New Roman" w:cs="Times New Roman"/>
        </w:rPr>
        <w:t>La recaudación tributaria a enero 2024 mantiene la estructura y el desempeño positivo explicado principalmente por impuestos como el ISR, ISO y el IVA, que en conjunto representan el 87.1% de la recaudación observada total.</w:t>
      </w:r>
    </w:p>
    <w:p w14:paraId="7CC8205B" w14:textId="77777777" w:rsidR="00037122" w:rsidRPr="00D956F7" w:rsidRDefault="00037122" w:rsidP="00037122">
      <w:pPr>
        <w:spacing w:after="0" w:line="240" w:lineRule="auto"/>
        <w:jc w:val="center"/>
        <w:rPr>
          <w:rFonts w:ascii="Times New Roman" w:hAnsi="Times New Roman" w:cs="Times New Roman"/>
          <w:b/>
          <w:bCs/>
        </w:rPr>
      </w:pPr>
      <w:r w:rsidRPr="00D956F7">
        <w:rPr>
          <w:rFonts w:ascii="Times New Roman" w:hAnsi="Times New Roman" w:cs="Times New Roman"/>
          <w:b/>
          <w:bCs/>
        </w:rPr>
        <w:t xml:space="preserve">Aporte por impuesto a la recaudación </w:t>
      </w:r>
    </w:p>
    <w:p w14:paraId="248E3EEB" w14:textId="2F1C8295" w:rsidR="00037122" w:rsidRPr="00D956F7" w:rsidRDefault="00037122" w:rsidP="00037122">
      <w:pPr>
        <w:spacing w:after="0" w:line="240" w:lineRule="auto"/>
        <w:jc w:val="center"/>
        <w:rPr>
          <w:rFonts w:ascii="Times New Roman" w:hAnsi="Times New Roman" w:cs="Times New Roman"/>
          <w:b/>
          <w:bCs/>
        </w:rPr>
      </w:pPr>
      <w:r w:rsidRPr="00D956F7">
        <w:rPr>
          <w:rFonts w:ascii="Times New Roman" w:hAnsi="Times New Roman" w:cs="Times New Roman"/>
          <w:b/>
          <w:bCs/>
        </w:rPr>
        <w:t>Tributaria acumulada a enero 202</w:t>
      </w:r>
      <w:r w:rsidR="00D956F7" w:rsidRPr="00D956F7">
        <w:rPr>
          <w:rFonts w:ascii="Times New Roman" w:hAnsi="Times New Roman" w:cs="Times New Roman"/>
          <w:b/>
          <w:bCs/>
        </w:rPr>
        <w:t>4</w:t>
      </w:r>
    </w:p>
    <w:p w14:paraId="00107A97" w14:textId="4D7AAF0D" w:rsidR="00037122" w:rsidRPr="0050080E" w:rsidRDefault="00D956F7" w:rsidP="00037122">
      <w:pPr>
        <w:spacing w:after="0" w:line="240" w:lineRule="auto"/>
        <w:jc w:val="both"/>
        <w:rPr>
          <w:rFonts w:ascii="Times New Roman" w:hAnsi="Times New Roman" w:cs="Times New Roman"/>
          <w:color w:val="FF0000"/>
        </w:rPr>
      </w:pPr>
      <w:r>
        <w:rPr>
          <w:noProof/>
        </w:rPr>
        <w:drawing>
          <wp:inline distT="0" distB="0" distL="0" distR="0" wp14:anchorId="769A53F2" wp14:editId="403E0812">
            <wp:extent cx="2669711" cy="1473958"/>
            <wp:effectExtent l="0" t="0" r="5080" b="45720"/>
            <wp:docPr id="13" name="Gráfico 13">
              <a:extLst xmlns:a="http://schemas.openxmlformats.org/drawingml/2006/main">
                <a:ext uri="{FF2B5EF4-FFF2-40B4-BE49-F238E27FC236}">
                  <a16:creationId xmlns:a16="http://schemas.microsoft.com/office/drawing/2014/main" id="{8732241C-1A56-483D-952B-B7F64EA58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B8B8C1" w14:textId="133BB5B2" w:rsidR="00037122" w:rsidRPr="00D956F7" w:rsidRDefault="00037122" w:rsidP="00037122">
      <w:pPr>
        <w:spacing w:after="0" w:line="240" w:lineRule="auto"/>
        <w:rPr>
          <w:rFonts w:ascii="Times New Roman" w:hAnsi="Times New Roman" w:cs="Times New Roman"/>
        </w:rPr>
      </w:pPr>
      <w:r w:rsidRPr="00D956F7">
        <w:rPr>
          <w:rFonts w:ascii="Times New Roman" w:hAnsi="Times New Roman" w:cs="Times New Roman"/>
          <w:sz w:val="14"/>
          <w:szCs w:val="14"/>
          <w:lang w:val="es-MX"/>
        </w:rPr>
        <w:t>Fuente: Dirección de Análisis y Política Fiscal.</w:t>
      </w:r>
    </w:p>
    <w:p w14:paraId="683B5612" w14:textId="4761E175" w:rsidR="00037122" w:rsidRPr="0050080E" w:rsidRDefault="00037122" w:rsidP="00BC3291">
      <w:pPr>
        <w:spacing w:after="0" w:line="240" w:lineRule="auto"/>
        <w:rPr>
          <w:rFonts w:ascii="Times New Roman" w:hAnsi="Times New Roman" w:cs="Times New Roman"/>
          <w:color w:val="FF0000"/>
        </w:rPr>
      </w:pPr>
    </w:p>
    <w:p w14:paraId="5A196EF7" w14:textId="1A3B0AC7" w:rsidR="00BC3291" w:rsidRPr="00BC3291" w:rsidRDefault="00210517" w:rsidP="00685CC7">
      <w:pPr>
        <w:spacing w:after="0" w:line="240" w:lineRule="auto"/>
        <w:jc w:val="both"/>
        <w:rPr>
          <w:rFonts w:ascii="Times New Roman" w:hAnsi="Times New Roman" w:cs="Times New Roman"/>
        </w:rPr>
      </w:pPr>
      <w:r w:rsidRPr="00210517">
        <w:rPr>
          <w:rFonts w:ascii="Times New Roman" w:hAnsi="Times New Roman" w:cs="Times New Roman"/>
        </w:rPr>
        <w:t>De conformidad con los resultados obtenidos de recaudación tributaria al mes de enero y bajo el escenario de pleno cumplimiento de metas de presupuesto para el resto del año, el resultado del ejercicio fiscal puede rondar los Q87,780.5 millones, lo que significaría una brecha positiva respecto a la meta de presupuesto de Q1,532.8 millones.</w:t>
      </w:r>
    </w:p>
    <w:p w14:paraId="784D65B4" w14:textId="77777777" w:rsidR="00BC3291" w:rsidRDefault="00BC3291" w:rsidP="00A7169E">
      <w:pPr>
        <w:spacing w:after="0" w:line="240" w:lineRule="auto"/>
        <w:sectPr w:rsidR="00BC3291" w:rsidSect="00BC3291">
          <w:type w:val="continuous"/>
          <w:pgSz w:w="12240" w:h="15840"/>
          <w:pgMar w:top="1417" w:right="1701" w:bottom="1417" w:left="1701" w:header="708" w:footer="708" w:gutter="0"/>
          <w:cols w:num="2" w:space="708"/>
          <w:docGrid w:linePitch="360"/>
        </w:sectPr>
      </w:pPr>
    </w:p>
    <w:p w14:paraId="681F042C" w14:textId="1AA99F35" w:rsidR="00BC3291" w:rsidRPr="00685CC7" w:rsidRDefault="00BC3291" w:rsidP="00A7169E">
      <w:pPr>
        <w:spacing w:after="0" w:line="240" w:lineRule="auto"/>
        <w:rPr>
          <w:sz w:val="8"/>
          <w:szCs w:val="8"/>
        </w:rPr>
      </w:pPr>
    </w:p>
    <w:p w14:paraId="03902F28" w14:textId="77777777" w:rsidR="00BC3291" w:rsidRDefault="00BC3291" w:rsidP="00BC3291">
      <w:pPr>
        <w:sectPr w:rsidR="00BC3291" w:rsidSect="00BC3291">
          <w:type w:val="continuous"/>
          <w:pgSz w:w="12240" w:h="15840"/>
          <w:pgMar w:top="1417" w:right="1701" w:bottom="1417" w:left="1701" w:header="708" w:footer="708" w:gutter="0"/>
          <w:cols w:space="708"/>
          <w:docGrid w:linePitch="360"/>
        </w:sectPr>
      </w:pPr>
    </w:p>
    <w:p w14:paraId="0BC3E76F" w14:textId="3432ECCD" w:rsidR="00BC3291" w:rsidRPr="00BC3291" w:rsidRDefault="00B93E46" w:rsidP="00BC3291">
      <w:pPr>
        <w:shd w:val="clear" w:color="auto" w:fill="1F3864" w:themeFill="accent1" w:themeFillShade="80"/>
        <w:jc w:val="center"/>
        <w:rPr>
          <w:rFonts w:ascii="Times New Roman" w:hAnsi="Times New Roman" w:cs="Times New Roman"/>
          <w:b/>
          <w:bCs/>
        </w:rPr>
      </w:pPr>
      <w:r>
        <w:rPr>
          <w:rFonts w:ascii="Times New Roman" w:hAnsi="Times New Roman" w:cs="Times New Roman"/>
          <w:b/>
          <w:bCs/>
        </w:rPr>
        <w:t>El ritmo de</w:t>
      </w:r>
      <w:r w:rsidR="00BC3291">
        <w:rPr>
          <w:rFonts w:ascii="Times New Roman" w:hAnsi="Times New Roman" w:cs="Times New Roman"/>
          <w:b/>
          <w:bCs/>
        </w:rPr>
        <w:t xml:space="preserve"> ejecución </w:t>
      </w:r>
      <w:r>
        <w:rPr>
          <w:rFonts w:ascii="Times New Roman" w:hAnsi="Times New Roman" w:cs="Times New Roman"/>
          <w:b/>
          <w:bCs/>
        </w:rPr>
        <w:t>es menor al del año anterior</w:t>
      </w:r>
    </w:p>
    <w:p w14:paraId="7592491D" w14:textId="77777777" w:rsidR="00BC3291" w:rsidRDefault="00BC3291" w:rsidP="00BC3291">
      <w:pPr>
        <w:sectPr w:rsidR="00BC3291" w:rsidSect="00BC3291">
          <w:type w:val="continuous"/>
          <w:pgSz w:w="12240" w:h="15840"/>
          <w:pgMar w:top="1417" w:right="1701" w:bottom="1417" w:left="1701" w:header="708" w:footer="708" w:gutter="0"/>
          <w:cols w:space="708"/>
          <w:docGrid w:linePitch="360"/>
        </w:sectPr>
      </w:pPr>
    </w:p>
    <w:p w14:paraId="080BDBCB" w14:textId="5E02FE17" w:rsidR="00BC3291"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La ejecución del gasto público a enero 2024, sin incluir las amortizaciones de la deuda pública, se ubicó en Q7,700.6 millones, con una variación interanual de 8.5% (equivalente a Q601.7 millones). Este ritmo de ejecución es menor al observado hace un año, cuando fue de 14.2%, aunque hay que tomar en cuenta que a principios del 2023 se dio un aporte extraordinario hacia el Tribunal Supremo Electoral por concepto de las Elecciones Generales.</w:t>
      </w:r>
    </w:p>
    <w:p w14:paraId="243839F4" w14:textId="77777777" w:rsidR="00210517" w:rsidRDefault="00210517" w:rsidP="006D2C4A">
      <w:pPr>
        <w:spacing w:after="0" w:line="240" w:lineRule="auto"/>
        <w:jc w:val="both"/>
        <w:rPr>
          <w:rFonts w:ascii="Times New Roman" w:hAnsi="Times New Roman" w:cs="Times New Roman"/>
        </w:rPr>
      </w:pPr>
    </w:p>
    <w:p w14:paraId="5D18BC74" w14:textId="77777777" w:rsidR="006D2C4A" w:rsidRPr="00B93E46" w:rsidRDefault="006D2C4A" w:rsidP="006D2C4A">
      <w:pPr>
        <w:pStyle w:val="Sinespaciado"/>
        <w:jc w:val="center"/>
        <w:rPr>
          <w:rFonts w:ascii="Times New Roman" w:hAnsi="Times New Roman" w:cs="Times New Roman"/>
          <w:b/>
          <w:szCs w:val="20"/>
          <w:lang w:val="es-MX"/>
        </w:rPr>
      </w:pPr>
      <w:r w:rsidRPr="00B93E46">
        <w:rPr>
          <w:rFonts w:ascii="Times New Roman" w:hAnsi="Times New Roman" w:cs="Times New Roman"/>
          <w:b/>
          <w:szCs w:val="20"/>
          <w:lang w:val="es-MX"/>
        </w:rPr>
        <w:t>Ritmo de Ejecución del Gasto</w:t>
      </w:r>
    </w:p>
    <w:p w14:paraId="1902A5F4" w14:textId="7D57BB73" w:rsidR="006D2C4A" w:rsidRPr="00B338C4" w:rsidRDefault="006D2C4A" w:rsidP="006D2C4A">
      <w:pPr>
        <w:pStyle w:val="Sinespaciado"/>
        <w:jc w:val="center"/>
        <w:rPr>
          <w:rFonts w:ascii="Times New Roman" w:hAnsi="Times New Roman" w:cs="Times New Roman"/>
          <w:sz w:val="18"/>
          <w:szCs w:val="18"/>
          <w:lang w:val="es-MX"/>
        </w:rPr>
      </w:pPr>
      <w:r w:rsidRPr="00B93E46">
        <w:rPr>
          <w:rFonts w:ascii="Times New Roman" w:hAnsi="Times New Roman" w:cs="Times New Roman"/>
          <w:sz w:val="20"/>
          <w:szCs w:val="20"/>
          <w:lang w:val="es-MX"/>
        </w:rPr>
        <w:t>Variación Interanual (%) *</w:t>
      </w:r>
    </w:p>
    <w:p w14:paraId="15A54621" w14:textId="29BF13FA" w:rsidR="006D2C4A" w:rsidRPr="00B338C4" w:rsidRDefault="00685CC7" w:rsidP="006D2C4A">
      <w:pPr>
        <w:pStyle w:val="Sinespaciado"/>
        <w:jc w:val="center"/>
        <w:rPr>
          <w:rFonts w:ascii="Times New Roman" w:hAnsi="Times New Roman" w:cs="Times New Roman"/>
          <w:lang w:val="es-MX"/>
        </w:rPr>
      </w:pPr>
      <w:r w:rsidRPr="00B93E46">
        <w:rPr>
          <w:noProof/>
          <w:sz w:val="20"/>
          <w:szCs w:val="20"/>
        </w:rPr>
        <w:drawing>
          <wp:anchor distT="0" distB="0" distL="114300" distR="114300" simplePos="0" relativeHeight="251664384" behindDoc="0" locked="0" layoutInCell="1" allowOverlap="1" wp14:anchorId="128161BE" wp14:editId="4BC280E5">
            <wp:simplePos x="0" y="0"/>
            <wp:positionH relativeFrom="margin">
              <wp:posOffset>-77025</wp:posOffset>
            </wp:positionH>
            <wp:positionV relativeFrom="paragraph">
              <wp:posOffset>33218</wp:posOffset>
            </wp:positionV>
            <wp:extent cx="2722880" cy="1678675"/>
            <wp:effectExtent l="0" t="0" r="127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0801438" w14:textId="77777777" w:rsidR="006D2C4A" w:rsidRPr="00B338C4" w:rsidRDefault="006D2C4A" w:rsidP="006D2C4A">
      <w:pPr>
        <w:pStyle w:val="Sinespaciado"/>
        <w:jc w:val="center"/>
        <w:rPr>
          <w:rFonts w:ascii="Times New Roman" w:hAnsi="Times New Roman" w:cs="Times New Roman"/>
          <w:lang w:val="es-MX"/>
        </w:rPr>
      </w:pPr>
    </w:p>
    <w:p w14:paraId="4C944C9C" w14:textId="77777777" w:rsidR="006D2C4A" w:rsidRPr="00B338C4" w:rsidRDefault="006D2C4A" w:rsidP="006D2C4A">
      <w:pPr>
        <w:pStyle w:val="Sinespaciado"/>
        <w:jc w:val="center"/>
        <w:rPr>
          <w:rFonts w:ascii="Times New Roman" w:hAnsi="Times New Roman" w:cs="Times New Roman"/>
          <w:lang w:val="es-MX"/>
        </w:rPr>
      </w:pPr>
    </w:p>
    <w:p w14:paraId="704BD336" w14:textId="77777777" w:rsidR="006D2C4A" w:rsidRPr="00B338C4" w:rsidRDefault="006D2C4A" w:rsidP="006D2C4A">
      <w:pPr>
        <w:pStyle w:val="Sinespaciado"/>
        <w:jc w:val="center"/>
        <w:rPr>
          <w:rFonts w:ascii="Times New Roman" w:hAnsi="Times New Roman" w:cs="Times New Roman"/>
          <w:lang w:val="es-MX"/>
        </w:rPr>
      </w:pPr>
    </w:p>
    <w:p w14:paraId="27F2C26B" w14:textId="77777777" w:rsidR="006D2C4A" w:rsidRPr="00B338C4" w:rsidRDefault="006D2C4A" w:rsidP="006D2C4A">
      <w:pPr>
        <w:pStyle w:val="Sinespaciado"/>
        <w:jc w:val="center"/>
        <w:rPr>
          <w:rFonts w:ascii="Times New Roman" w:hAnsi="Times New Roman" w:cs="Times New Roman"/>
          <w:lang w:val="es-MX"/>
        </w:rPr>
      </w:pPr>
    </w:p>
    <w:p w14:paraId="271949D4" w14:textId="77777777" w:rsidR="006D2C4A" w:rsidRPr="00B338C4" w:rsidRDefault="006D2C4A" w:rsidP="006D2C4A">
      <w:pPr>
        <w:pStyle w:val="Sinespaciado"/>
        <w:jc w:val="center"/>
        <w:rPr>
          <w:rFonts w:ascii="Times New Roman" w:hAnsi="Times New Roman" w:cs="Times New Roman"/>
          <w:lang w:val="es-MX"/>
        </w:rPr>
      </w:pPr>
    </w:p>
    <w:p w14:paraId="10322462" w14:textId="77777777" w:rsidR="006D2C4A" w:rsidRPr="00B338C4" w:rsidRDefault="006D2C4A" w:rsidP="006D2C4A">
      <w:pPr>
        <w:pStyle w:val="Sinespaciado"/>
        <w:jc w:val="center"/>
        <w:rPr>
          <w:rFonts w:ascii="Times New Roman" w:hAnsi="Times New Roman" w:cs="Times New Roman"/>
          <w:lang w:val="es-MX"/>
        </w:rPr>
      </w:pPr>
    </w:p>
    <w:p w14:paraId="6EAA7953" w14:textId="77777777" w:rsidR="006D2C4A" w:rsidRPr="00B338C4" w:rsidRDefault="006D2C4A" w:rsidP="006D2C4A">
      <w:pPr>
        <w:pStyle w:val="Sinespaciado"/>
        <w:jc w:val="center"/>
        <w:rPr>
          <w:rFonts w:ascii="Times New Roman" w:hAnsi="Times New Roman" w:cs="Times New Roman"/>
          <w:lang w:val="es-MX"/>
        </w:rPr>
      </w:pPr>
    </w:p>
    <w:p w14:paraId="1CFD480F" w14:textId="77777777" w:rsidR="006D2C4A" w:rsidRPr="00B338C4" w:rsidRDefault="006D2C4A" w:rsidP="006D2C4A">
      <w:pPr>
        <w:pStyle w:val="Sinespaciado"/>
        <w:jc w:val="center"/>
        <w:rPr>
          <w:rFonts w:ascii="Times New Roman" w:hAnsi="Times New Roman" w:cs="Times New Roman"/>
          <w:lang w:val="es-MX"/>
        </w:rPr>
      </w:pPr>
    </w:p>
    <w:p w14:paraId="3BC2384C" w14:textId="77777777" w:rsidR="006D2C4A" w:rsidRPr="00B338C4" w:rsidRDefault="006D2C4A" w:rsidP="006D2C4A">
      <w:pPr>
        <w:pStyle w:val="Sinespaciado"/>
        <w:jc w:val="center"/>
        <w:rPr>
          <w:rFonts w:ascii="Times New Roman" w:hAnsi="Times New Roman" w:cs="Times New Roman"/>
          <w:lang w:val="es-MX"/>
        </w:rPr>
      </w:pPr>
    </w:p>
    <w:p w14:paraId="7BD04339" w14:textId="77777777" w:rsidR="006D2C4A" w:rsidRDefault="006D2C4A" w:rsidP="006D2C4A">
      <w:pPr>
        <w:pStyle w:val="Sinespaciado"/>
        <w:rPr>
          <w:rFonts w:ascii="Times New Roman" w:hAnsi="Times New Roman" w:cs="Times New Roman"/>
          <w:sz w:val="14"/>
          <w:szCs w:val="14"/>
          <w:lang w:val="es-MX"/>
        </w:rPr>
      </w:pPr>
    </w:p>
    <w:p w14:paraId="0032B9B8" w14:textId="7F0B9E99" w:rsidR="006D2C4A" w:rsidRPr="00B338C4" w:rsidRDefault="006D2C4A" w:rsidP="006D2C4A">
      <w:pPr>
        <w:pStyle w:val="Sinespaciado"/>
        <w:rPr>
          <w:rFonts w:ascii="Times New Roman" w:hAnsi="Times New Roman" w:cs="Times New Roman"/>
          <w:sz w:val="14"/>
          <w:szCs w:val="14"/>
          <w:lang w:val="es-MX"/>
        </w:rPr>
      </w:pPr>
      <w:r w:rsidRPr="00B338C4">
        <w:rPr>
          <w:rFonts w:ascii="Times New Roman" w:hAnsi="Times New Roman" w:cs="Times New Roman"/>
          <w:sz w:val="14"/>
          <w:szCs w:val="14"/>
          <w:lang w:val="es-MX"/>
        </w:rPr>
        <w:t>*No incluye amortizaciones de la deuda pública</w:t>
      </w:r>
    </w:p>
    <w:p w14:paraId="350B6DD5" w14:textId="77777777" w:rsidR="006D2C4A" w:rsidRPr="00B338C4" w:rsidRDefault="006D2C4A" w:rsidP="006D2C4A">
      <w:pPr>
        <w:spacing w:after="0" w:line="240" w:lineRule="auto"/>
        <w:jc w:val="both"/>
        <w:rPr>
          <w:rFonts w:ascii="Times New Roman" w:hAnsi="Times New Roman" w:cs="Times New Roman"/>
          <w:sz w:val="14"/>
          <w:szCs w:val="14"/>
        </w:rPr>
      </w:pPr>
      <w:r w:rsidRPr="00B338C4">
        <w:rPr>
          <w:rFonts w:ascii="Times New Roman" w:hAnsi="Times New Roman" w:cs="Times New Roman"/>
          <w:sz w:val="14"/>
          <w:szCs w:val="14"/>
        </w:rPr>
        <w:t>Fuente: Dirección de Análisis y Política Fiscal.</w:t>
      </w:r>
    </w:p>
    <w:p w14:paraId="709D3864" w14:textId="77777777" w:rsidR="00210517" w:rsidRDefault="00210517" w:rsidP="006D2C4A">
      <w:pPr>
        <w:spacing w:after="0" w:line="240" w:lineRule="auto"/>
        <w:jc w:val="both"/>
        <w:rPr>
          <w:rFonts w:ascii="Times New Roman" w:hAnsi="Times New Roman" w:cs="Times New Roman"/>
        </w:rPr>
      </w:pPr>
    </w:p>
    <w:p w14:paraId="7B6FE203" w14:textId="77620AAE"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A nivel de rubro de cuenta económica, el mayor crecimiento se reporta en los bienes y servicios con un aumento de Q479.7 millones, por una mayor ejecución por parte del Ministerio de Salud Pública y Asistencia Social por Q249.9 millones, principalmente el aumento está en los productos medicinales y farmacéuticos (Q84.3 millones), elementos y compuestos químicos (Q69.3 millones) y útiles menores, suministros e instrumental médico quirúrgicos, de laboratorio y cuidado de la salud (Q68.0 millones).</w:t>
      </w:r>
    </w:p>
    <w:p w14:paraId="0E3E7A0A" w14:textId="77777777" w:rsidR="006D2C4A" w:rsidRPr="006D2C4A" w:rsidRDefault="006D2C4A" w:rsidP="006D2C4A">
      <w:pPr>
        <w:spacing w:after="0" w:line="240" w:lineRule="auto"/>
        <w:jc w:val="both"/>
        <w:rPr>
          <w:rFonts w:ascii="Times New Roman" w:hAnsi="Times New Roman" w:cs="Times New Roman"/>
        </w:rPr>
      </w:pPr>
    </w:p>
    <w:p w14:paraId="0DDC894F"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Mientras que, en el Ministerio de Comunicaciones, Infraestructura y Vivienda, el aumento interanual es de Q236.2 millones, el cual se concentra en el mantenimiento y reparación de bienes nacionales que son de uso común, como la rehabilitación de carreteras, rutas y caminos. </w:t>
      </w:r>
    </w:p>
    <w:p w14:paraId="608C4D9A" w14:textId="77777777" w:rsidR="006D2C4A" w:rsidRPr="006D2C4A" w:rsidRDefault="006D2C4A" w:rsidP="006D2C4A">
      <w:pPr>
        <w:spacing w:after="0" w:line="240" w:lineRule="auto"/>
        <w:jc w:val="both"/>
        <w:rPr>
          <w:rFonts w:ascii="Times New Roman" w:hAnsi="Times New Roman" w:cs="Times New Roman"/>
        </w:rPr>
      </w:pPr>
    </w:p>
    <w:p w14:paraId="0189E5BD"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Seguidamente, las remuneraciones reportan un aumento de Q398.6 millones (crecimiento interanual de 13.6%). Durante enero se pagó la </w:t>
      </w:r>
      <w:r w:rsidRPr="006D2C4A">
        <w:rPr>
          <w:rFonts w:ascii="Times New Roman" w:hAnsi="Times New Roman" w:cs="Times New Roman"/>
        </w:rPr>
        <w:lastRenderedPageBreak/>
        <w:t xml:space="preserve">segunda parte del aguinaldo por Q987.5 millones. </w:t>
      </w:r>
    </w:p>
    <w:p w14:paraId="223F4081" w14:textId="77777777" w:rsidR="006D2C4A" w:rsidRPr="006D2C4A" w:rsidRDefault="006D2C4A" w:rsidP="006D2C4A">
      <w:pPr>
        <w:spacing w:after="0" w:line="240" w:lineRule="auto"/>
        <w:jc w:val="both"/>
        <w:rPr>
          <w:rFonts w:ascii="Times New Roman" w:hAnsi="Times New Roman" w:cs="Times New Roman"/>
        </w:rPr>
      </w:pPr>
    </w:p>
    <w:p w14:paraId="6F9A5B38"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Por su parte, el Ministerio de Educación reporta el mayor aumento interanual con Q139.6 millones, principalmente por el personal supernumerario y los derechos escalafonarios. Asimismo, le sigue el Ministerio de Salud Pública y Asistencia Social con un aumento interanual de Q134.8 millones, explicado por los complementos específicos al personal permanente; este ministerio ha estado en un proceso de mejora salarial y continua con el proceso de incorporación de contratistas temporales al renglón 011 “personal permanente”, proceso que se tiene previsto continue en 2024. </w:t>
      </w:r>
    </w:p>
    <w:p w14:paraId="0FAA6E31" w14:textId="77777777" w:rsidR="006D2C4A" w:rsidRPr="006D2C4A" w:rsidRDefault="006D2C4A" w:rsidP="006D2C4A">
      <w:pPr>
        <w:spacing w:after="0" w:line="240" w:lineRule="auto"/>
        <w:jc w:val="both"/>
        <w:rPr>
          <w:rFonts w:ascii="Times New Roman" w:hAnsi="Times New Roman" w:cs="Times New Roman"/>
        </w:rPr>
      </w:pPr>
    </w:p>
    <w:p w14:paraId="18520CD1"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En cuanto a las prestaciones a la seguridad social reportan un crecimiento interanual de 11.4% (equivalente a Q55.0 millones).</w:t>
      </w:r>
    </w:p>
    <w:p w14:paraId="1EC27E8D" w14:textId="77777777" w:rsidR="006D2C4A" w:rsidRPr="006D2C4A" w:rsidRDefault="006D2C4A" w:rsidP="006D2C4A">
      <w:pPr>
        <w:spacing w:after="0" w:line="240" w:lineRule="auto"/>
        <w:jc w:val="both"/>
        <w:rPr>
          <w:rFonts w:ascii="Times New Roman" w:hAnsi="Times New Roman" w:cs="Times New Roman"/>
        </w:rPr>
      </w:pPr>
    </w:p>
    <w:p w14:paraId="267DABC9"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En lo que respecta a los intereses de la deuda pública, estos reportan una ejecución mayor con respecto a lo observado en 2023 por Q29.1 millones, mostrando un crecimiento interanual de 5.2%, que es explicado en mayor medida por los intereses de deuda externa y específicamente por los préstamos, con un crecimiento interanual de 20.0% (equivalente a Q35.8 millones), influenciado por las alzas en las tasas internacionales que afectan a los préstamos con multilaterales. Por su parte, la deuda interna muestra un menor pago de intereses en Q6.7 millones.</w:t>
      </w:r>
    </w:p>
    <w:p w14:paraId="3E33F937" w14:textId="77777777" w:rsidR="006D2C4A" w:rsidRPr="006D2C4A" w:rsidRDefault="006D2C4A" w:rsidP="006D2C4A">
      <w:pPr>
        <w:spacing w:after="0" w:line="240" w:lineRule="auto"/>
        <w:jc w:val="both"/>
        <w:rPr>
          <w:rFonts w:ascii="Times New Roman" w:hAnsi="Times New Roman" w:cs="Times New Roman"/>
        </w:rPr>
      </w:pPr>
    </w:p>
    <w:p w14:paraId="6AEC797C"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Por su parte, la inversión real directa, muestra un aumento interanual de Q19.2 millones, asociado a mayores intervenciones en la construcción de bienes nacionales por parte del Ministerio de Comunicaciones, Infraestructura y Vivienda, tales como el mejoramiento de carreteras y caminos rurales.</w:t>
      </w:r>
    </w:p>
    <w:p w14:paraId="0CFD8755" w14:textId="77777777" w:rsidR="006D2C4A" w:rsidRPr="006D2C4A" w:rsidRDefault="006D2C4A" w:rsidP="006D2C4A">
      <w:pPr>
        <w:spacing w:after="0" w:line="240" w:lineRule="auto"/>
        <w:jc w:val="both"/>
        <w:rPr>
          <w:rFonts w:ascii="Times New Roman" w:hAnsi="Times New Roman" w:cs="Times New Roman"/>
        </w:rPr>
      </w:pPr>
    </w:p>
    <w:p w14:paraId="50FD3763" w14:textId="737E9AE6"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En las transferencias de capital se observa una caída interanual de 3.2% (equivalente a Q20.6 millones). Esto se explica por una disminución a las transferencias que se realizan hacia los Consejos de Desarrollo Urbano y Rural, los cuales reportan una disminución de Q32.5 millones.</w:t>
      </w:r>
    </w:p>
    <w:p w14:paraId="1D42B718"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Por último, las transferencias corrientes están reportando una caída interanual de 20.7%, equivalente a Q364.5 millones, explicadas por </w:t>
      </w:r>
    </w:p>
    <w:p w14:paraId="2376DD4D"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las transferencias al sector privado las cuales reportan una disminución de Q204.0 millones, como resultado de la menor ejecución en las transferencias a otras instituciones sin fines de lucro del Ministerio de Educación, entre las cuales se encuentra los consejos educativos, las juntas escolares, consejos de padres de familia, organizaciones de padres de familia, entre otros. </w:t>
      </w:r>
    </w:p>
    <w:p w14:paraId="221494B0" w14:textId="77777777" w:rsidR="006D2C4A" w:rsidRPr="006D2C4A" w:rsidRDefault="006D2C4A" w:rsidP="006D2C4A">
      <w:pPr>
        <w:spacing w:after="0" w:line="240" w:lineRule="auto"/>
        <w:jc w:val="both"/>
        <w:rPr>
          <w:rFonts w:ascii="Times New Roman" w:hAnsi="Times New Roman" w:cs="Times New Roman"/>
        </w:rPr>
      </w:pPr>
    </w:p>
    <w:p w14:paraId="1ABB10E4" w14:textId="671DF03B" w:rsid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En lo que respecta a las transferencias corrientes del sector público, estas reportan una caída interanual de 14.7%, equivalente a Q157.8 millones, asociado principalmente al aporte que recibe el Tribunal Supremo Electoral (TSE), el cual fue menor en Q179.0 millones, relacionado al aporte extraordinario por el tema de las Elecciones Generales llevadas a cabo en 2023.</w:t>
      </w:r>
    </w:p>
    <w:p w14:paraId="616E0633" w14:textId="77777777" w:rsidR="006D2C4A" w:rsidRDefault="006D2C4A" w:rsidP="006D2C4A">
      <w:pPr>
        <w:spacing w:after="0" w:line="240" w:lineRule="auto"/>
        <w:jc w:val="both"/>
        <w:rPr>
          <w:rFonts w:ascii="Times New Roman" w:hAnsi="Times New Roman" w:cs="Times New Roman"/>
        </w:rPr>
      </w:pPr>
    </w:p>
    <w:p w14:paraId="73A3AA4B" w14:textId="77777777" w:rsidR="006D2C4A" w:rsidRPr="00B338C4" w:rsidRDefault="006D2C4A" w:rsidP="006D2C4A">
      <w:pPr>
        <w:pStyle w:val="Sinespaciado"/>
        <w:jc w:val="center"/>
        <w:rPr>
          <w:szCs w:val="20"/>
        </w:rPr>
      </w:pPr>
      <w:r w:rsidRPr="00B338C4">
        <w:rPr>
          <w:rFonts w:ascii="Times New Roman" w:hAnsi="Times New Roman" w:cs="Times New Roman"/>
          <w:b/>
          <w:szCs w:val="20"/>
          <w:lang w:val="es-MX"/>
        </w:rPr>
        <w:t>Ejecución por rubro de Cuenta Económica</w:t>
      </w:r>
    </w:p>
    <w:p w14:paraId="68C8F7F4" w14:textId="0323533E" w:rsidR="006D2C4A" w:rsidRPr="00B338C4" w:rsidRDefault="0090687F" w:rsidP="006D2C4A">
      <w:pPr>
        <w:pStyle w:val="Sinespaciado"/>
        <w:jc w:val="center"/>
        <w:rPr>
          <w:rFonts w:ascii="Times New Roman" w:hAnsi="Times New Roman" w:cs="Times New Roman"/>
          <w:sz w:val="18"/>
          <w:szCs w:val="14"/>
          <w:lang w:val="es-MX"/>
        </w:rPr>
      </w:pPr>
      <w:r>
        <w:rPr>
          <w:rFonts w:ascii="Times New Roman" w:hAnsi="Times New Roman" w:cs="Times New Roman"/>
          <w:sz w:val="18"/>
          <w:szCs w:val="14"/>
          <w:lang w:val="es-MX"/>
        </w:rPr>
        <w:t xml:space="preserve">Enero </w:t>
      </w:r>
      <w:r w:rsidR="006D2C4A" w:rsidRPr="00B338C4">
        <w:rPr>
          <w:rFonts w:ascii="Times New Roman" w:hAnsi="Times New Roman" w:cs="Times New Roman"/>
          <w:sz w:val="18"/>
          <w:szCs w:val="14"/>
          <w:lang w:val="es-MX"/>
        </w:rPr>
        <w:t>202</w:t>
      </w:r>
      <w:r>
        <w:rPr>
          <w:rFonts w:ascii="Times New Roman" w:hAnsi="Times New Roman" w:cs="Times New Roman"/>
          <w:sz w:val="18"/>
          <w:szCs w:val="14"/>
          <w:lang w:val="es-MX"/>
        </w:rPr>
        <w:t>3</w:t>
      </w:r>
      <w:r w:rsidR="006D2C4A" w:rsidRPr="00B338C4">
        <w:rPr>
          <w:rFonts w:ascii="Times New Roman" w:hAnsi="Times New Roman" w:cs="Times New Roman"/>
          <w:sz w:val="18"/>
          <w:szCs w:val="14"/>
          <w:lang w:val="es-MX"/>
        </w:rPr>
        <w:t xml:space="preserve"> – 202</w:t>
      </w:r>
    </w:p>
    <w:p w14:paraId="00DD3D76" w14:textId="6FC91B59" w:rsidR="006D2C4A" w:rsidRPr="00B93E46" w:rsidRDefault="006D2C4A" w:rsidP="006D2C4A">
      <w:pPr>
        <w:pStyle w:val="Sinespaciado"/>
        <w:jc w:val="center"/>
        <w:rPr>
          <w:rFonts w:ascii="Times New Roman" w:hAnsi="Times New Roman" w:cs="Times New Roman"/>
          <w:lang w:val="es-MX"/>
        </w:rPr>
      </w:pPr>
      <w:r w:rsidRPr="00B338C4">
        <w:rPr>
          <w:rFonts w:ascii="Times New Roman" w:hAnsi="Times New Roman" w:cs="Times New Roman"/>
          <w:sz w:val="18"/>
          <w:szCs w:val="18"/>
          <w:lang w:val="es-MX"/>
        </w:rPr>
        <w:t>V</w:t>
      </w:r>
      <w:r w:rsidRPr="00B93E46">
        <w:rPr>
          <w:rFonts w:ascii="Times New Roman" w:hAnsi="Times New Roman" w:cs="Times New Roman"/>
          <w:sz w:val="20"/>
          <w:szCs w:val="20"/>
          <w:lang w:val="es-MX"/>
        </w:rPr>
        <w:t>ariación absoluta interanual</w:t>
      </w:r>
    </w:p>
    <w:p w14:paraId="428B87F9" w14:textId="112B29BC" w:rsidR="006D2C4A" w:rsidRPr="007C2C0E" w:rsidRDefault="00685CC7" w:rsidP="006D2C4A">
      <w:pPr>
        <w:pStyle w:val="Sinespaciado"/>
        <w:jc w:val="center"/>
        <w:rPr>
          <w:rFonts w:ascii="Times New Roman" w:hAnsi="Times New Roman" w:cs="Times New Roman"/>
          <w:color w:val="FF0000"/>
          <w:lang w:val="es-MX"/>
        </w:rPr>
      </w:pPr>
      <w:r w:rsidRPr="00B338C4">
        <w:rPr>
          <w:noProof/>
        </w:rPr>
        <w:drawing>
          <wp:anchor distT="0" distB="0" distL="114300" distR="114300" simplePos="0" relativeHeight="251666432" behindDoc="0" locked="0" layoutInCell="1" allowOverlap="1" wp14:anchorId="2DEDAA59" wp14:editId="74FE2FD3">
            <wp:simplePos x="0" y="0"/>
            <wp:positionH relativeFrom="column">
              <wp:posOffset>-3014</wp:posOffset>
            </wp:positionH>
            <wp:positionV relativeFrom="paragraph">
              <wp:posOffset>24122</wp:posOffset>
            </wp:positionV>
            <wp:extent cx="2694940" cy="2006220"/>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DEC2675" w14:textId="77777777" w:rsidR="006D2C4A" w:rsidRPr="007C2C0E" w:rsidRDefault="006D2C4A" w:rsidP="006D2C4A">
      <w:pPr>
        <w:pStyle w:val="Sinespaciado"/>
        <w:jc w:val="center"/>
        <w:rPr>
          <w:rFonts w:ascii="Times New Roman" w:hAnsi="Times New Roman" w:cs="Times New Roman"/>
          <w:color w:val="FF0000"/>
          <w:lang w:val="es-MX"/>
        </w:rPr>
      </w:pPr>
    </w:p>
    <w:p w14:paraId="678C5B5A" w14:textId="77777777" w:rsidR="006D2C4A" w:rsidRPr="007C2C0E" w:rsidRDefault="006D2C4A" w:rsidP="006D2C4A">
      <w:pPr>
        <w:pStyle w:val="Sinespaciado"/>
        <w:jc w:val="center"/>
        <w:rPr>
          <w:rFonts w:ascii="Times New Roman" w:hAnsi="Times New Roman" w:cs="Times New Roman"/>
          <w:color w:val="FF0000"/>
          <w:lang w:val="es-MX"/>
        </w:rPr>
      </w:pPr>
    </w:p>
    <w:p w14:paraId="0E99677C" w14:textId="77777777" w:rsidR="006D2C4A" w:rsidRPr="007C2C0E" w:rsidRDefault="006D2C4A" w:rsidP="006D2C4A">
      <w:pPr>
        <w:pStyle w:val="Sinespaciado"/>
        <w:jc w:val="center"/>
        <w:rPr>
          <w:rFonts w:ascii="Times New Roman" w:hAnsi="Times New Roman" w:cs="Times New Roman"/>
          <w:color w:val="FF0000"/>
          <w:lang w:val="es-MX"/>
        </w:rPr>
      </w:pPr>
    </w:p>
    <w:p w14:paraId="2E23C715" w14:textId="77777777" w:rsidR="006D2C4A" w:rsidRPr="007C2C0E" w:rsidRDefault="006D2C4A" w:rsidP="006D2C4A">
      <w:pPr>
        <w:pStyle w:val="Sinespaciado"/>
        <w:jc w:val="center"/>
        <w:rPr>
          <w:rFonts w:ascii="Times New Roman" w:hAnsi="Times New Roman" w:cs="Times New Roman"/>
          <w:color w:val="FF0000"/>
          <w:lang w:val="es-MX"/>
        </w:rPr>
      </w:pPr>
    </w:p>
    <w:p w14:paraId="2D992B99" w14:textId="77777777" w:rsidR="006D2C4A" w:rsidRPr="007C2C0E" w:rsidRDefault="006D2C4A" w:rsidP="006D2C4A">
      <w:pPr>
        <w:pStyle w:val="Sinespaciado"/>
        <w:jc w:val="center"/>
        <w:rPr>
          <w:rFonts w:ascii="Times New Roman" w:hAnsi="Times New Roman" w:cs="Times New Roman"/>
          <w:color w:val="FF0000"/>
          <w:lang w:val="es-MX"/>
        </w:rPr>
      </w:pPr>
    </w:p>
    <w:p w14:paraId="682A648C" w14:textId="77777777" w:rsidR="006D2C4A" w:rsidRPr="007C2C0E" w:rsidRDefault="006D2C4A" w:rsidP="006D2C4A">
      <w:pPr>
        <w:pStyle w:val="Sinespaciado"/>
        <w:jc w:val="center"/>
        <w:rPr>
          <w:rFonts w:ascii="Times New Roman" w:hAnsi="Times New Roman" w:cs="Times New Roman"/>
          <w:color w:val="FF0000"/>
          <w:lang w:val="es-MX"/>
        </w:rPr>
      </w:pPr>
    </w:p>
    <w:p w14:paraId="3D603224" w14:textId="77777777" w:rsidR="006D2C4A" w:rsidRPr="007C2C0E" w:rsidRDefault="006D2C4A" w:rsidP="006D2C4A">
      <w:pPr>
        <w:pStyle w:val="Sinespaciado"/>
        <w:jc w:val="center"/>
        <w:rPr>
          <w:rFonts w:ascii="Times New Roman" w:hAnsi="Times New Roman" w:cs="Times New Roman"/>
          <w:color w:val="FF0000"/>
          <w:lang w:val="es-MX"/>
        </w:rPr>
      </w:pPr>
    </w:p>
    <w:p w14:paraId="2E705C68" w14:textId="77777777" w:rsidR="006D2C4A" w:rsidRPr="007C2C0E" w:rsidRDefault="006D2C4A" w:rsidP="006D2C4A">
      <w:pPr>
        <w:pStyle w:val="Sinespaciado"/>
        <w:jc w:val="center"/>
        <w:rPr>
          <w:rFonts w:ascii="Times New Roman" w:hAnsi="Times New Roman" w:cs="Times New Roman"/>
          <w:color w:val="FF0000"/>
          <w:lang w:val="es-MX"/>
        </w:rPr>
      </w:pPr>
    </w:p>
    <w:p w14:paraId="2795C6A4" w14:textId="77777777" w:rsidR="006D2C4A" w:rsidRPr="007C2C0E" w:rsidRDefault="006D2C4A" w:rsidP="006D2C4A">
      <w:pPr>
        <w:pStyle w:val="Sinespaciado"/>
        <w:jc w:val="center"/>
        <w:rPr>
          <w:rFonts w:ascii="Times New Roman" w:hAnsi="Times New Roman" w:cs="Times New Roman"/>
          <w:color w:val="FF0000"/>
          <w:lang w:val="es-MX"/>
        </w:rPr>
      </w:pPr>
    </w:p>
    <w:p w14:paraId="37F258A5" w14:textId="77777777" w:rsidR="006D2C4A" w:rsidRPr="007C2C0E" w:rsidRDefault="006D2C4A" w:rsidP="006D2C4A">
      <w:pPr>
        <w:pStyle w:val="Sinespaciado"/>
        <w:jc w:val="center"/>
        <w:rPr>
          <w:rFonts w:ascii="Times New Roman" w:hAnsi="Times New Roman" w:cs="Times New Roman"/>
          <w:color w:val="FF0000"/>
          <w:lang w:val="es-MX"/>
        </w:rPr>
      </w:pPr>
    </w:p>
    <w:p w14:paraId="673F8E53" w14:textId="77777777" w:rsidR="006D2C4A" w:rsidRPr="007C2C0E" w:rsidRDefault="006D2C4A" w:rsidP="006D2C4A">
      <w:pPr>
        <w:pStyle w:val="Sinespaciado"/>
        <w:jc w:val="center"/>
        <w:rPr>
          <w:rFonts w:ascii="Times New Roman" w:hAnsi="Times New Roman" w:cs="Times New Roman"/>
          <w:color w:val="FF0000"/>
          <w:lang w:val="es-MX"/>
        </w:rPr>
      </w:pPr>
    </w:p>
    <w:p w14:paraId="055C1FFC" w14:textId="77777777" w:rsidR="006D2C4A" w:rsidRDefault="006D2C4A" w:rsidP="006D2C4A">
      <w:pPr>
        <w:spacing w:after="0" w:line="240" w:lineRule="auto"/>
        <w:jc w:val="both"/>
        <w:rPr>
          <w:rFonts w:ascii="Times New Roman" w:hAnsi="Times New Roman" w:cs="Times New Roman"/>
          <w:sz w:val="14"/>
          <w:szCs w:val="20"/>
        </w:rPr>
      </w:pPr>
    </w:p>
    <w:p w14:paraId="3A43B407" w14:textId="77777777" w:rsidR="006D2C4A" w:rsidRPr="00B338C4" w:rsidRDefault="006D2C4A" w:rsidP="006D2C4A">
      <w:pPr>
        <w:spacing w:after="0" w:line="240" w:lineRule="auto"/>
        <w:jc w:val="both"/>
        <w:rPr>
          <w:rFonts w:ascii="Times New Roman" w:hAnsi="Times New Roman" w:cs="Times New Roman"/>
          <w:sz w:val="14"/>
          <w:szCs w:val="20"/>
        </w:rPr>
      </w:pPr>
      <w:r w:rsidRPr="00B338C4">
        <w:rPr>
          <w:rFonts w:ascii="Times New Roman" w:hAnsi="Times New Roman" w:cs="Times New Roman"/>
          <w:sz w:val="14"/>
          <w:szCs w:val="20"/>
        </w:rPr>
        <w:t>Fuente: Dirección de Análisis y Política Fiscal.</w:t>
      </w:r>
    </w:p>
    <w:p w14:paraId="525E5432" w14:textId="3353DF6B" w:rsidR="006D2C4A" w:rsidRDefault="006D2C4A" w:rsidP="006D2C4A">
      <w:pPr>
        <w:pStyle w:val="Sinespaciado"/>
        <w:jc w:val="both"/>
        <w:rPr>
          <w:rFonts w:ascii="Times New Roman" w:hAnsi="Times New Roman" w:cs="Times New Roman"/>
          <w:lang w:val="es-MX"/>
        </w:rPr>
      </w:pPr>
    </w:p>
    <w:p w14:paraId="07D0F256" w14:textId="77777777" w:rsidR="006D2C4A" w:rsidRDefault="006D2C4A" w:rsidP="006D2C4A">
      <w:pPr>
        <w:pStyle w:val="Sinespaciado"/>
        <w:jc w:val="both"/>
        <w:rPr>
          <w:rFonts w:ascii="Times New Roman" w:hAnsi="Times New Roman" w:cs="Times New Roman"/>
          <w:lang w:val="es-MX"/>
        </w:rPr>
      </w:pPr>
      <w:r w:rsidRPr="00B338C4">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8</w:t>
      </w:r>
      <w:r w:rsidRPr="00B338C4">
        <w:rPr>
          <w:rFonts w:ascii="Times New Roman" w:hAnsi="Times New Roman" w:cs="Times New Roman"/>
          <w:lang w:val="es-MX"/>
        </w:rPr>
        <w:t>,</w:t>
      </w:r>
      <w:r>
        <w:rPr>
          <w:rFonts w:ascii="Times New Roman" w:hAnsi="Times New Roman" w:cs="Times New Roman"/>
          <w:lang w:val="es-MX"/>
        </w:rPr>
        <w:t>090.1</w:t>
      </w:r>
      <w:r w:rsidRPr="00B338C4">
        <w:rPr>
          <w:rFonts w:ascii="Times New Roman" w:hAnsi="Times New Roman" w:cs="Times New Roman"/>
          <w:lang w:val="es-MX"/>
        </w:rPr>
        <w:t xml:space="preserve"> millones, con un grado de ejecución de 6.9% y una variación interanual de </w:t>
      </w:r>
      <w:r>
        <w:rPr>
          <w:rFonts w:ascii="Times New Roman" w:hAnsi="Times New Roman" w:cs="Times New Roman"/>
          <w:lang w:val="es-MX"/>
        </w:rPr>
        <w:t>10</w:t>
      </w:r>
      <w:r w:rsidRPr="00B338C4">
        <w:rPr>
          <w:rFonts w:ascii="Times New Roman" w:hAnsi="Times New Roman" w:cs="Times New Roman"/>
          <w:lang w:val="es-MX"/>
        </w:rPr>
        <w:t>.</w:t>
      </w:r>
      <w:r>
        <w:rPr>
          <w:rFonts w:ascii="Times New Roman" w:hAnsi="Times New Roman" w:cs="Times New Roman"/>
          <w:lang w:val="es-MX"/>
        </w:rPr>
        <w:t>9</w:t>
      </w:r>
      <w:r w:rsidRPr="00B338C4">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6</w:t>
      </w:r>
      <w:r w:rsidRPr="00B338C4">
        <w:rPr>
          <w:rFonts w:ascii="Times New Roman" w:hAnsi="Times New Roman" w:cs="Times New Roman"/>
          <w:lang w:val="es-MX"/>
        </w:rPr>
        <w:t>.</w:t>
      </w:r>
      <w:r>
        <w:rPr>
          <w:rFonts w:ascii="Times New Roman" w:hAnsi="Times New Roman" w:cs="Times New Roman"/>
          <w:lang w:val="es-MX"/>
        </w:rPr>
        <w:t>1</w:t>
      </w:r>
      <w:r w:rsidRPr="00B338C4">
        <w:rPr>
          <w:rFonts w:ascii="Times New Roman" w:hAnsi="Times New Roman" w:cs="Times New Roman"/>
          <w:lang w:val="es-MX"/>
        </w:rPr>
        <w:t>%) y es superior a cada uno de los años anteriores</w:t>
      </w:r>
      <w:r>
        <w:rPr>
          <w:rFonts w:ascii="Times New Roman" w:hAnsi="Times New Roman" w:cs="Times New Roman"/>
          <w:lang w:val="es-MX"/>
        </w:rPr>
        <w:t xml:space="preserve">. </w:t>
      </w:r>
    </w:p>
    <w:p w14:paraId="32F44A14" w14:textId="77777777" w:rsidR="006D2C4A" w:rsidRPr="00B338C4" w:rsidRDefault="006D2C4A" w:rsidP="006D2C4A">
      <w:pPr>
        <w:pStyle w:val="Sinespaciado"/>
        <w:jc w:val="both"/>
        <w:rPr>
          <w:rFonts w:ascii="Times New Roman" w:hAnsi="Times New Roman" w:cs="Times New Roman"/>
          <w:lang w:val="es-MX"/>
        </w:rPr>
      </w:pPr>
      <w:r>
        <w:rPr>
          <w:rFonts w:ascii="Times New Roman" w:hAnsi="Times New Roman" w:cs="Times New Roman"/>
          <w:lang w:val="es-MX"/>
        </w:rPr>
        <w:t xml:space="preserve">Aunque es importante tomar en consideración que el presupuesto corresponde al del año anterior más las ampliaciones que fueron </w:t>
      </w:r>
      <w:r>
        <w:rPr>
          <w:rFonts w:ascii="Times New Roman" w:hAnsi="Times New Roman" w:cs="Times New Roman"/>
          <w:lang w:val="es-MX"/>
        </w:rPr>
        <w:lastRenderedPageBreak/>
        <w:t>aprobadas por el Congreso de la República, por lo que es posible que durante todo el ejercicio fiscal se observe un grado de ejecución mayor al de los años anteriores.</w:t>
      </w:r>
    </w:p>
    <w:p w14:paraId="60CAAC1E" w14:textId="77777777" w:rsidR="006D2C4A" w:rsidRPr="00B338C4" w:rsidRDefault="006D2C4A" w:rsidP="006D2C4A">
      <w:pPr>
        <w:pStyle w:val="Sinespaciado"/>
        <w:jc w:val="both"/>
        <w:rPr>
          <w:rFonts w:ascii="Times New Roman" w:hAnsi="Times New Roman" w:cs="Times New Roman"/>
          <w:lang w:val="es-MX"/>
        </w:rPr>
      </w:pPr>
    </w:p>
    <w:p w14:paraId="5A39E658" w14:textId="77777777" w:rsidR="006D2C4A" w:rsidRPr="00B338C4" w:rsidRDefault="006D2C4A" w:rsidP="006D2C4A">
      <w:pPr>
        <w:pStyle w:val="Sinespaciado"/>
        <w:jc w:val="both"/>
        <w:rPr>
          <w:rFonts w:ascii="Times New Roman" w:hAnsi="Times New Roman" w:cs="Times New Roman"/>
          <w:b/>
          <w:lang w:val="es-MX"/>
        </w:rPr>
      </w:pPr>
      <w:r w:rsidRPr="00B338C4">
        <w:rPr>
          <w:rFonts w:ascii="Times New Roman" w:hAnsi="Times New Roman" w:cs="Times New Roman"/>
          <w:lang w:val="es-MX"/>
        </w:rPr>
        <w:t xml:space="preserve"> </w:t>
      </w:r>
      <w:r w:rsidRPr="00B338C4">
        <w:rPr>
          <w:rFonts w:ascii="Times New Roman" w:hAnsi="Times New Roman" w:cs="Times New Roman"/>
          <w:b/>
          <w:lang w:val="es-MX"/>
        </w:rPr>
        <w:t>Grado de Ejecución de los últimos 5 años</w:t>
      </w:r>
    </w:p>
    <w:p w14:paraId="7A46A9F0" w14:textId="77777777" w:rsidR="006D2C4A" w:rsidRPr="00B93E46" w:rsidRDefault="006D2C4A" w:rsidP="006D2C4A">
      <w:pPr>
        <w:pStyle w:val="Sinespaciado"/>
        <w:jc w:val="center"/>
        <w:rPr>
          <w:rFonts w:ascii="Times New Roman" w:hAnsi="Times New Roman" w:cs="Times New Roman"/>
          <w:sz w:val="20"/>
          <w:szCs w:val="20"/>
          <w:lang w:val="es-MX"/>
        </w:rPr>
      </w:pPr>
      <w:r w:rsidRPr="00B93E46">
        <w:rPr>
          <w:rFonts w:ascii="Times New Roman" w:hAnsi="Times New Roman" w:cs="Times New Roman"/>
          <w:sz w:val="20"/>
          <w:szCs w:val="20"/>
          <w:lang w:val="es-MX"/>
        </w:rPr>
        <w:t>Al 31 de enero de cada año</w:t>
      </w:r>
    </w:p>
    <w:p w14:paraId="03F25294" w14:textId="19029FFA" w:rsidR="006D2C4A" w:rsidRPr="00B93E46" w:rsidRDefault="00685CC7" w:rsidP="006D2C4A">
      <w:pPr>
        <w:pStyle w:val="Sinespaciado"/>
        <w:jc w:val="center"/>
        <w:rPr>
          <w:rFonts w:ascii="Times New Roman" w:hAnsi="Times New Roman" w:cs="Times New Roman"/>
          <w:sz w:val="20"/>
          <w:szCs w:val="20"/>
          <w:lang w:val="es-MX"/>
        </w:rPr>
      </w:pPr>
      <w:r w:rsidRPr="00B338C4">
        <w:rPr>
          <w:noProof/>
        </w:rPr>
        <w:drawing>
          <wp:anchor distT="0" distB="0" distL="114300" distR="114300" simplePos="0" relativeHeight="251667456" behindDoc="0" locked="0" layoutInCell="1" allowOverlap="1" wp14:anchorId="30860E2B" wp14:editId="4C57BB39">
            <wp:simplePos x="0" y="0"/>
            <wp:positionH relativeFrom="column">
              <wp:posOffset>4862</wp:posOffset>
            </wp:positionH>
            <wp:positionV relativeFrom="paragraph">
              <wp:posOffset>146571</wp:posOffset>
            </wp:positionV>
            <wp:extent cx="2661285" cy="1371600"/>
            <wp:effectExtent l="0" t="0" r="5715" b="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D2C4A" w:rsidRPr="00B93E46">
        <w:rPr>
          <w:rFonts w:ascii="Times New Roman" w:hAnsi="Times New Roman" w:cs="Times New Roman"/>
          <w:sz w:val="20"/>
          <w:szCs w:val="20"/>
          <w:lang w:val="es-MX"/>
        </w:rPr>
        <w:t xml:space="preserve"> (porcentajes)</w:t>
      </w:r>
    </w:p>
    <w:p w14:paraId="0256AAF2" w14:textId="378F8C35" w:rsidR="006D2C4A" w:rsidRPr="007C2C0E" w:rsidRDefault="006D2C4A" w:rsidP="006D2C4A">
      <w:pPr>
        <w:pStyle w:val="Sinespaciado"/>
        <w:jc w:val="center"/>
        <w:rPr>
          <w:rFonts w:ascii="Times New Roman" w:hAnsi="Times New Roman" w:cs="Times New Roman"/>
          <w:color w:val="FF0000"/>
          <w:szCs w:val="18"/>
          <w:lang w:val="es-MX"/>
        </w:rPr>
      </w:pPr>
    </w:p>
    <w:p w14:paraId="51E8BBB6"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68761EFE"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168FDA01"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27AB2923"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6C55F635"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38D34EEF"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1D87EE15"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2F47BF95" w14:textId="77777777" w:rsidR="00685CC7" w:rsidRDefault="00685CC7" w:rsidP="006D2C4A">
      <w:pPr>
        <w:pStyle w:val="Sinespaciado"/>
        <w:jc w:val="both"/>
        <w:rPr>
          <w:rFonts w:ascii="Times New Roman" w:hAnsi="Times New Roman" w:cs="Times New Roman"/>
          <w:sz w:val="14"/>
          <w:szCs w:val="14"/>
          <w:lang w:val="es-MX"/>
        </w:rPr>
      </w:pPr>
    </w:p>
    <w:p w14:paraId="12AF120A" w14:textId="77777777" w:rsidR="006D2C4A" w:rsidRPr="00B338C4" w:rsidRDefault="006D2C4A" w:rsidP="006D2C4A">
      <w:pPr>
        <w:pStyle w:val="Sinespaciado"/>
        <w:jc w:val="both"/>
        <w:rPr>
          <w:rFonts w:ascii="Times New Roman" w:hAnsi="Times New Roman" w:cs="Times New Roman"/>
          <w:sz w:val="14"/>
          <w:szCs w:val="14"/>
          <w:lang w:val="es-MX"/>
        </w:rPr>
      </w:pPr>
      <w:r w:rsidRPr="00B338C4">
        <w:rPr>
          <w:rFonts w:ascii="Times New Roman" w:hAnsi="Times New Roman" w:cs="Times New Roman"/>
          <w:sz w:val="14"/>
          <w:szCs w:val="14"/>
          <w:lang w:val="es-MX"/>
        </w:rPr>
        <w:t>Fuente: Dirección de Análisis y Política Fiscal.</w:t>
      </w:r>
    </w:p>
    <w:p w14:paraId="6153CEB7" w14:textId="77777777" w:rsidR="006D2C4A" w:rsidRPr="007C2C0E" w:rsidRDefault="006D2C4A" w:rsidP="006D2C4A">
      <w:pPr>
        <w:pStyle w:val="Sinespaciado"/>
        <w:jc w:val="both"/>
        <w:rPr>
          <w:rFonts w:ascii="Times New Roman" w:hAnsi="Times New Roman" w:cs="Times New Roman"/>
          <w:color w:val="FF0000"/>
        </w:rPr>
      </w:pPr>
    </w:p>
    <w:p w14:paraId="672E2E73" w14:textId="77777777" w:rsidR="006D2C4A" w:rsidRPr="00B338C4" w:rsidRDefault="006D2C4A" w:rsidP="006D2C4A">
      <w:pPr>
        <w:pStyle w:val="Sinespaciado"/>
        <w:jc w:val="both"/>
        <w:rPr>
          <w:rFonts w:ascii="Times New Roman" w:hAnsi="Times New Roman" w:cs="Times New Roman"/>
        </w:rPr>
      </w:pPr>
      <w:r w:rsidRPr="00B338C4">
        <w:rPr>
          <w:rFonts w:ascii="Times New Roman" w:hAnsi="Times New Roman" w:cs="Times New Roman"/>
        </w:rPr>
        <w:t>A nivel del gasto público por entidades, las que muestran el mayor nivel de ejecución son:</w:t>
      </w:r>
      <w:r>
        <w:rPr>
          <w:rFonts w:ascii="Times New Roman" w:hAnsi="Times New Roman" w:cs="Times New Roman"/>
        </w:rPr>
        <w:t xml:space="preserve"> Educación (9.0%)</w:t>
      </w:r>
      <w:r w:rsidRPr="00B338C4">
        <w:rPr>
          <w:rFonts w:ascii="Times New Roman" w:hAnsi="Times New Roman" w:cs="Times New Roman"/>
        </w:rPr>
        <w:t>,</w:t>
      </w:r>
      <w:r>
        <w:rPr>
          <w:rFonts w:ascii="Times New Roman" w:hAnsi="Times New Roman" w:cs="Times New Roman"/>
        </w:rPr>
        <w:t xml:space="preserve"> Trabajo y Previsión Social (8.3%), Finanzas Públicas (8.2%), Defensa Nacional (8.0%), Presidencia (7.9%), Salud Pública y Asistencia Social (7.8%), Gobernación (7.4%) y PGN (7.3%),</w:t>
      </w:r>
      <w:r w:rsidRPr="00B338C4">
        <w:rPr>
          <w:rFonts w:ascii="Times New Roman" w:hAnsi="Times New Roman" w:cs="Times New Roman"/>
        </w:rPr>
        <w:t xml:space="preserve"> todas estas entidades se encuentran por arriba de la ejecución institucional total (6.9%).</w:t>
      </w:r>
    </w:p>
    <w:p w14:paraId="71B8E829" w14:textId="77777777" w:rsidR="006D2C4A" w:rsidRPr="00B338C4" w:rsidRDefault="006D2C4A" w:rsidP="006D2C4A">
      <w:pPr>
        <w:pStyle w:val="Sinespaciado"/>
        <w:jc w:val="both"/>
        <w:rPr>
          <w:rFonts w:ascii="Times New Roman" w:hAnsi="Times New Roman" w:cs="Times New Roman"/>
        </w:rPr>
      </w:pPr>
    </w:p>
    <w:p w14:paraId="4E2889B1" w14:textId="5DAF6CCC" w:rsidR="006D2C4A" w:rsidRPr="00BC3291" w:rsidRDefault="006D2C4A" w:rsidP="006D2C4A">
      <w:pPr>
        <w:spacing w:after="0" w:line="240" w:lineRule="auto"/>
        <w:jc w:val="both"/>
        <w:rPr>
          <w:rFonts w:ascii="Times New Roman" w:hAnsi="Times New Roman" w:cs="Times New Roman"/>
        </w:rPr>
      </w:pPr>
      <w:r w:rsidRPr="00B338C4">
        <w:rPr>
          <w:rFonts w:ascii="Times New Roman" w:hAnsi="Times New Roman" w:cs="Times New Roman"/>
        </w:rPr>
        <w:t xml:space="preserve">El resto de las entidades se encuentra por debajo de la ejecución institucional total. Resalta </w:t>
      </w:r>
      <w:r>
        <w:rPr>
          <w:rFonts w:ascii="Times New Roman" w:hAnsi="Times New Roman" w:cs="Times New Roman"/>
        </w:rPr>
        <w:t>el Ministerio de Desarrollo Social con un nivel de ejecución de 1.7%,</w:t>
      </w:r>
      <w:r w:rsidRPr="00B338C4">
        <w:rPr>
          <w:rFonts w:ascii="Times New Roman" w:hAnsi="Times New Roman" w:cs="Times New Roman"/>
        </w:rPr>
        <w:t xml:space="preserve"> estando</w:t>
      </w:r>
      <w:r>
        <w:rPr>
          <w:rFonts w:ascii="Times New Roman" w:hAnsi="Times New Roman" w:cs="Times New Roman"/>
        </w:rPr>
        <w:t xml:space="preserve"> muy</w:t>
      </w:r>
      <w:r w:rsidRPr="00B338C4">
        <w:rPr>
          <w:rFonts w:ascii="Times New Roman" w:hAnsi="Times New Roman" w:cs="Times New Roman"/>
        </w:rPr>
        <w:t xml:space="preserve"> por debajo de la ejecución promedio.</w:t>
      </w:r>
    </w:p>
    <w:p w14:paraId="49FBB0C5" w14:textId="77777777" w:rsidR="00BC3291" w:rsidRPr="00BC3291" w:rsidRDefault="00BC3291" w:rsidP="00BC3291">
      <w:pPr>
        <w:spacing w:after="0" w:line="240" w:lineRule="auto"/>
        <w:rPr>
          <w:rFonts w:ascii="Times New Roman" w:hAnsi="Times New Roman" w:cs="Times New Roman"/>
        </w:rPr>
      </w:pPr>
    </w:p>
    <w:p w14:paraId="4265A512" w14:textId="77777777" w:rsidR="006D2C4A" w:rsidRPr="00B338C4" w:rsidRDefault="006D2C4A" w:rsidP="006D2C4A">
      <w:pPr>
        <w:spacing w:after="0" w:line="240" w:lineRule="auto"/>
        <w:jc w:val="center"/>
        <w:rPr>
          <w:rFonts w:ascii="Times New Roman" w:hAnsi="Times New Roman" w:cs="Times New Roman"/>
          <w:b/>
          <w:sz w:val="24"/>
          <w:lang w:val="es-MX"/>
        </w:rPr>
      </w:pPr>
      <w:r w:rsidRPr="00B338C4">
        <w:rPr>
          <w:rFonts w:ascii="Times New Roman" w:hAnsi="Times New Roman" w:cs="Times New Roman"/>
          <w:b/>
          <w:szCs w:val="20"/>
          <w:lang w:val="es-MX"/>
        </w:rPr>
        <w:t>Grado de Ejecución por Entidad</w:t>
      </w:r>
    </w:p>
    <w:p w14:paraId="507A7762" w14:textId="77777777" w:rsidR="006D2C4A" w:rsidRPr="00B93E46" w:rsidRDefault="006D2C4A" w:rsidP="006D2C4A">
      <w:pPr>
        <w:spacing w:after="0" w:line="240" w:lineRule="auto"/>
        <w:jc w:val="center"/>
        <w:rPr>
          <w:rFonts w:ascii="Times New Roman" w:hAnsi="Times New Roman" w:cs="Times New Roman"/>
          <w:sz w:val="20"/>
          <w:szCs w:val="20"/>
          <w:lang w:val="es-MX"/>
        </w:rPr>
      </w:pPr>
      <w:r w:rsidRPr="00B93E46">
        <w:rPr>
          <w:rFonts w:ascii="Times New Roman" w:hAnsi="Times New Roman" w:cs="Times New Roman"/>
          <w:sz w:val="20"/>
          <w:szCs w:val="20"/>
          <w:lang w:val="es-MX"/>
        </w:rPr>
        <w:t>Al 31 de enero de 2024</w:t>
      </w:r>
    </w:p>
    <w:p w14:paraId="0542CE43" w14:textId="2D13647D" w:rsidR="006D2C4A" w:rsidRPr="00B93E46" w:rsidRDefault="00685CC7" w:rsidP="006D2C4A">
      <w:pPr>
        <w:spacing w:after="0" w:line="240" w:lineRule="auto"/>
        <w:jc w:val="center"/>
        <w:rPr>
          <w:rFonts w:ascii="Times New Roman" w:hAnsi="Times New Roman" w:cs="Times New Roman"/>
          <w:sz w:val="20"/>
          <w:szCs w:val="20"/>
          <w:lang w:val="es-MX"/>
        </w:rPr>
      </w:pPr>
      <w:r w:rsidRPr="00B93E46">
        <w:rPr>
          <w:noProof/>
          <w:color w:val="FF0000"/>
          <w:sz w:val="20"/>
          <w:szCs w:val="20"/>
          <w:lang w:eastAsia="es-GT"/>
        </w:rPr>
        <w:drawing>
          <wp:anchor distT="0" distB="0" distL="114300" distR="114300" simplePos="0" relativeHeight="251669504" behindDoc="0" locked="0" layoutInCell="1" allowOverlap="1" wp14:anchorId="02D6098C" wp14:editId="3CF7A2B7">
            <wp:simplePos x="0" y="0"/>
            <wp:positionH relativeFrom="margin">
              <wp:posOffset>4863</wp:posOffset>
            </wp:positionH>
            <wp:positionV relativeFrom="paragraph">
              <wp:posOffset>134317</wp:posOffset>
            </wp:positionV>
            <wp:extent cx="2569978" cy="2231390"/>
            <wp:effectExtent l="0" t="0" r="1905"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D2C4A" w:rsidRPr="00B93E46">
        <w:rPr>
          <w:rFonts w:ascii="Times New Roman" w:hAnsi="Times New Roman" w:cs="Times New Roman"/>
          <w:sz w:val="20"/>
          <w:szCs w:val="20"/>
          <w:lang w:val="es-MX"/>
        </w:rPr>
        <w:t xml:space="preserve"> (Porcentajes)</w:t>
      </w:r>
    </w:p>
    <w:p w14:paraId="6EEF83C7" w14:textId="4A717F39" w:rsidR="006D2C4A" w:rsidRPr="007C2C0E" w:rsidRDefault="006D2C4A" w:rsidP="006D2C4A">
      <w:pPr>
        <w:spacing w:after="0" w:line="240" w:lineRule="auto"/>
        <w:jc w:val="center"/>
        <w:rPr>
          <w:rFonts w:ascii="Times New Roman" w:hAnsi="Times New Roman" w:cs="Times New Roman"/>
          <w:color w:val="FF0000"/>
          <w:sz w:val="20"/>
          <w:szCs w:val="16"/>
          <w:lang w:val="es-MX"/>
        </w:rPr>
      </w:pPr>
    </w:p>
    <w:p w14:paraId="759F6645" w14:textId="0D6A3010" w:rsidR="006D2C4A" w:rsidRPr="007C2C0E" w:rsidRDefault="006D2C4A" w:rsidP="006D2C4A">
      <w:pPr>
        <w:spacing w:after="0" w:line="240" w:lineRule="auto"/>
        <w:jc w:val="center"/>
        <w:rPr>
          <w:rFonts w:ascii="Times New Roman" w:hAnsi="Times New Roman" w:cs="Times New Roman"/>
          <w:color w:val="FF0000"/>
          <w:szCs w:val="18"/>
          <w:lang w:val="es-MX"/>
        </w:rPr>
      </w:pPr>
    </w:p>
    <w:p w14:paraId="7F23645E" w14:textId="0EBEBA0E" w:rsidR="006D2C4A" w:rsidRPr="007C2C0E" w:rsidRDefault="006D2C4A" w:rsidP="006D2C4A">
      <w:pPr>
        <w:spacing w:after="0" w:line="240" w:lineRule="auto"/>
        <w:jc w:val="center"/>
        <w:rPr>
          <w:rFonts w:ascii="Times New Roman" w:hAnsi="Times New Roman" w:cs="Times New Roman"/>
          <w:color w:val="FF0000"/>
          <w:szCs w:val="18"/>
          <w:lang w:val="es-MX"/>
        </w:rPr>
      </w:pPr>
    </w:p>
    <w:p w14:paraId="0BCE5B5E" w14:textId="20F82E59" w:rsidR="006D2C4A" w:rsidRPr="007C2C0E" w:rsidRDefault="006D2C4A" w:rsidP="006D2C4A">
      <w:pPr>
        <w:spacing w:after="0" w:line="240" w:lineRule="auto"/>
        <w:jc w:val="center"/>
        <w:rPr>
          <w:rFonts w:ascii="Times New Roman" w:hAnsi="Times New Roman" w:cs="Times New Roman"/>
          <w:color w:val="FF0000"/>
          <w:szCs w:val="18"/>
          <w:lang w:val="es-MX"/>
        </w:rPr>
      </w:pPr>
    </w:p>
    <w:p w14:paraId="0693EA50" w14:textId="3AA9FA17" w:rsidR="006D2C4A" w:rsidRPr="007C2C0E" w:rsidRDefault="006D2C4A" w:rsidP="006D2C4A">
      <w:pPr>
        <w:spacing w:after="0" w:line="240" w:lineRule="auto"/>
        <w:jc w:val="center"/>
        <w:rPr>
          <w:rFonts w:ascii="Times New Roman" w:hAnsi="Times New Roman" w:cs="Times New Roman"/>
          <w:color w:val="FF0000"/>
          <w:szCs w:val="18"/>
          <w:lang w:val="es-MX"/>
        </w:rPr>
      </w:pPr>
    </w:p>
    <w:p w14:paraId="7390A546" w14:textId="388E6A50" w:rsidR="006D2C4A" w:rsidRPr="007C2C0E" w:rsidRDefault="006D2C4A" w:rsidP="006D2C4A">
      <w:pPr>
        <w:spacing w:after="0" w:line="240" w:lineRule="auto"/>
        <w:jc w:val="center"/>
        <w:rPr>
          <w:rFonts w:ascii="Times New Roman" w:hAnsi="Times New Roman" w:cs="Times New Roman"/>
          <w:color w:val="FF0000"/>
          <w:szCs w:val="18"/>
          <w:lang w:val="es-MX"/>
        </w:rPr>
      </w:pPr>
    </w:p>
    <w:p w14:paraId="0F2160B3"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0E8766A8" w14:textId="506AD252" w:rsidR="006D2C4A" w:rsidRPr="007C2C0E" w:rsidRDefault="006D2C4A" w:rsidP="006D2C4A">
      <w:pPr>
        <w:spacing w:after="0" w:line="240" w:lineRule="auto"/>
        <w:jc w:val="center"/>
        <w:rPr>
          <w:rFonts w:ascii="Times New Roman" w:hAnsi="Times New Roman" w:cs="Times New Roman"/>
          <w:color w:val="FF0000"/>
          <w:szCs w:val="18"/>
          <w:lang w:val="es-MX"/>
        </w:rPr>
      </w:pPr>
    </w:p>
    <w:p w14:paraId="7B79F446"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109D18F2"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75D2A499"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2D0173A0"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2B38316D" w14:textId="77777777" w:rsidR="00B93E46" w:rsidRDefault="00B93E46" w:rsidP="006D2C4A">
      <w:pPr>
        <w:spacing w:after="0" w:line="240" w:lineRule="auto"/>
        <w:jc w:val="both"/>
        <w:rPr>
          <w:rFonts w:ascii="Times New Roman" w:hAnsi="Times New Roman" w:cs="Times New Roman"/>
          <w:sz w:val="14"/>
          <w:szCs w:val="14"/>
        </w:rPr>
      </w:pPr>
    </w:p>
    <w:p w14:paraId="5A764A9B" w14:textId="77777777" w:rsidR="00685CC7" w:rsidRDefault="00685CC7" w:rsidP="006D2C4A">
      <w:pPr>
        <w:spacing w:after="0" w:line="240" w:lineRule="auto"/>
        <w:jc w:val="both"/>
        <w:rPr>
          <w:rFonts w:ascii="Times New Roman" w:hAnsi="Times New Roman" w:cs="Times New Roman"/>
          <w:sz w:val="14"/>
          <w:szCs w:val="14"/>
        </w:rPr>
      </w:pPr>
    </w:p>
    <w:p w14:paraId="66F7DB53" w14:textId="77777777" w:rsidR="00685CC7" w:rsidRDefault="00685CC7" w:rsidP="006D2C4A">
      <w:pPr>
        <w:spacing w:after="0" w:line="240" w:lineRule="auto"/>
        <w:jc w:val="both"/>
        <w:rPr>
          <w:rFonts w:ascii="Times New Roman" w:hAnsi="Times New Roman" w:cs="Times New Roman"/>
          <w:sz w:val="14"/>
          <w:szCs w:val="14"/>
        </w:rPr>
      </w:pPr>
    </w:p>
    <w:p w14:paraId="5C32D479" w14:textId="4DA5E474" w:rsidR="006D2C4A" w:rsidRDefault="006D2C4A" w:rsidP="006D2C4A">
      <w:pPr>
        <w:spacing w:after="0" w:line="240" w:lineRule="auto"/>
        <w:jc w:val="both"/>
        <w:rPr>
          <w:rFonts w:ascii="Times New Roman" w:hAnsi="Times New Roman" w:cs="Times New Roman"/>
          <w:sz w:val="14"/>
          <w:szCs w:val="14"/>
        </w:rPr>
      </w:pPr>
      <w:r w:rsidRPr="00B338C4">
        <w:rPr>
          <w:rFonts w:ascii="Times New Roman" w:hAnsi="Times New Roman" w:cs="Times New Roman"/>
          <w:sz w:val="14"/>
          <w:szCs w:val="14"/>
        </w:rPr>
        <w:t>Fuente: Dirección de Análisis y Política Fiscal.</w:t>
      </w:r>
    </w:p>
    <w:p w14:paraId="265CF84C" w14:textId="77777777" w:rsidR="006D2C4A" w:rsidRPr="00667AF3" w:rsidRDefault="006D2C4A" w:rsidP="006D2C4A">
      <w:pPr>
        <w:pStyle w:val="Sinespaciado"/>
        <w:jc w:val="both"/>
        <w:rPr>
          <w:rFonts w:ascii="Times New Roman" w:hAnsi="Times New Roman" w:cs="Times New Roman"/>
          <w:lang w:val="es-MX"/>
        </w:rPr>
      </w:pPr>
      <w:r>
        <w:rPr>
          <w:rFonts w:ascii="Times New Roman" w:hAnsi="Times New Roman" w:cs="Times New Roman"/>
          <w:lang w:val="es-MX"/>
        </w:rPr>
        <w:t>Es posible que, a lo largo del ejercicio fiscal, e</w:t>
      </w:r>
      <w:r w:rsidRPr="00667AF3">
        <w:rPr>
          <w:rFonts w:ascii="Times New Roman" w:hAnsi="Times New Roman" w:cs="Times New Roman"/>
          <w:lang w:val="es-MX"/>
        </w:rPr>
        <w:t>l Ministerio de Energía y Minas</w:t>
      </w:r>
      <w:r>
        <w:rPr>
          <w:rFonts w:ascii="Times New Roman" w:hAnsi="Times New Roman" w:cs="Times New Roman"/>
          <w:lang w:val="es-MX"/>
        </w:rPr>
        <w:t xml:space="preserve"> tenga un menor nivel de ejecución al observado en años anteriores, dado que para el 2024 no se tiene previsto continuar con apoyos temporales en forma de subsidios, los cuales estuvieron vigentes para gasolinas (2022) y gas propano (2021-2023), ante el alza de los precios y alta inflación. </w:t>
      </w:r>
    </w:p>
    <w:p w14:paraId="57AE53CD" w14:textId="77777777" w:rsidR="006D2C4A" w:rsidRPr="00667AF3" w:rsidRDefault="006D2C4A" w:rsidP="006D2C4A">
      <w:pPr>
        <w:pStyle w:val="Sinespaciado"/>
        <w:jc w:val="both"/>
        <w:rPr>
          <w:rFonts w:ascii="Times New Roman" w:hAnsi="Times New Roman" w:cs="Times New Roman"/>
          <w:lang w:val="es-MX"/>
        </w:rPr>
      </w:pPr>
    </w:p>
    <w:p w14:paraId="55D1B14B" w14:textId="77777777" w:rsidR="006D2C4A" w:rsidRPr="00667AF3" w:rsidRDefault="006D2C4A" w:rsidP="006D2C4A">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En cuanto al Ministerio de Desarrollo Social </w:t>
      </w:r>
      <w:r>
        <w:rPr>
          <w:rFonts w:ascii="Times New Roman" w:hAnsi="Times New Roman" w:cs="Times New Roman"/>
          <w:lang w:val="es-MX"/>
        </w:rPr>
        <w:t xml:space="preserve">aun no cuenta con </w:t>
      </w:r>
      <w:r w:rsidRPr="00667AF3">
        <w:rPr>
          <w:rFonts w:ascii="Times New Roman" w:hAnsi="Times New Roman" w:cs="Times New Roman"/>
          <w:lang w:val="es-MX"/>
        </w:rPr>
        <w:t>presupuesto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w:t>
      </w:r>
    </w:p>
    <w:p w14:paraId="688B7192" w14:textId="77777777" w:rsidR="006D2C4A" w:rsidRPr="00667AF3" w:rsidRDefault="006D2C4A" w:rsidP="006D2C4A">
      <w:pPr>
        <w:pStyle w:val="Sinespaciado"/>
        <w:jc w:val="both"/>
        <w:rPr>
          <w:rFonts w:ascii="Times New Roman" w:hAnsi="Times New Roman" w:cs="Times New Roman"/>
          <w:lang w:val="es-MX"/>
        </w:rPr>
      </w:pPr>
    </w:p>
    <w:p w14:paraId="4890DA63" w14:textId="77777777" w:rsidR="006D2C4A" w:rsidRPr="00667AF3" w:rsidRDefault="006D2C4A" w:rsidP="006D2C4A">
      <w:pPr>
        <w:pStyle w:val="Sinespaciado"/>
        <w:jc w:val="both"/>
        <w:rPr>
          <w:rFonts w:ascii="Times New Roman" w:hAnsi="Times New Roman" w:cs="Times New Roman"/>
          <w:sz w:val="18"/>
          <w:szCs w:val="18"/>
          <w:lang w:val="es-MX"/>
        </w:rPr>
      </w:pPr>
      <w:r w:rsidRPr="00667AF3">
        <w:rPr>
          <w:rFonts w:ascii="Times New Roman" w:hAnsi="Times New Roman" w:cs="Times New Roman"/>
          <w:lang w:val="es-MX"/>
        </w:rPr>
        <w:t>Hasta la fecha se han dado ampliaciones en el presupuesto de ingresos y egresos del Estado para el ejercicio fiscal 202</w:t>
      </w:r>
      <w:r>
        <w:rPr>
          <w:rFonts w:ascii="Times New Roman" w:hAnsi="Times New Roman" w:cs="Times New Roman"/>
          <w:lang w:val="es-MX"/>
        </w:rPr>
        <w:t>4</w:t>
      </w:r>
      <w:r w:rsidRPr="00667AF3">
        <w:rPr>
          <w:rFonts w:ascii="Times New Roman" w:hAnsi="Times New Roman" w:cs="Times New Roman"/>
          <w:lang w:val="es-MX"/>
        </w:rPr>
        <w:t xml:space="preserve"> por Q6</w:t>
      </w:r>
      <w:r>
        <w:rPr>
          <w:rFonts w:ascii="Times New Roman" w:hAnsi="Times New Roman" w:cs="Times New Roman"/>
          <w:lang w:val="es-MX"/>
        </w:rPr>
        <w:t>00</w:t>
      </w:r>
      <w:r w:rsidRPr="00667AF3">
        <w:rPr>
          <w:rFonts w:ascii="Times New Roman" w:hAnsi="Times New Roman" w:cs="Times New Roman"/>
          <w:lang w:val="es-MX"/>
        </w:rPr>
        <w:t xml:space="preserve"> millones, las cuales se</w:t>
      </w:r>
      <w:r>
        <w:rPr>
          <w:rFonts w:ascii="Times New Roman" w:hAnsi="Times New Roman" w:cs="Times New Roman"/>
          <w:lang w:val="es-MX"/>
        </w:rPr>
        <w:t xml:space="preserve"> encuentran en las Obligaciones del Estado a cargo del Tesoro y siendo a favor de las Clases Pasivas Civiles del Estado. Dentro del Decreto número 54-2022 (Presupuesto aprobado 2023) que rige actualmente, en el artículo 117 se autoriza ampliar el presupuesto en el caso exista disponibilidad de saldos de caja de recursos del tesoro de ejercicios anteriores para el financiamiento del incremento otorgado (10%) en las jubilaciones y pensiones. </w:t>
      </w:r>
    </w:p>
    <w:p w14:paraId="779908FD" w14:textId="61775E15" w:rsidR="006D2C4A" w:rsidRPr="007C2C0E" w:rsidRDefault="006D2C4A" w:rsidP="006D2C4A">
      <w:pPr>
        <w:pStyle w:val="Sinespaciado"/>
        <w:jc w:val="both"/>
        <w:rPr>
          <w:rFonts w:ascii="Times New Roman" w:hAnsi="Times New Roman" w:cs="Times New Roman"/>
          <w:color w:val="FF0000"/>
          <w:lang w:val="es-MX"/>
        </w:rPr>
      </w:pPr>
    </w:p>
    <w:p w14:paraId="44FACEF7" w14:textId="19A600F2" w:rsidR="006D2C4A" w:rsidRDefault="006D2C4A" w:rsidP="006D2C4A">
      <w:pPr>
        <w:pStyle w:val="Sinespaciado"/>
        <w:jc w:val="both"/>
        <w:rPr>
          <w:rFonts w:ascii="Times New Roman" w:hAnsi="Times New Roman" w:cs="Times New Roman"/>
          <w:lang w:val="es-MX"/>
        </w:rPr>
      </w:pPr>
      <w:r w:rsidRPr="00667AF3">
        <w:rPr>
          <w:rFonts w:ascii="Times New Roman" w:hAnsi="Times New Roman" w:cs="Times New Roman"/>
          <w:lang w:val="es-MX"/>
        </w:rPr>
        <w:t>Un componente importante del gasto es la ejecución del gasto social, el cual se encuentra compuesto por el gasto en</w:t>
      </w:r>
      <w:r>
        <w:rPr>
          <w:rFonts w:ascii="Times New Roman" w:hAnsi="Times New Roman" w:cs="Times New Roman"/>
          <w:lang w:val="es-MX"/>
        </w:rPr>
        <w:t xml:space="preserve"> los sectores de</w:t>
      </w:r>
      <w:r w:rsidRPr="00667AF3">
        <w:rPr>
          <w:rFonts w:ascii="Times New Roman" w:hAnsi="Times New Roman" w:cs="Times New Roman"/>
          <w:lang w:val="es-MX"/>
        </w:rPr>
        <w:t xml:space="preserve"> salud, educación y vivienda, reportando un desempeño dinámico respecto al año previo, con un crecimiento interanual de </w:t>
      </w:r>
      <w:r>
        <w:rPr>
          <w:rFonts w:ascii="Times New Roman" w:hAnsi="Times New Roman" w:cs="Times New Roman"/>
          <w:lang w:val="es-MX"/>
        </w:rPr>
        <w:t>10</w:t>
      </w:r>
      <w:r w:rsidRPr="00667AF3">
        <w:rPr>
          <w:rFonts w:ascii="Times New Roman" w:hAnsi="Times New Roman" w:cs="Times New Roman"/>
          <w:lang w:val="es-MX"/>
        </w:rPr>
        <w:t>.</w:t>
      </w:r>
      <w:r>
        <w:rPr>
          <w:rFonts w:ascii="Times New Roman" w:hAnsi="Times New Roman" w:cs="Times New Roman"/>
          <w:lang w:val="es-MX"/>
        </w:rPr>
        <w:t>7</w:t>
      </w:r>
      <w:r w:rsidRPr="00667AF3">
        <w:rPr>
          <w:rFonts w:ascii="Times New Roman" w:hAnsi="Times New Roman" w:cs="Times New Roman"/>
          <w:lang w:val="es-MX"/>
        </w:rPr>
        <w:t xml:space="preserve">%, siendo el rubro de mayor crecimiento el asociado a la vivienda, </w:t>
      </w:r>
      <w:r>
        <w:rPr>
          <w:rFonts w:ascii="Times New Roman" w:hAnsi="Times New Roman" w:cs="Times New Roman"/>
          <w:lang w:val="es-MX"/>
        </w:rPr>
        <w:t>ejecutado</w:t>
      </w:r>
      <w:r w:rsidRPr="00667AF3">
        <w:rPr>
          <w:rFonts w:ascii="Times New Roman" w:hAnsi="Times New Roman" w:cs="Times New Roman"/>
          <w:lang w:val="es-MX"/>
        </w:rPr>
        <w:t xml:space="preserve"> por el Ministerio de Comunicaciones. La ejecución corresponde en su mayoría al programa fondo para la vivienda -FOPAVI-.</w:t>
      </w:r>
    </w:p>
    <w:p w14:paraId="64E2B9B6" w14:textId="77777777" w:rsidR="006D2C4A" w:rsidRDefault="006D2C4A" w:rsidP="006D2C4A">
      <w:pPr>
        <w:pStyle w:val="Sinespaciado"/>
        <w:jc w:val="both"/>
        <w:rPr>
          <w:rFonts w:ascii="Times New Roman" w:hAnsi="Times New Roman" w:cs="Times New Roman"/>
          <w:lang w:val="es-MX"/>
        </w:rPr>
      </w:pPr>
    </w:p>
    <w:p w14:paraId="68FB6F1B" w14:textId="78839BA3" w:rsidR="006D2C4A" w:rsidRDefault="006D2C4A" w:rsidP="006D2C4A">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En cuanto al gasto social ampliado, es decir, al incluir los compromisos asumidos en los Acuerdos de Paz en seguridad y justicia, este se encuentra creciendo </w:t>
      </w:r>
      <w:r>
        <w:rPr>
          <w:rFonts w:ascii="Times New Roman" w:hAnsi="Times New Roman" w:cs="Times New Roman"/>
          <w:lang w:val="es-MX"/>
        </w:rPr>
        <w:t>9</w:t>
      </w:r>
      <w:r w:rsidRPr="00667AF3">
        <w:rPr>
          <w:rFonts w:ascii="Times New Roman" w:hAnsi="Times New Roman" w:cs="Times New Roman"/>
          <w:lang w:val="es-MX"/>
        </w:rPr>
        <w:t>.</w:t>
      </w:r>
      <w:r>
        <w:rPr>
          <w:rFonts w:ascii="Times New Roman" w:hAnsi="Times New Roman" w:cs="Times New Roman"/>
          <w:lang w:val="es-MX"/>
        </w:rPr>
        <w:t>6</w:t>
      </w:r>
      <w:r w:rsidRPr="00667AF3">
        <w:rPr>
          <w:rFonts w:ascii="Times New Roman" w:hAnsi="Times New Roman" w:cs="Times New Roman"/>
          <w:lang w:val="es-MX"/>
        </w:rPr>
        <w:t xml:space="preserve">%, equivalente a </w:t>
      </w:r>
      <w:r w:rsidRPr="00667AF3">
        <w:rPr>
          <w:rFonts w:ascii="Times New Roman" w:hAnsi="Times New Roman" w:cs="Times New Roman"/>
          <w:lang w:val="es-MX"/>
        </w:rPr>
        <w:lastRenderedPageBreak/>
        <w:t>Q3</w:t>
      </w:r>
      <w:r>
        <w:rPr>
          <w:rFonts w:ascii="Times New Roman" w:hAnsi="Times New Roman" w:cs="Times New Roman"/>
          <w:lang w:val="es-MX"/>
        </w:rPr>
        <w:t>77.5</w:t>
      </w:r>
      <w:r w:rsidRPr="00667AF3">
        <w:rPr>
          <w:rFonts w:ascii="Times New Roman" w:hAnsi="Times New Roman" w:cs="Times New Roman"/>
          <w:lang w:val="es-MX"/>
        </w:rPr>
        <w:t xml:space="preserve"> millones más respecto al 202</w:t>
      </w:r>
      <w:r>
        <w:rPr>
          <w:rFonts w:ascii="Times New Roman" w:hAnsi="Times New Roman" w:cs="Times New Roman"/>
          <w:lang w:val="es-MX"/>
        </w:rPr>
        <w:t>3</w:t>
      </w:r>
      <w:r w:rsidRPr="00667AF3">
        <w:rPr>
          <w:rFonts w:ascii="Times New Roman" w:hAnsi="Times New Roman" w:cs="Times New Roman"/>
          <w:lang w:val="es-MX"/>
        </w:rPr>
        <w:t>. Siendo el sector de seguridad interna el que reporta la mayor variación absoluta con Q</w:t>
      </w:r>
      <w:r>
        <w:rPr>
          <w:rFonts w:ascii="Times New Roman" w:hAnsi="Times New Roman" w:cs="Times New Roman"/>
          <w:lang w:val="es-MX"/>
        </w:rPr>
        <w:t>57</w:t>
      </w:r>
      <w:r w:rsidRPr="00667AF3">
        <w:rPr>
          <w:rFonts w:ascii="Times New Roman" w:hAnsi="Times New Roman" w:cs="Times New Roman"/>
          <w:lang w:val="es-MX"/>
        </w:rPr>
        <w:t>.</w:t>
      </w:r>
      <w:r>
        <w:rPr>
          <w:rFonts w:ascii="Times New Roman" w:hAnsi="Times New Roman" w:cs="Times New Roman"/>
          <w:lang w:val="es-MX"/>
        </w:rPr>
        <w:t>0</w:t>
      </w:r>
      <w:r w:rsidRPr="00667AF3">
        <w:rPr>
          <w:rFonts w:ascii="Times New Roman" w:hAnsi="Times New Roman" w:cs="Times New Roman"/>
          <w:lang w:val="es-MX"/>
        </w:rPr>
        <w:t xml:space="preserve"> millones.</w:t>
      </w:r>
    </w:p>
    <w:p w14:paraId="6BF6C4CF" w14:textId="77777777" w:rsidR="006D2C4A" w:rsidRPr="007C2C0E" w:rsidRDefault="006D2C4A" w:rsidP="006D2C4A">
      <w:pPr>
        <w:pStyle w:val="Sinespaciado"/>
        <w:jc w:val="both"/>
        <w:rPr>
          <w:rFonts w:ascii="Times New Roman" w:hAnsi="Times New Roman" w:cs="Times New Roman"/>
          <w:color w:val="FF0000"/>
          <w:lang w:val="es-MX"/>
        </w:rPr>
      </w:pPr>
    </w:p>
    <w:p w14:paraId="10E23F8B" w14:textId="77777777" w:rsidR="006D2C4A" w:rsidRPr="00667AF3" w:rsidRDefault="006D2C4A" w:rsidP="006D2C4A">
      <w:pPr>
        <w:pStyle w:val="Sinespaciado"/>
        <w:jc w:val="center"/>
        <w:rPr>
          <w:rFonts w:ascii="Times New Roman" w:hAnsi="Times New Roman" w:cs="Times New Roman"/>
          <w:b/>
          <w:lang w:val="es-MX"/>
        </w:rPr>
      </w:pPr>
      <w:r w:rsidRPr="00667AF3">
        <w:rPr>
          <w:rFonts w:ascii="Times New Roman" w:hAnsi="Times New Roman" w:cs="Times New Roman"/>
          <w:b/>
          <w:lang w:val="es-MX"/>
        </w:rPr>
        <w:t>Ejecución y crecimiento del Gasto Social</w:t>
      </w:r>
    </w:p>
    <w:p w14:paraId="52AC7E14" w14:textId="77777777" w:rsidR="006D2C4A" w:rsidRPr="00B93E46" w:rsidRDefault="006D2C4A" w:rsidP="006D2C4A">
      <w:pPr>
        <w:pStyle w:val="Sinespaciado"/>
        <w:jc w:val="center"/>
        <w:rPr>
          <w:rFonts w:ascii="Times New Roman" w:hAnsi="Times New Roman" w:cs="Times New Roman"/>
          <w:sz w:val="20"/>
          <w:szCs w:val="18"/>
          <w:lang w:val="es-MX"/>
        </w:rPr>
      </w:pPr>
      <w:r w:rsidRPr="00B93E46">
        <w:rPr>
          <w:rFonts w:ascii="Times New Roman" w:hAnsi="Times New Roman" w:cs="Times New Roman"/>
          <w:sz w:val="20"/>
          <w:szCs w:val="18"/>
          <w:lang w:val="es-MX"/>
        </w:rPr>
        <w:t>Al 31 de enero de cada año</w:t>
      </w:r>
    </w:p>
    <w:p w14:paraId="3E6DA327" w14:textId="77777777" w:rsidR="006D2C4A" w:rsidRPr="00B93E46" w:rsidRDefault="006D2C4A" w:rsidP="006D2C4A">
      <w:pPr>
        <w:pStyle w:val="Sinespaciado"/>
        <w:jc w:val="center"/>
        <w:rPr>
          <w:rFonts w:ascii="Times New Roman" w:hAnsi="Times New Roman" w:cs="Times New Roman"/>
          <w:sz w:val="20"/>
          <w:szCs w:val="18"/>
          <w:lang w:val="es-MX"/>
        </w:rPr>
      </w:pPr>
      <w:r w:rsidRPr="00B93E46">
        <w:rPr>
          <w:rFonts w:ascii="Times New Roman" w:hAnsi="Times New Roman" w:cs="Times New Roman"/>
          <w:sz w:val="20"/>
          <w:szCs w:val="18"/>
          <w:lang w:val="es-MX"/>
        </w:rPr>
        <w:t>Cifras en porcentajes y en millones de quetzales</w:t>
      </w:r>
    </w:p>
    <w:p w14:paraId="0F18D980" w14:textId="77777777" w:rsidR="006D2C4A" w:rsidRPr="00667AF3" w:rsidRDefault="006D2C4A" w:rsidP="006D2C4A">
      <w:pPr>
        <w:pStyle w:val="Sinespaciado"/>
        <w:jc w:val="center"/>
        <w:rPr>
          <w:rFonts w:ascii="Times New Roman" w:hAnsi="Times New Roman" w:cs="Times New Roman"/>
          <w:sz w:val="18"/>
          <w:szCs w:val="16"/>
          <w:lang w:val="es-MX"/>
        </w:rPr>
      </w:pPr>
      <w:r w:rsidRPr="00E61CAE">
        <w:rPr>
          <w:noProof/>
        </w:rPr>
        <w:drawing>
          <wp:inline distT="0" distB="0" distL="0" distR="0" wp14:anchorId="55126A41" wp14:editId="14CA7D08">
            <wp:extent cx="2705110" cy="13918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827" cy="1485380"/>
                    </a:xfrm>
                    <a:prstGeom prst="rect">
                      <a:avLst/>
                    </a:prstGeom>
                    <a:noFill/>
                    <a:ln>
                      <a:noFill/>
                    </a:ln>
                  </pic:spPr>
                </pic:pic>
              </a:graphicData>
            </a:graphic>
          </wp:inline>
        </w:drawing>
      </w:r>
    </w:p>
    <w:p w14:paraId="475CBE2B" w14:textId="77777777" w:rsidR="006D2C4A" w:rsidRDefault="006D2C4A" w:rsidP="006D2C4A">
      <w:pPr>
        <w:pStyle w:val="Sinespaciado"/>
        <w:jc w:val="both"/>
        <w:rPr>
          <w:rFonts w:ascii="Times New Roman" w:hAnsi="Times New Roman" w:cs="Times New Roman"/>
          <w:sz w:val="14"/>
          <w:szCs w:val="14"/>
        </w:rPr>
      </w:pPr>
      <w:r w:rsidRPr="00667AF3">
        <w:rPr>
          <w:rFonts w:ascii="Times New Roman" w:hAnsi="Times New Roman" w:cs="Times New Roman"/>
          <w:sz w:val="14"/>
          <w:szCs w:val="14"/>
        </w:rPr>
        <w:t>Fuente: Dirección de Análisis y Política Fiscal.</w:t>
      </w:r>
    </w:p>
    <w:p w14:paraId="4BF85A14" w14:textId="77777777" w:rsidR="006D2C4A" w:rsidRDefault="006D2C4A" w:rsidP="006D2C4A">
      <w:pPr>
        <w:pStyle w:val="Sinespaciado"/>
        <w:jc w:val="both"/>
        <w:rPr>
          <w:rFonts w:ascii="Times New Roman" w:hAnsi="Times New Roman" w:cs="Times New Roman"/>
          <w:sz w:val="14"/>
          <w:szCs w:val="14"/>
        </w:rPr>
      </w:pPr>
    </w:p>
    <w:p w14:paraId="11A47EAB" w14:textId="77777777" w:rsidR="006D2C4A" w:rsidRDefault="006D2C4A" w:rsidP="006D2C4A">
      <w:pPr>
        <w:pStyle w:val="Sinespaciado"/>
        <w:jc w:val="both"/>
        <w:rPr>
          <w:rFonts w:ascii="Times New Roman" w:hAnsi="Times New Roman" w:cs="Times New Roman"/>
          <w:lang w:val="es-MX"/>
        </w:rPr>
      </w:pPr>
      <w:r w:rsidRPr="00707966">
        <w:rPr>
          <w:rFonts w:ascii="Times New Roman" w:hAnsi="Times New Roman" w:cs="Times New Roman"/>
          <w:lang w:val="es-MX"/>
        </w:rPr>
        <w:t xml:space="preserve">Respecto a la </w:t>
      </w:r>
      <w:r>
        <w:rPr>
          <w:rFonts w:ascii="Times New Roman" w:hAnsi="Times New Roman" w:cs="Times New Roman"/>
          <w:lang w:val="es-MX"/>
        </w:rPr>
        <w:t>colocación de bonos del tesoro, está previsto que las colocaciones inicien a finales de febrero, una vez se cuente con el reglamento que viabilice las operaciones.</w:t>
      </w:r>
    </w:p>
    <w:p w14:paraId="7AF17CE8" w14:textId="77777777" w:rsidR="00BC3291" w:rsidRPr="00BC3291" w:rsidRDefault="00BC3291" w:rsidP="00BC3291">
      <w:pPr>
        <w:spacing w:after="0" w:line="240" w:lineRule="auto"/>
        <w:rPr>
          <w:rFonts w:ascii="Times New Roman" w:hAnsi="Times New Roman" w:cs="Times New Roman"/>
        </w:rPr>
      </w:pPr>
    </w:p>
    <w:p w14:paraId="5464DE20" w14:textId="77777777" w:rsidR="00BC3291" w:rsidRDefault="00BC3291" w:rsidP="00BC3291"/>
    <w:p w14:paraId="6FDB31D6" w14:textId="77777777" w:rsidR="00685CC7" w:rsidRDefault="00685CC7" w:rsidP="00BC3291"/>
    <w:p w14:paraId="603FFCF4" w14:textId="77777777" w:rsidR="00685CC7" w:rsidRDefault="00685CC7" w:rsidP="00BC3291"/>
    <w:p w14:paraId="267EEE31" w14:textId="77777777" w:rsidR="00685CC7" w:rsidRDefault="00685CC7" w:rsidP="00BC3291"/>
    <w:p w14:paraId="6F994D59" w14:textId="77777777" w:rsidR="00685CC7" w:rsidRDefault="00685CC7" w:rsidP="00BC3291"/>
    <w:p w14:paraId="1D51D19C" w14:textId="6E8496C7" w:rsidR="00685CC7" w:rsidRDefault="00685CC7" w:rsidP="00BC3291">
      <w:pPr>
        <w:sectPr w:rsidR="00685CC7" w:rsidSect="00BC3291">
          <w:type w:val="continuous"/>
          <w:pgSz w:w="12240" w:h="15840"/>
          <w:pgMar w:top="1417" w:right="1701" w:bottom="1417" w:left="1701" w:header="708" w:footer="708" w:gutter="0"/>
          <w:cols w:num="2" w:space="708"/>
          <w:docGrid w:linePitch="360"/>
        </w:sectPr>
      </w:pPr>
    </w:p>
    <w:p w14:paraId="01FD5750" w14:textId="77777777" w:rsidR="008D3EDB" w:rsidRPr="00B93E46" w:rsidRDefault="008D3EDB" w:rsidP="00B93E46">
      <w:pPr>
        <w:spacing w:after="0" w:line="240" w:lineRule="auto"/>
        <w:rPr>
          <w:sz w:val="10"/>
          <w:szCs w:val="10"/>
        </w:rPr>
        <w:sectPr w:rsidR="008D3EDB" w:rsidRPr="00B93E46" w:rsidSect="00BC3291">
          <w:type w:val="continuous"/>
          <w:pgSz w:w="12240" w:h="15840"/>
          <w:pgMar w:top="1417" w:right="1701" w:bottom="1417" w:left="1701" w:header="708" w:footer="708" w:gutter="0"/>
          <w:cols w:space="708"/>
          <w:docGrid w:linePitch="360"/>
        </w:sectPr>
      </w:pPr>
    </w:p>
    <w:p w14:paraId="70855CC5" w14:textId="065B4C2C" w:rsidR="008D3EDB" w:rsidRPr="00BC3291" w:rsidRDefault="008D3EDB" w:rsidP="008D3EDB">
      <w:pPr>
        <w:shd w:val="clear" w:color="auto" w:fill="1F3864" w:themeFill="accent1" w:themeFillShade="80"/>
        <w:jc w:val="center"/>
        <w:rPr>
          <w:rFonts w:ascii="Times New Roman" w:hAnsi="Times New Roman" w:cs="Times New Roman"/>
          <w:b/>
          <w:bCs/>
        </w:rPr>
      </w:pPr>
      <w:r>
        <w:rPr>
          <w:rFonts w:ascii="Times New Roman" w:hAnsi="Times New Roman" w:cs="Times New Roman"/>
          <w:b/>
          <w:bCs/>
        </w:rPr>
        <w:t>Ejecución de gasto relacionado a emergencias y calamidades públicas</w:t>
      </w:r>
    </w:p>
    <w:p w14:paraId="4744EC4D" w14:textId="77777777" w:rsidR="008D3EDB" w:rsidRDefault="008D3EDB" w:rsidP="008D3EDB">
      <w:pPr>
        <w:sectPr w:rsidR="008D3EDB" w:rsidSect="00BC3291">
          <w:type w:val="continuous"/>
          <w:pgSz w:w="12240" w:h="15840"/>
          <w:pgMar w:top="1417" w:right="1701" w:bottom="1417" w:left="1701" w:header="708" w:footer="708" w:gutter="0"/>
          <w:cols w:space="708"/>
          <w:docGrid w:linePitch="360"/>
        </w:sectPr>
      </w:pPr>
    </w:p>
    <w:p w14:paraId="3FCC988F" w14:textId="6515AC0F" w:rsidR="00B93E46" w:rsidRDefault="00B93E46" w:rsidP="00B93E46">
      <w:pPr>
        <w:pStyle w:val="Sinespaciado"/>
        <w:jc w:val="both"/>
        <w:rPr>
          <w:rFonts w:ascii="Times New Roman" w:hAnsi="Times New Roman" w:cs="Times New Roman"/>
          <w:lang w:val="es-MX"/>
        </w:rPr>
      </w:pPr>
      <w:r w:rsidRPr="00ED3200">
        <w:rPr>
          <w:rFonts w:ascii="Times New Roman" w:hAnsi="Times New Roman" w:cs="Times New Roman"/>
          <w:lang w:val="es-MX"/>
        </w:rPr>
        <w:t>Del seguimiento a la ejecución del programa de gasto relacionado directamente a la pandemia COVID-19, se tiene una ejecución de Q</w:t>
      </w:r>
      <w:r>
        <w:rPr>
          <w:rFonts w:ascii="Times New Roman" w:hAnsi="Times New Roman" w:cs="Times New Roman"/>
          <w:lang w:val="es-MX"/>
        </w:rPr>
        <w:t>26.6</w:t>
      </w:r>
      <w:r w:rsidRPr="00ED3200">
        <w:rPr>
          <w:rFonts w:ascii="Times New Roman" w:hAnsi="Times New Roman" w:cs="Times New Roman"/>
          <w:lang w:val="es-MX"/>
        </w:rPr>
        <w:t xml:space="preserve"> millones, correspondientes en su totalidad al Ministerio de Salud Pública y Asistencia Social. Para el 202</w:t>
      </w:r>
      <w:r>
        <w:rPr>
          <w:rFonts w:ascii="Times New Roman" w:hAnsi="Times New Roman" w:cs="Times New Roman"/>
          <w:lang w:val="es-MX"/>
        </w:rPr>
        <w:t>4</w:t>
      </w:r>
      <w:r w:rsidRPr="00ED3200">
        <w:rPr>
          <w:rFonts w:ascii="Times New Roman" w:hAnsi="Times New Roman" w:cs="Times New Roman"/>
          <w:lang w:val="es-MX"/>
        </w:rPr>
        <w:t>, el gasto asociado a la emergencia del COVID-19 cuenta con un presupuesto de Q</w:t>
      </w:r>
      <w:r>
        <w:rPr>
          <w:rFonts w:ascii="Times New Roman" w:hAnsi="Times New Roman" w:cs="Times New Roman"/>
          <w:lang w:val="es-MX"/>
        </w:rPr>
        <w:t>1,236.6</w:t>
      </w:r>
      <w:r w:rsidRPr="00ED3200">
        <w:rPr>
          <w:rFonts w:ascii="Times New Roman" w:hAnsi="Times New Roman" w:cs="Times New Roman"/>
          <w:lang w:val="es-MX"/>
        </w:rPr>
        <w:t xml:space="preserve"> millones; el presupuesto inicial para atención del COVID-19 ha descendido en Q6</w:t>
      </w:r>
      <w:r>
        <w:rPr>
          <w:rFonts w:ascii="Times New Roman" w:hAnsi="Times New Roman" w:cs="Times New Roman"/>
          <w:lang w:val="es-MX"/>
        </w:rPr>
        <w:t>3</w:t>
      </w:r>
      <w:r w:rsidRPr="00ED3200">
        <w:rPr>
          <w:rFonts w:ascii="Times New Roman" w:hAnsi="Times New Roman" w:cs="Times New Roman"/>
          <w:lang w:val="es-MX"/>
        </w:rPr>
        <w:t>.</w:t>
      </w:r>
      <w:r>
        <w:rPr>
          <w:rFonts w:ascii="Times New Roman" w:hAnsi="Times New Roman" w:cs="Times New Roman"/>
          <w:lang w:val="es-MX"/>
        </w:rPr>
        <w:t>0</w:t>
      </w:r>
      <w:r w:rsidRPr="00ED3200">
        <w:rPr>
          <w:rFonts w:ascii="Times New Roman" w:hAnsi="Times New Roman" w:cs="Times New Roman"/>
          <w:lang w:val="es-MX"/>
        </w:rPr>
        <w:t xml:space="preserve"> millones, </w:t>
      </w:r>
      <w:r>
        <w:rPr>
          <w:rFonts w:ascii="Times New Roman" w:hAnsi="Times New Roman" w:cs="Times New Roman"/>
          <w:lang w:val="es-MX"/>
        </w:rPr>
        <w:t xml:space="preserve">para la </w:t>
      </w:r>
      <w:r w:rsidRPr="00ED3200">
        <w:rPr>
          <w:rFonts w:ascii="Times New Roman" w:hAnsi="Times New Roman" w:cs="Times New Roman"/>
          <w:lang w:val="es-MX"/>
        </w:rPr>
        <w:t>reorientación de prioridades hacia las calamidades públicas relacionadas a desastres por eventos naturales</w:t>
      </w:r>
      <w:r>
        <w:rPr>
          <w:rFonts w:ascii="Times New Roman" w:hAnsi="Times New Roman" w:cs="Times New Roman"/>
          <w:lang w:val="es-MX"/>
        </w:rPr>
        <w:t xml:space="preserve"> ocurridos en años anteriores.</w:t>
      </w:r>
    </w:p>
    <w:p w14:paraId="270571EE" w14:textId="77777777" w:rsidR="00B93E46" w:rsidRDefault="00B93E46" w:rsidP="00B93E46">
      <w:pPr>
        <w:pStyle w:val="Sinespaciado"/>
        <w:jc w:val="both"/>
        <w:rPr>
          <w:rFonts w:ascii="Times New Roman" w:hAnsi="Times New Roman" w:cs="Times New Roman"/>
          <w:lang w:val="es-MX"/>
        </w:rPr>
      </w:pPr>
    </w:p>
    <w:p w14:paraId="16F071FC" w14:textId="2F2F2D96" w:rsidR="00B93E46" w:rsidRPr="00ED3200" w:rsidRDefault="00B93E46" w:rsidP="00B93E46">
      <w:pPr>
        <w:pStyle w:val="Sinespaciado"/>
        <w:jc w:val="both"/>
        <w:rPr>
          <w:rFonts w:ascii="Times New Roman" w:hAnsi="Times New Roman" w:cs="Times New Roman"/>
        </w:rPr>
      </w:pPr>
      <w:r w:rsidRPr="00ED3200">
        <w:rPr>
          <w:rFonts w:ascii="Times New Roman" w:hAnsi="Times New Roman" w:cs="Times New Roman"/>
          <w:lang w:val="es-MX"/>
        </w:rPr>
        <w:t>Dentro de estos gastos de COVID-19, se encuentra la adquisición de la vacuna, con una ejecución de Q2.</w:t>
      </w:r>
      <w:r>
        <w:rPr>
          <w:rFonts w:ascii="Times New Roman" w:hAnsi="Times New Roman" w:cs="Times New Roman"/>
          <w:lang w:val="es-MX"/>
        </w:rPr>
        <w:t>1</w:t>
      </w:r>
      <w:r w:rsidRPr="00ED3200">
        <w:rPr>
          <w:rFonts w:ascii="Times New Roman" w:hAnsi="Times New Roman" w:cs="Times New Roman"/>
          <w:lang w:val="es-MX"/>
        </w:rPr>
        <w:t xml:space="preserve"> millones y los servicios de prevención y tratamiento, con Q</w:t>
      </w:r>
      <w:r>
        <w:rPr>
          <w:rFonts w:ascii="Times New Roman" w:hAnsi="Times New Roman" w:cs="Times New Roman"/>
          <w:lang w:val="es-MX"/>
        </w:rPr>
        <w:t>24</w:t>
      </w:r>
      <w:r w:rsidRPr="00ED3200">
        <w:rPr>
          <w:rFonts w:ascii="Times New Roman" w:hAnsi="Times New Roman" w:cs="Times New Roman"/>
          <w:lang w:val="es-MX"/>
        </w:rPr>
        <w:t>.</w:t>
      </w:r>
      <w:r>
        <w:rPr>
          <w:rFonts w:ascii="Times New Roman" w:hAnsi="Times New Roman" w:cs="Times New Roman"/>
          <w:lang w:val="es-MX"/>
        </w:rPr>
        <w:t>4</w:t>
      </w:r>
      <w:r w:rsidRPr="00ED3200">
        <w:rPr>
          <w:rFonts w:ascii="Times New Roman" w:hAnsi="Times New Roman" w:cs="Times New Roman"/>
          <w:lang w:val="es-MX"/>
        </w:rPr>
        <w:t xml:space="preserve"> millones.</w:t>
      </w:r>
      <w:r w:rsidRPr="00ED3200">
        <w:rPr>
          <w:rFonts w:ascii="Times New Roman" w:hAnsi="Times New Roman" w:cs="Times New Roman"/>
        </w:rPr>
        <w:t xml:space="preserve"> </w:t>
      </w:r>
    </w:p>
    <w:p w14:paraId="2B784AAC" w14:textId="1D7DE698" w:rsidR="008A761C" w:rsidRDefault="008A761C" w:rsidP="00B93E46">
      <w:pPr>
        <w:pStyle w:val="Sinespaciado"/>
        <w:jc w:val="both"/>
        <w:rPr>
          <w:rFonts w:ascii="Times New Roman" w:hAnsi="Times New Roman" w:cs="Times New Roman"/>
          <w:color w:val="FF0000"/>
        </w:rPr>
      </w:pPr>
    </w:p>
    <w:p w14:paraId="4E769508" w14:textId="7C7B5FA9" w:rsidR="00B93E46" w:rsidRPr="00ED3200" w:rsidRDefault="00B93E46" w:rsidP="00B93E46">
      <w:pPr>
        <w:pStyle w:val="Sinespaciado"/>
        <w:jc w:val="center"/>
        <w:rPr>
          <w:rFonts w:ascii="Times New Roman" w:hAnsi="Times New Roman" w:cs="Times New Roman"/>
          <w:b/>
        </w:rPr>
      </w:pPr>
      <w:r w:rsidRPr="00ED3200">
        <w:rPr>
          <w:rFonts w:ascii="Times New Roman" w:hAnsi="Times New Roman" w:cs="Times New Roman"/>
          <w:b/>
        </w:rPr>
        <w:t>Ejecución de gastos por COVID-19</w:t>
      </w:r>
    </w:p>
    <w:p w14:paraId="36404559" w14:textId="7785E7C2" w:rsidR="00B93E46" w:rsidRPr="00ED3200" w:rsidRDefault="00685CC7" w:rsidP="00B93E46">
      <w:pPr>
        <w:pStyle w:val="Sinespaciado"/>
        <w:jc w:val="center"/>
        <w:rPr>
          <w:rFonts w:ascii="Times New Roman" w:hAnsi="Times New Roman" w:cs="Times New Roman"/>
          <w:sz w:val="18"/>
          <w:szCs w:val="18"/>
        </w:rPr>
      </w:pPr>
      <w:r w:rsidRPr="00ED3200">
        <w:rPr>
          <w:rFonts w:ascii="Times New Roman" w:hAnsi="Times New Roman" w:cs="Times New Roman"/>
          <w:noProof/>
        </w:rPr>
        <w:drawing>
          <wp:anchor distT="0" distB="0" distL="114300" distR="114300" simplePos="0" relativeHeight="251672576" behindDoc="0" locked="0" layoutInCell="1" allowOverlap="1" wp14:anchorId="2FEE9DD4" wp14:editId="70E7309C">
            <wp:simplePos x="0" y="0"/>
            <wp:positionH relativeFrom="column">
              <wp:posOffset>-29845</wp:posOffset>
            </wp:positionH>
            <wp:positionV relativeFrom="paragraph">
              <wp:posOffset>161925</wp:posOffset>
            </wp:positionV>
            <wp:extent cx="2732405" cy="1651000"/>
            <wp:effectExtent l="0" t="0" r="0" b="635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93E46" w:rsidRPr="00ED3200">
        <w:rPr>
          <w:rFonts w:ascii="Times New Roman" w:hAnsi="Times New Roman" w:cs="Times New Roman"/>
          <w:sz w:val="18"/>
          <w:szCs w:val="18"/>
        </w:rPr>
        <w:t>Al 3</w:t>
      </w:r>
      <w:r w:rsidR="00B93E46">
        <w:rPr>
          <w:rFonts w:ascii="Times New Roman" w:hAnsi="Times New Roman" w:cs="Times New Roman"/>
          <w:sz w:val="18"/>
          <w:szCs w:val="18"/>
        </w:rPr>
        <w:t>1</w:t>
      </w:r>
      <w:r w:rsidR="00B93E46" w:rsidRPr="00ED3200">
        <w:rPr>
          <w:rFonts w:ascii="Times New Roman" w:hAnsi="Times New Roman" w:cs="Times New Roman"/>
          <w:sz w:val="18"/>
          <w:szCs w:val="18"/>
        </w:rPr>
        <w:t xml:space="preserve"> </w:t>
      </w:r>
      <w:r w:rsidR="00B93E46">
        <w:rPr>
          <w:rFonts w:ascii="Times New Roman" w:hAnsi="Times New Roman" w:cs="Times New Roman"/>
          <w:sz w:val="18"/>
          <w:szCs w:val="18"/>
        </w:rPr>
        <w:t>enero</w:t>
      </w:r>
      <w:r w:rsidR="00B93E46" w:rsidRPr="00ED3200">
        <w:rPr>
          <w:rFonts w:ascii="Times New Roman" w:hAnsi="Times New Roman" w:cs="Times New Roman"/>
          <w:sz w:val="18"/>
          <w:szCs w:val="18"/>
        </w:rPr>
        <w:t xml:space="preserve"> 202</w:t>
      </w:r>
      <w:r w:rsidR="00B93E46">
        <w:rPr>
          <w:rFonts w:ascii="Times New Roman" w:hAnsi="Times New Roman" w:cs="Times New Roman"/>
          <w:sz w:val="18"/>
          <w:szCs w:val="18"/>
        </w:rPr>
        <w:t>4</w:t>
      </w:r>
    </w:p>
    <w:p w14:paraId="5D23C665" w14:textId="6A57A180" w:rsidR="00B93E46" w:rsidRPr="007C2C0E" w:rsidRDefault="00B93E46" w:rsidP="00B93E46">
      <w:pPr>
        <w:spacing w:after="0" w:line="240" w:lineRule="auto"/>
        <w:jc w:val="both"/>
        <w:rPr>
          <w:rFonts w:ascii="Times New Roman" w:hAnsi="Times New Roman" w:cs="Times New Roman"/>
          <w:color w:val="FF0000"/>
          <w:sz w:val="16"/>
        </w:rPr>
      </w:pPr>
      <w:r w:rsidRPr="00ED3200">
        <w:rPr>
          <w:rFonts w:ascii="Times New Roman" w:hAnsi="Times New Roman" w:cs="Times New Roman"/>
          <w:sz w:val="14"/>
        </w:rPr>
        <w:t xml:space="preserve">Fuente: </w:t>
      </w:r>
      <w:r w:rsidRPr="00ED3200">
        <w:rPr>
          <w:rFonts w:ascii="Times New Roman" w:hAnsi="Times New Roman" w:cs="Times New Roman"/>
          <w:sz w:val="16"/>
        </w:rPr>
        <w:t>Dirección de Análisis y Política Fiscal.</w:t>
      </w:r>
    </w:p>
    <w:p w14:paraId="407F0834" w14:textId="77777777" w:rsidR="00B93E46" w:rsidRPr="007C2C0E" w:rsidRDefault="00B93E46" w:rsidP="00B93E46">
      <w:pPr>
        <w:pStyle w:val="Sinespaciado"/>
        <w:jc w:val="both"/>
        <w:rPr>
          <w:rFonts w:ascii="Times New Roman" w:hAnsi="Times New Roman" w:cs="Times New Roman"/>
          <w:color w:val="FF0000"/>
        </w:rPr>
      </w:pPr>
      <w:r w:rsidRPr="007C2C0E">
        <w:rPr>
          <w:rFonts w:ascii="Times New Roman" w:hAnsi="Times New Roman" w:cs="Times New Roman"/>
          <w:color w:val="FF0000"/>
          <w:sz w:val="14"/>
        </w:rPr>
        <w:t xml:space="preserve"> </w:t>
      </w:r>
    </w:p>
    <w:p w14:paraId="646A81DD" w14:textId="66D97C24" w:rsidR="00B93E46" w:rsidRDefault="00B93E46" w:rsidP="00B93E46">
      <w:pPr>
        <w:pStyle w:val="Sinespaciado"/>
        <w:jc w:val="both"/>
        <w:rPr>
          <w:rFonts w:ascii="Times New Roman" w:hAnsi="Times New Roman" w:cs="Times New Roman"/>
        </w:rPr>
      </w:pPr>
      <w:r w:rsidRPr="00ED3200">
        <w:rPr>
          <w:rFonts w:ascii="Times New Roman" w:hAnsi="Times New Roman" w:cs="Times New Roman"/>
        </w:rPr>
        <w:t>Por su parte,</w:t>
      </w:r>
      <w:r>
        <w:rPr>
          <w:rFonts w:ascii="Times New Roman" w:hAnsi="Times New Roman" w:cs="Times New Roman"/>
        </w:rPr>
        <w:t xml:space="preserve"> para 2024, tres subprogramas relacionados a e</w:t>
      </w:r>
      <w:r w:rsidRPr="00ED3200">
        <w:rPr>
          <w:rFonts w:ascii="Times New Roman" w:hAnsi="Times New Roman" w:cs="Times New Roman"/>
        </w:rPr>
        <w:t>stado</w:t>
      </w:r>
      <w:r>
        <w:rPr>
          <w:rFonts w:ascii="Times New Roman" w:hAnsi="Times New Roman" w:cs="Times New Roman"/>
        </w:rPr>
        <w:t>s</w:t>
      </w:r>
      <w:r w:rsidRPr="00ED3200">
        <w:rPr>
          <w:rFonts w:ascii="Times New Roman" w:hAnsi="Times New Roman" w:cs="Times New Roman"/>
        </w:rPr>
        <w:t xml:space="preserve"> de </w:t>
      </w:r>
      <w:r>
        <w:rPr>
          <w:rFonts w:ascii="Times New Roman" w:hAnsi="Times New Roman" w:cs="Times New Roman"/>
        </w:rPr>
        <w:t>c</w:t>
      </w:r>
      <w:r w:rsidRPr="00ED3200">
        <w:rPr>
          <w:rFonts w:ascii="Times New Roman" w:hAnsi="Times New Roman" w:cs="Times New Roman"/>
        </w:rPr>
        <w:t xml:space="preserve">alamidad </w:t>
      </w:r>
      <w:r>
        <w:rPr>
          <w:rFonts w:ascii="Times New Roman" w:hAnsi="Times New Roman" w:cs="Times New Roman"/>
        </w:rPr>
        <w:t>p</w:t>
      </w:r>
      <w:r w:rsidRPr="00ED3200">
        <w:rPr>
          <w:rFonts w:ascii="Times New Roman" w:hAnsi="Times New Roman" w:cs="Times New Roman"/>
        </w:rPr>
        <w:t>ública</w:t>
      </w:r>
      <w:r>
        <w:rPr>
          <w:rFonts w:ascii="Times New Roman" w:hAnsi="Times New Roman" w:cs="Times New Roman"/>
        </w:rPr>
        <w:t xml:space="preserve"> decretados en años anteriores (2020 y 2022) cuentan con presupuesto, todos a cargo del Ministerio de Comunicaciones, Infraestructura y Vivienda.</w:t>
      </w:r>
    </w:p>
    <w:p w14:paraId="6504E65B" w14:textId="5782E870" w:rsidR="00B93E46" w:rsidRDefault="00B93E46" w:rsidP="00B93E46">
      <w:pPr>
        <w:pStyle w:val="Sinespaciado"/>
        <w:jc w:val="both"/>
        <w:rPr>
          <w:rFonts w:ascii="Times New Roman" w:hAnsi="Times New Roman" w:cs="Times New Roman"/>
        </w:rPr>
      </w:pPr>
    </w:p>
    <w:p w14:paraId="0806208E" w14:textId="47F812BE" w:rsidR="00B93E46" w:rsidRDefault="00B93E46" w:rsidP="00B93E46">
      <w:pPr>
        <w:pStyle w:val="Sinespaciado"/>
        <w:jc w:val="both"/>
        <w:rPr>
          <w:rFonts w:ascii="Times New Roman" w:hAnsi="Times New Roman" w:cs="Times New Roman"/>
        </w:rPr>
      </w:pPr>
      <w:r>
        <w:rPr>
          <w:rFonts w:ascii="Times New Roman" w:hAnsi="Times New Roman" w:cs="Times New Roman"/>
        </w:rPr>
        <w:t xml:space="preserve">El estado de calamidad por </w:t>
      </w:r>
      <w:r w:rsidRPr="00ED3200">
        <w:rPr>
          <w:rFonts w:ascii="Times New Roman" w:hAnsi="Times New Roman" w:cs="Times New Roman"/>
        </w:rPr>
        <w:t xml:space="preserve">los efectos de la época lluviosa y el ciclón tropical Julia </w:t>
      </w:r>
      <w:r>
        <w:rPr>
          <w:rFonts w:ascii="Times New Roman" w:hAnsi="Times New Roman" w:cs="Times New Roman"/>
        </w:rPr>
        <w:t>cuenta con un presupuesto de Q54.4 millones y aun no reporta ejecución; la</w:t>
      </w:r>
      <w:r w:rsidRPr="00ED3200">
        <w:rPr>
          <w:rFonts w:ascii="Times New Roman" w:hAnsi="Times New Roman" w:cs="Times New Roman"/>
        </w:rPr>
        <w:t xml:space="preserve"> </w:t>
      </w:r>
      <w:r>
        <w:rPr>
          <w:rFonts w:ascii="Times New Roman" w:hAnsi="Times New Roman" w:cs="Times New Roman"/>
        </w:rPr>
        <w:t>c</w:t>
      </w:r>
      <w:r w:rsidRPr="00ED3200">
        <w:rPr>
          <w:rFonts w:ascii="Times New Roman" w:hAnsi="Times New Roman" w:cs="Times New Roman"/>
        </w:rPr>
        <w:t xml:space="preserve">alamidad </w:t>
      </w:r>
      <w:r>
        <w:rPr>
          <w:rFonts w:ascii="Times New Roman" w:hAnsi="Times New Roman" w:cs="Times New Roman"/>
        </w:rPr>
        <w:t>p</w:t>
      </w:r>
      <w:r w:rsidRPr="00ED3200">
        <w:rPr>
          <w:rFonts w:ascii="Times New Roman" w:hAnsi="Times New Roman" w:cs="Times New Roman"/>
        </w:rPr>
        <w:t>ública por época lluviosa y temporada ciclónica y sistemas de baja presión</w:t>
      </w:r>
      <w:r>
        <w:rPr>
          <w:rFonts w:ascii="Times New Roman" w:hAnsi="Times New Roman" w:cs="Times New Roman"/>
        </w:rPr>
        <w:t xml:space="preserve"> cuenta con un presupuesto de Q49.0 millones y aun no reporta ejecución. </w:t>
      </w:r>
    </w:p>
    <w:p w14:paraId="6E1BA5D9" w14:textId="28919D89" w:rsidR="00B93E46" w:rsidRDefault="00B93E46" w:rsidP="00B93E46">
      <w:pPr>
        <w:pStyle w:val="Sinespaciado"/>
        <w:jc w:val="both"/>
        <w:rPr>
          <w:rFonts w:ascii="Times New Roman" w:hAnsi="Times New Roman" w:cs="Times New Roman"/>
        </w:rPr>
      </w:pPr>
      <w:r w:rsidRPr="00ED3200">
        <w:rPr>
          <w:rFonts w:ascii="Times New Roman" w:hAnsi="Times New Roman" w:cs="Times New Roman"/>
        </w:rPr>
        <w:t xml:space="preserve"> </w:t>
      </w:r>
    </w:p>
    <w:p w14:paraId="35B673DD" w14:textId="77777777" w:rsidR="00B93E46" w:rsidRDefault="00B93E46" w:rsidP="00B93E46">
      <w:pPr>
        <w:pStyle w:val="Sinespaciado"/>
        <w:jc w:val="both"/>
        <w:rPr>
          <w:rFonts w:ascii="Times New Roman" w:hAnsi="Times New Roman" w:cs="Times New Roman"/>
        </w:rPr>
      </w:pPr>
      <w:r>
        <w:rPr>
          <w:rFonts w:ascii="Times New Roman" w:hAnsi="Times New Roman" w:cs="Times New Roman"/>
        </w:rPr>
        <w:t xml:space="preserve">Por último, </w:t>
      </w:r>
      <w:r w:rsidRPr="00ED3200">
        <w:rPr>
          <w:rFonts w:ascii="Times New Roman" w:hAnsi="Times New Roman" w:cs="Times New Roman"/>
        </w:rPr>
        <w:t>la depresión tropical ETA</w:t>
      </w:r>
      <w:r>
        <w:rPr>
          <w:rFonts w:ascii="Times New Roman" w:hAnsi="Times New Roman" w:cs="Times New Roman"/>
        </w:rPr>
        <w:t xml:space="preserve"> cuenta con un presupuesto de Q12.3 millones y</w:t>
      </w:r>
      <w:r w:rsidRPr="00ED3200">
        <w:rPr>
          <w:rFonts w:ascii="Times New Roman" w:hAnsi="Times New Roman" w:cs="Times New Roman"/>
        </w:rPr>
        <w:t xml:space="preserve"> reporta una ejecución de Q1.</w:t>
      </w:r>
      <w:r>
        <w:rPr>
          <w:rFonts w:ascii="Times New Roman" w:hAnsi="Times New Roman" w:cs="Times New Roman"/>
        </w:rPr>
        <w:t>5</w:t>
      </w:r>
      <w:r w:rsidRPr="00ED3200">
        <w:rPr>
          <w:rFonts w:ascii="Times New Roman" w:hAnsi="Times New Roman" w:cs="Times New Roman"/>
        </w:rPr>
        <w:t xml:space="preserve"> millones</w:t>
      </w:r>
      <w:r>
        <w:rPr>
          <w:rFonts w:ascii="Times New Roman" w:hAnsi="Times New Roman" w:cs="Times New Roman"/>
        </w:rPr>
        <w:t>.</w:t>
      </w:r>
      <w:r w:rsidRPr="00ED3200">
        <w:rPr>
          <w:rFonts w:ascii="Times New Roman" w:hAnsi="Times New Roman" w:cs="Times New Roman"/>
        </w:rPr>
        <w:t xml:space="preserve"> </w:t>
      </w:r>
    </w:p>
    <w:p w14:paraId="3387ACD8" w14:textId="77777777" w:rsidR="00B93E46" w:rsidRDefault="00B93E46" w:rsidP="00B93E46">
      <w:pPr>
        <w:pStyle w:val="Sinespaciado"/>
        <w:jc w:val="both"/>
        <w:rPr>
          <w:rFonts w:ascii="Times New Roman" w:hAnsi="Times New Roman" w:cs="Times New Roman"/>
        </w:rPr>
      </w:pPr>
    </w:p>
    <w:p w14:paraId="76FE9FD9" w14:textId="77777777" w:rsidR="00B93E46" w:rsidRDefault="00B93E46" w:rsidP="00B93E46">
      <w:pPr>
        <w:pStyle w:val="Sinespaciado"/>
        <w:jc w:val="both"/>
        <w:rPr>
          <w:rFonts w:ascii="Times New Roman" w:hAnsi="Times New Roman" w:cs="Times New Roman"/>
        </w:rPr>
      </w:pPr>
      <w:r>
        <w:rPr>
          <w:rFonts w:ascii="Times New Roman" w:hAnsi="Times New Roman" w:cs="Times New Roman"/>
        </w:rPr>
        <w:t xml:space="preserve">Las intervenciones </w:t>
      </w:r>
      <w:r w:rsidRPr="00E91C96">
        <w:rPr>
          <w:rFonts w:ascii="Times New Roman" w:hAnsi="Times New Roman" w:cs="Times New Roman"/>
        </w:rPr>
        <w:t>del Ministerio de Comunicaciones, Infraestructura y Viviend</w:t>
      </w:r>
      <w:r>
        <w:rPr>
          <w:rFonts w:ascii="Times New Roman" w:hAnsi="Times New Roman" w:cs="Times New Roman"/>
        </w:rPr>
        <w:t>a están enfocadas</w:t>
      </w:r>
      <w:r w:rsidRPr="00ED3200">
        <w:rPr>
          <w:rFonts w:ascii="Times New Roman" w:hAnsi="Times New Roman" w:cs="Times New Roman"/>
        </w:rPr>
        <w:t xml:space="preserve"> al mantenimiento y reparación de edificios</w:t>
      </w:r>
      <w:r>
        <w:rPr>
          <w:rFonts w:ascii="Times New Roman" w:hAnsi="Times New Roman" w:cs="Times New Roman"/>
        </w:rPr>
        <w:t xml:space="preserve"> y de bienes nacionales. </w:t>
      </w:r>
    </w:p>
    <w:p w14:paraId="21474FAE" w14:textId="5CD0A12A" w:rsidR="00B93E46" w:rsidRDefault="00B93E46" w:rsidP="00B93E46">
      <w:pPr>
        <w:pStyle w:val="Sinespaciado"/>
        <w:jc w:val="both"/>
        <w:rPr>
          <w:rFonts w:ascii="Times New Roman" w:hAnsi="Times New Roman" w:cs="Times New Roman"/>
        </w:rPr>
      </w:pPr>
    </w:p>
    <w:p w14:paraId="4AC3BE1F" w14:textId="52617A63" w:rsidR="008A761C" w:rsidRDefault="008A761C" w:rsidP="00B93E46">
      <w:pPr>
        <w:pStyle w:val="Sinespaciado"/>
        <w:jc w:val="both"/>
        <w:rPr>
          <w:rFonts w:ascii="Times New Roman" w:hAnsi="Times New Roman" w:cs="Times New Roman"/>
        </w:rPr>
      </w:pPr>
    </w:p>
    <w:p w14:paraId="00A0FA9D" w14:textId="3ABB19EC" w:rsidR="008A761C" w:rsidRDefault="008A761C" w:rsidP="00B93E46">
      <w:pPr>
        <w:pStyle w:val="Sinespaciado"/>
        <w:jc w:val="both"/>
        <w:rPr>
          <w:rFonts w:ascii="Times New Roman" w:hAnsi="Times New Roman" w:cs="Times New Roman"/>
        </w:rPr>
      </w:pPr>
    </w:p>
    <w:p w14:paraId="36DE581D" w14:textId="0AE72CA0" w:rsidR="008A761C" w:rsidRDefault="008A761C" w:rsidP="00B93E46">
      <w:pPr>
        <w:pStyle w:val="Sinespaciado"/>
        <w:jc w:val="both"/>
        <w:rPr>
          <w:rFonts w:ascii="Times New Roman" w:hAnsi="Times New Roman" w:cs="Times New Roman"/>
        </w:rPr>
      </w:pPr>
    </w:p>
    <w:p w14:paraId="61A7B2AA" w14:textId="797E1AF7" w:rsidR="008A761C" w:rsidRDefault="008A761C" w:rsidP="00B93E46">
      <w:pPr>
        <w:pStyle w:val="Sinespaciado"/>
        <w:jc w:val="both"/>
        <w:rPr>
          <w:rFonts w:ascii="Times New Roman" w:hAnsi="Times New Roman" w:cs="Times New Roman"/>
        </w:rPr>
      </w:pPr>
    </w:p>
    <w:p w14:paraId="75DD758E" w14:textId="4BF3C44B" w:rsidR="008A761C" w:rsidRDefault="008A761C" w:rsidP="00B93E46">
      <w:pPr>
        <w:pStyle w:val="Sinespaciado"/>
        <w:jc w:val="both"/>
        <w:rPr>
          <w:rFonts w:ascii="Times New Roman" w:hAnsi="Times New Roman" w:cs="Times New Roman"/>
        </w:rPr>
      </w:pPr>
    </w:p>
    <w:p w14:paraId="61BE46E3" w14:textId="5BB263E8" w:rsidR="008A761C" w:rsidRDefault="008A761C" w:rsidP="00B93E46">
      <w:pPr>
        <w:pStyle w:val="Sinespaciado"/>
        <w:jc w:val="both"/>
        <w:rPr>
          <w:rFonts w:ascii="Times New Roman" w:hAnsi="Times New Roman" w:cs="Times New Roman"/>
        </w:rPr>
      </w:pPr>
    </w:p>
    <w:p w14:paraId="65AF9545" w14:textId="1BFE57AD" w:rsidR="008A761C" w:rsidRDefault="008A761C" w:rsidP="00B93E46">
      <w:pPr>
        <w:pStyle w:val="Sinespaciado"/>
        <w:jc w:val="both"/>
        <w:rPr>
          <w:rFonts w:ascii="Times New Roman" w:hAnsi="Times New Roman" w:cs="Times New Roman"/>
        </w:rPr>
      </w:pPr>
    </w:p>
    <w:p w14:paraId="47C885D3" w14:textId="77777777" w:rsidR="00B93E46" w:rsidRPr="00ED3200" w:rsidRDefault="00B93E46" w:rsidP="00B93E46">
      <w:pPr>
        <w:pStyle w:val="Sinespaciado"/>
        <w:jc w:val="center"/>
        <w:rPr>
          <w:rFonts w:ascii="Times New Roman" w:hAnsi="Times New Roman" w:cs="Times New Roman"/>
          <w:b/>
        </w:rPr>
      </w:pPr>
      <w:r w:rsidRPr="00ED3200">
        <w:rPr>
          <w:rFonts w:ascii="Times New Roman" w:hAnsi="Times New Roman" w:cs="Times New Roman"/>
          <w:b/>
        </w:rPr>
        <w:lastRenderedPageBreak/>
        <w:t>Seguimiento de Programas en atención a los Estados de Calamidad Pública</w:t>
      </w:r>
    </w:p>
    <w:p w14:paraId="72C2D1A8" w14:textId="2BCA394F" w:rsidR="00B93E46" w:rsidRPr="008A761C" w:rsidRDefault="00B93E46" w:rsidP="00B93E46">
      <w:pPr>
        <w:pStyle w:val="Sinespaciado"/>
        <w:jc w:val="center"/>
        <w:rPr>
          <w:rFonts w:ascii="Times New Roman" w:hAnsi="Times New Roman" w:cs="Times New Roman"/>
          <w:sz w:val="20"/>
          <w:szCs w:val="20"/>
        </w:rPr>
      </w:pPr>
      <w:r w:rsidRPr="008A761C">
        <w:rPr>
          <w:rFonts w:ascii="Times New Roman" w:hAnsi="Times New Roman" w:cs="Times New Roman"/>
          <w:sz w:val="20"/>
          <w:szCs w:val="20"/>
        </w:rPr>
        <w:t>A enero 202</w:t>
      </w:r>
      <w:r w:rsidR="0090687F">
        <w:rPr>
          <w:rFonts w:ascii="Times New Roman" w:hAnsi="Times New Roman" w:cs="Times New Roman"/>
          <w:sz w:val="20"/>
          <w:szCs w:val="20"/>
        </w:rPr>
        <w:t>4</w:t>
      </w:r>
    </w:p>
    <w:p w14:paraId="36F20A5A" w14:textId="77777777" w:rsidR="00B93E46" w:rsidRPr="008A761C" w:rsidRDefault="00B93E46" w:rsidP="00B93E46">
      <w:pPr>
        <w:pStyle w:val="Sinespaciado"/>
        <w:jc w:val="center"/>
        <w:rPr>
          <w:rFonts w:ascii="Times New Roman" w:hAnsi="Times New Roman" w:cs="Times New Roman"/>
          <w:sz w:val="20"/>
          <w:szCs w:val="20"/>
        </w:rPr>
      </w:pPr>
      <w:r w:rsidRPr="008A761C">
        <w:rPr>
          <w:rFonts w:ascii="Times New Roman" w:hAnsi="Times New Roman" w:cs="Times New Roman"/>
          <w:sz w:val="20"/>
          <w:szCs w:val="20"/>
        </w:rPr>
        <w:t>Cifras en millones de quetzales y porcentajes</w:t>
      </w:r>
    </w:p>
    <w:p w14:paraId="7E83DCF5" w14:textId="77777777" w:rsidR="00B93E46" w:rsidRPr="00ED3200" w:rsidRDefault="00B93E46" w:rsidP="00B93E46">
      <w:pPr>
        <w:pStyle w:val="Sinespaciado"/>
        <w:jc w:val="center"/>
        <w:rPr>
          <w:rFonts w:ascii="Times New Roman" w:hAnsi="Times New Roman" w:cs="Times New Roman"/>
          <w:sz w:val="18"/>
          <w:szCs w:val="18"/>
        </w:rPr>
      </w:pPr>
      <w:r w:rsidRPr="00C47877">
        <w:rPr>
          <w:noProof/>
        </w:rPr>
        <w:drawing>
          <wp:inline distT="0" distB="0" distL="0" distR="0" wp14:anchorId="0608918A" wp14:editId="717C85B8">
            <wp:extent cx="2580950" cy="26773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2341" cy="2709927"/>
                    </a:xfrm>
                    <a:prstGeom prst="rect">
                      <a:avLst/>
                    </a:prstGeom>
                    <a:noFill/>
                    <a:ln>
                      <a:noFill/>
                    </a:ln>
                  </pic:spPr>
                </pic:pic>
              </a:graphicData>
            </a:graphic>
          </wp:inline>
        </w:drawing>
      </w:r>
    </w:p>
    <w:p w14:paraId="010D198A" w14:textId="6E9967EC" w:rsidR="00685CC7" w:rsidRDefault="00685CC7" w:rsidP="008D3EDB">
      <w:pPr>
        <w:spacing w:after="0" w:line="240" w:lineRule="auto"/>
        <w:rPr>
          <w:rFonts w:ascii="Times New Roman" w:hAnsi="Times New Roman" w:cs="Times New Roman"/>
          <w:sz w:val="8"/>
          <w:szCs w:val="8"/>
        </w:rPr>
      </w:pPr>
    </w:p>
    <w:p w14:paraId="0E34A9B2" w14:textId="155ED255" w:rsidR="00685CC7" w:rsidRDefault="00685CC7" w:rsidP="008D3EDB">
      <w:pPr>
        <w:spacing w:after="0" w:line="240" w:lineRule="auto"/>
        <w:rPr>
          <w:rFonts w:ascii="Times New Roman" w:hAnsi="Times New Roman" w:cs="Times New Roman"/>
          <w:sz w:val="8"/>
          <w:szCs w:val="8"/>
        </w:rPr>
      </w:pPr>
    </w:p>
    <w:p w14:paraId="71B7B0FC" w14:textId="2F0DB6E6" w:rsidR="00685CC7" w:rsidRDefault="00685CC7" w:rsidP="008D3EDB">
      <w:pPr>
        <w:spacing w:after="0" w:line="240" w:lineRule="auto"/>
        <w:rPr>
          <w:rFonts w:ascii="Times New Roman" w:hAnsi="Times New Roman" w:cs="Times New Roman"/>
          <w:sz w:val="8"/>
          <w:szCs w:val="8"/>
        </w:rPr>
      </w:pPr>
    </w:p>
    <w:p w14:paraId="3C2E5911" w14:textId="591BADE7" w:rsidR="00685CC7" w:rsidRDefault="00685CC7" w:rsidP="008D3EDB">
      <w:pPr>
        <w:spacing w:after="0" w:line="240" w:lineRule="auto"/>
        <w:rPr>
          <w:rFonts w:ascii="Times New Roman" w:hAnsi="Times New Roman" w:cs="Times New Roman"/>
          <w:sz w:val="8"/>
          <w:szCs w:val="8"/>
        </w:rPr>
      </w:pPr>
    </w:p>
    <w:p w14:paraId="15EB50C3" w14:textId="7F85F425" w:rsidR="00685CC7" w:rsidRDefault="00685CC7" w:rsidP="008D3EDB">
      <w:pPr>
        <w:spacing w:after="0" w:line="240" w:lineRule="auto"/>
        <w:rPr>
          <w:rFonts w:ascii="Times New Roman" w:hAnsi="Times New Roman" w:cs="Times New Roman"/>
          <w:sz w:val="8"/>
          <w:szCs w:val="8"/>
        </w:rPr>
      </w:pPr>
    </w:p>
    <w:p w14:paraId="50F42F32" w14:textId="42C35F77" w:rsidR="00685CC7" w:rsidRDefault="00685CC7" w:rsidP="008D3EDB">
      <w:pPr>
        <w:spacing w:after="0" w:line="240" w:lineRule="auto"/>
        <w:rPr>
          <w:rFonts w:ascii="Times New Roman" w:hAnsi="Times New Roman" w:cs="Times New Roman"/>
          <w:sz w:val="8"/>
          <w:szCs w:val="8"/>
        </w:rPr>
      </w:pPr>
    </w:p>
    <w:p w14:paraId="70C09FCA" w14:textId="5337C109" w:rsidR="00685CC7" w:rsidRDefault="00685CC7" w:rsidP="008D3EDB">
      <w:pPr>
        <w:spacing w:after="0" w:line="240" w:lineRule="auto"/>
        <w:rPr>
          <w:rFonts w:ascii="Times New Roman" w:hAnsi="Times New Roman" w:cs="Times New Roman"/>
          <w:sz w:val="8"/>
          <w:szCs w:val="8"/>
        </w:rPr>
      </w:pPr>
    </w:p>
    <w:p w14:paraId="1CF55CB3" w14:textId="0BF1FE1F" w:rsidR="00685CC7" w:rsidRDefault="00685CC7" w:rsidP="008D3EDB">
      <w:pPr>
        <w:spacing w:after="0" w:line="240" w:lineRule="auto"/>
        <w:rPr>
          <w:rFonts w:ascii="Times New Roman" w:hAnsi="Times New Roman" w:cs="Times New Roman"/>
          <w:sz w:val="8"/>
          <w:szCs w:val="8"/>
        </w:rPr>
      </w:pPr>
    </w:p>
    <w:p w14:paraId="5DAE9C7D" w14:textId="77777777" w:rsidR="00685CC7" w:rsidRDefault="00685CC7" w:rsidP="008D3EDB">
      <w:pPr>
        <w:spacing w:after="0" w:line="240" w:lineRule="auto"/>
        <w:rPr>
          <w:rFonts w:ascii="Times New Roman" w:hAnsi="Times New Roman" w:cs="Times New Roman"/>
          <w:sz w:val="8"/>
          <w:szCs w:val="8"/>
        </w:rPr>
      </w:pPr>
    </w:p>
    <w:p w14:paraId="3FF91F6F" w14:textId="77777777" w:rsidR="00685CC7" w:rsidRPr="008A761C" w:rsidRDefault="00685CC7" w:rsidP="008D3EDB">
      <w:pPr>
        <w:spacing w:after="0" w:line="240" w:lineRule="auto"/>
        <w:rPr>
          <w:rFonts w:ascii="Times New Roman" w:hAnsi="Times New Roman" w:cs="Times New Roman"/>
          <w:sz w:val="8"/>
          <w:szCs w:val="8"/>
        </w:rPr>
      </w:pPr>
    </w:p>
    <w:p w14:paraId="3ABDEED3" w14:textId="77777777" w:rsidR="008D3EDB" w:rsidRPr="008A761C" w:rsidRDefault="008D3EDB" w:rsidP="008A761C">
      <w:pPr>
        <w:spacing w:after="0" w:line="240" w:lineRule="auto"/>
        <w:rPr>
          <w:sz w:val="8"/>
          <w:szCs w:val="8"/>
        </w:rPr>
        <w:sectPr w:rsidR="008D3EDB" w:rsidRPr="008A761C" w:rsidSect="00BC3291">
          <w:type w:val="continuous"/>
          <w:pgSz w:w="12240" w:h="15840"/>
          <w:pgMar w:top="1417" w:right="1701" w:bottom="1417" w:left="1701" w:header="708" w:footer="708" w:gutter="0"/>
          <w:cols w:num="2" w:space="708"/>
          <w:docGrid w:linePitch="360"/>
        </w:sectPr>
      </w:pPr>
    </w:p>
    <w:p w14:paraId="7AB14EB0" w14:textId="77777777" w:rsidR="008D3EDB" w:rsidRPr="008A761C" w:rsidRDefault="008D3EDB" w:rsidP="008A761C">
      <w:pPr>
        <w:spacing w:after="0" w:line="240" w:lineRule="auto"/>
        <w:rPr>
          <w:sz w:val="8"/>
          <w:szCs w:val="8"/>
        </w:rPr>
      </w:pPr>
    </w:p>
    <w:p w14:paraId="7F24B34A" w14:textId="77777777" w:rsidR="008D3EDB" w:rsidRPr="008A761C" w:rsidRDefault="008D3EDB" w:rsidP="008D3EDB">
      <w:pPr>
        <w:rPr>
          <w:sz w:val="8"/>
          <w:szCs w:val="8"/>
        </w:rPr>
        <w:sectPr w:rsidR="008D3EDB" w:rsidRPr="008A761C" w:rsidSect="00BC3291">
          <w:type w:val="continuous"/>
          <w:pgSz w:w="12240" w:h="15840"/>
          <w:pgMar w:top="1417" w:right="1701" w:bottom="1417" w:left="1701" w:header="708" w:footer="708" w:gutter="0"/>
          <w:cols w:space="708"/>
          <w:docGrid w:linePitch="360"/>
        </w:sectPr>
      </w:pPr>
    </w:p>
    <w:p w14:paraId="2FDBAD66" w14:textId="372B542F" w:rsidR="008D3EDB" w:rsidRPr="00BC3291" w:rsidRDefault="008D3EDB" w:rsidP="008D3EDB">
      <w:pPr>
        <w:shd w:val="clear" w:color="auto" w:fill="1F3864" w:themeFill="accent1" w:themeFillShade="80"/>
        <w:jc w:val="center"/>
        <w:rPr>
          <w:rFonts w:ascii="Times New Roman" w:hAnsi="Times New Roman" w:cs="Times New Roman"/>
          <w:b/>
          <w:bCs/>
        </w:rPr>
      </w:pPr>
      <w:r>
        <w:rPr>
          <w:rFonts w:ascii="Times New Roman" w:hAnsi="Times New Roman" w:cs="Times New Roman"/>
          <w:b/>
          <w:bCs/>
        </w:rPr>
        <w:t>Ambiente macroeconómico (externo e interno)</w:t>
      </w:r>
    </w:p>
    <w:p w14:paraId="1997F138" w14:textId="77777777" w:rsidR="008D3EDB" w:rsidRDefault="008D3EDB" w:rsidP="008D3EDB">
      <w:pPr>
        <w:sectPr w:rsidR="008D3EDB" w:rsidSect="00BC3291">
          <w:type w:val="continuous"/>
          <w:pgSz w:w="12240" w:h="15840"/>
          <w:pgMar w:top="1417" w:right="1701" w:bottom="1417" w:left="1701" w:header="708" w:footer="708" w:gutter="0"/>
          <w:cols w:space="708"/>
          <w:docGrid w:linePitch="360"/>
        </w:sectPr>
      </w:pPr>
    </w:p>
    <w:p w14:paraId="7180DA04" w14:textId="4CDD928F" w:rsidR="002644D6" w:rsidRPr="00A73705" w:rsidRDefault="002644D6" w:rsidP="002644D6">
      <w:pPr>
        <w:pStyle w:val="Textodeglobo"/>
        <w:jc w:val="both"/>
        <w:rPr>
          <w:rFonts w:ascii="Times New Roman" w:hAnsi="Times New Roman" w:cs="Times New Roman"/>
          <w:sz w:val="22"/>
          <w:szCs w:val="22"/>
        </w:rPr>
      </w:pPr>
      <w:r w:rsidRPr="00B851CF">
        <w:rPr>
          <w:rFonts w:ascii="Times New Roman" w:hAnsi="Times New Roman" w:cs="Times New Roman"/>
          <w:sz w:val="22"/>
          <w:szCs w:val="22"/>
        </w:rPr>
        <w:t>E</w:t>
      </w:r>
      <w:r w:rsidR="00B851CF" w:rsidRPr="00B851CF">
        <w:rPr>
          <w:rFonts w:ascii="Times New Roman" w:hAnsi="Times New Roman" w:cs="Times New Roman"/>
          <w:sz w:val="22"/>
          <w:szCs w:val="22"/>
        </w:rPr>
        <w:t>n el ámbito económico mundial, el Fondo Monetario Internacional (FMI) publicó su</w:t>
      </w:r>
      <w:r w:rsidRPr="00B851CF">
        <w:rPr>
          <w:rFonts w:ascii="Times New Roman" w:hAnsi="Times New Roman" w:cs="Times New Roman"/>
          <w:sz w:val="22"/>
          <w:szCs w:val="22"/>
        </w:rPr>
        <w:t xml:space="preserve"> actualización de Perspectivas del crecimiento económico</w:t>
      </w:r>
      <w:r w:rsidR="00B851CF" w:rsidRPr="00B851CF">
        <w:rPr>
          <w:rFonts w:ascii="Times New Roman" w:hAnsi="Times New Roman" w:cs="Times New Roman"/>
          <w:sz w:val="22"/>
          <w:szCs w:val="22"/>
        </w:rPr>
        <w:t xml:space="preserve"> para 2024</w:t>
      </w:r>
      <w:r w:rsidRPr="00B851CF">
        <w:rPr>
          <w:rFonts w:ascii="Times New Roman" w:hAnsi="Times New Roman" w:cs="Times New Roman"/>
          <w:sz w:val="22"/>
          <w:szCs w:val="22"/>
        </w:rPr>
        <w:t xml:space="preserve">, </w:t>
      </w:r>
      <w:r w:rsidR="00FE4A3C">
        <w:rPr>
          <w:rFonts w:ascii="Times New Roman" w:hAnsi="Times New Roman" w:cs="Times New Roman"/>
          <w:sz w:val="22"/>
          <w:szCs w:val="22"/>
        </w:rPr>
        <w:t>resaltando</w:t>
      </w:r>
      <w:r w:rsidR="00B851CF" w:rsidRPr="00B851CF">
        <w:rPr>
          <w:rFonts w:ascii="Times New Roman" w:hAnsi="Times New Roman" w:cs="Times New Roman"/>
          <w:sz w:val="22"/>
          <w:szCs w:val="22"/>
        </w:rPr>
        <w:t xml:space="preserve"> que el crecimiento mundial muestra una trayectoria a la baja, disminuyendo </w:t>
      </w:r>
      <w:r w:rsidR="00B851CF" w:rsidRPr="00A73705">
        <w:rPr>
          <w:rFonts w:ascii="Times New Roman" w:hAnsi="Times New Roman" w:cs="Times New Roman"/>
          <w:sz w:val="22"/>
          <w:szCs w:val="22"/>
        </w:rPr>
        <w:t>gradualmente de 3.4% en abril del 2022 a 2.9% en octubre del 2023</w:t>
      </w:r>
      <w:r w:rsidR="00FE4A3C" w:rsidRPr="00A73705">
        <w:rPr>
          <w:rFonts w:ascii="Times New Roman" w:hAnsi="Times New Roman" w:cs="Times New Roman"/>
          <w:sz w:val="22"/>
          <w:szCs w:val="22"/>
        </w:rPr>
        <w:t>,</w:t>
      </w:r>
      <w:r w:rsidR="00B851CF" w:rsidRPr="00A73705">
        <w:rPr>
          <w:rFonts w:ascii="Times New Roman" w:hAnsi="Times New Roman" w:cs="Times New Roman"/>
          <w:sz w:val="22"/>
          <w:szCs w:val="22"/>
        </w:rPr>
        <w:t xml:space="preserve"> y para 2024 la perspectiva de crecimiento aumentó 0.2 puntos porcentuales y se ubica en 3.1%. </w:t>
      </w:r>
      <w:r w:rsidR="00FE4A3C" w:rsidRPr="00A73705">
        <w:rPr>
          <w:rFonts w:ascii="Times New Roman" w:hAnsi="Times New Roman" w:cs="Times New Roman"/>
          <w:sz w:val="22"/>
          <w:szCs w:val="22"/>
        </w:rPr>
        <w:t xml:space="preserve"> </w:t>
      </w:r>
    </w:p>
    <w:p w14:paraId="7738C7E8" w14:textId="77777777" w:rsidR="002644D6" w:rsidRPr="00A73705" w:rsidRDefault="002644D6" w:rsidP="002644D6">
      <w:pPr>
        <w:pStyle w:val="Textodeglobo"/>
        <w:jc w:val="both"/>
        <w:rPr>
          <w:rFonts w:ascii="Times New Roman" w:hAnsi="Times New Roman" w:cs="Times New Roman"/>
          <w:sz w:val="22"/>
          <w:szCs w:val="22"/>
        </w:rPr>
      </w:pPr>
    </w:p>
    <w:p w14:paraId="585A043E" w14:textId="5D4E7A98" w:rsidR="002644D6" w:rsidRPr="00A73705" w:rsidRDefault="002644D6" w:rsidP="002644D6">
      <w:pPr>
        <w:pStyle w:val="Textodeglobo"/>
        <w:jc w:val="both"/>
        <w:rPr>
          <w:rFonts w:ascii="Times New Roman" w:hAnsi="Times New Roman" w:cs="Times New Roman"/>
          <w:sz w:val="22"/>
          <w:szCs w:val="22"/>
        </w:rPr>
      </w:pPr>
      <w:r w:rsidRPr="00A73705">
        <w:rPr>
          <w:rFonts w:ascii="Times New Roman" w:hAnsi="Times New Roman" w:cs="Times New Roman"/>
          <w:sz w:val="22"/>
          <w:szCs w:val="22"/>
        </w:rPr>
        <w:t xml:space="preserve">Entre los riesgos adversos latentes que podrían nublar dichas proyecciones, el FMI identificó </w:t>
      </w:r>
      <w:r w:rsidR="00A73705" w:rsidRPr="00A73705">
        <w:rPr>
          <w:rFonts w:ascii="Times New Roman" w:hAnsi="Times New Roman" w:cs="Times New Roman"/>
          <w:sz w:val="22"/>
          <w:szCs w:val="22"/>
        </w:rPr>
        <w:t>el continuo aumento de los precios de las materias prima y choques geopolíticos y meteorológicos; una inflación subyacente persistente en las economías principales; disminución en la inversión en China; aumento de impuestos y recortes de gasto.</w:t>
      </w:r>
    </w:p>
    <w:p w14:paraId="1061AD32" w14:textId="26C1F741" w:rsidR="002644D6" w:rsidRPr="00A73705" w:rsidRDefault="002644D6" w:rsidP="002644D6">
      <w:pPr>
        <w:pStyle w:val="Textodeglobo"/>
        <w:jc w:val="both"/>
        <w:rPr>
          <w:rFonts w:ascii="Times New Roman" w:hAnsi="Times New Roman" w:cs="Times New Roman"/>
          <w:sz w:val="22"/>
          <w:szCs w:val="22"/>
        </w:rPr>
      </w:pPr>
    </w:p>
    <w:p w14:paraId="1EAD1356" w14:textId="0E1EBB7A" w:rsidR="00A73705" w:rsidRPr="00A73705" w:rsidRDefault="00A73705" w:rsidP="00A73705">
      <w:pPr>
        <w:pStyle w:val="Textodeglobo"/>
        <w:jc w:val="both"/>
        <w:rPr>
          <w:rFonts w:ascii="Times New Roman" w:hAnsi="Times New Roman" w:cs="Times New Roman"/>
          <w:sz w:val="22"/>
          <w:szCs w:val="22"/>
        </w:rPr>
      </w:pPr>
      <w:r w:rsidRPr="00A73705">
        <w:rPr>
          <w:rFonts w:ascii="Times New Roman" w:hAnsi="Times New Roman" w:cs="Times New Roman"/>
          <w:sz w:val="22"/>
          <w:szCs w:val="22"/>
        </w:rPr>
        <w:t xml:space="preserve">Por su parte, el Banco Mundial también actualizó sus perspectivas económicas mundiales, y para 2024 </w:t>
      </w:r>
      <w:r>
        <w:rPr>
          <w:rFonts w:ascii="Times New Roman" w:hAnsi="Times New Roman" w:cs="Times New Roman"/>
          <w:sz w:val="22"/>
          <w:szCs w:val="22"/>
        </w:rPr>
        <w:t xml:space="preserve">espera que </w:t>
      </w:r>
      <w:r w:rsidRPr="00A73705">
        <w:rPr>
          <w:rFonts w:ascii="Times New Roman" w:hAnsi="Times New Roman" w:cs="Times New Roman"/>
          <w:sz w:val="22"/>
          <w:szCs w:val="22"/>
        </w:rPr>
        <w:t xml:space="preserve">se ubique en 2.4%, 0.3 puntos porcentuales con respecto a sus perspectivas de junio de 2023.  La perspectiva es menor a la del FMI por 0.7 puntos porcentuales, dado que consideran que será el tercer año consecutivo de tener una </w:t>
      </w:r>
      <w:r w:rsidRPr="00A73705">
        <w:rPr>
          <w:rFonts w:ascii="Times New Roman" w:hAnsi="Times New Roman" w:cs="Times New Roman"/>
          <w:sz w:val="22"/>
          <w:szCs w:val="22"/>
        </w:rPr>
        <w:t>desaceleración, en el caso del 2024 por las tensiones geopolíticas en el medio oriente y la</w:t>
      </w:r>
    </w:p>
    <w:p w14:paraId="7A3750E0" w14:textId="6558E814" w:rsidR="00A73705" w:rsidRPr="00A73705" w:rsidRDefault="00A73705" w:rsidP="00A73705">
      <w:pPr>
        <w:pStyle w:val="Textodeglobo"/>
        <w:jc w:val="both"/>
        <w:rPr>
          <w:rFonts w:ascii="Times New Roman" w:hAnsi="Times New Roman" w:cs="Times New Roman"/>
          <w:sz w:val="22"/>
          <w:szCs w:val="22"/>
        </w:rPr>
      </w:pPr>
      <w:r w:rsidRPr="00A73705">
        <w:rPr>
          <w:rFonts w:ascii="Times New Roman" w:hAnsi="Times New Roman" w:cs="Times New Roman"/>
          <w:sz w:val="22"/>
          <w:szCs w:val="22"/>
        </w:rPr>
        <w:t xml:space="preserve">incertidumbre que genera en los mercados de las materias prima. </w:t>
      </w:r>
    </w:p>
    <w:p w14:paraId="1ECC23A8" w14:textId="77777777" w:rsidR="00A73705" w:rsidRPr="002644D6" w:rsidRDefault="00A73705" w:rsidP="00A73705">
      <w:pPr>
        <w:pStyle w:val="Textodeglobo"/>
        <w:jc w:val="both"/>
        <w:rPr>
          <w:rFonts w:ascii="Times New Roman" w:hAnsi="Times New Roman" w:cs="Times New Roman"/>
          <w:color w:val="FF0000"/>
          <w:sz w:val="22"/>
          <w:szCs w:val="22"/>
        </w:rPr>
      </w:pPr>
    </w:p>
    <w:p w14:paraId="0E3E1582" w14:textId="453DDF76" w:rsidR="002644D6" w:rsidRPr="00210517" w:rsidRDefault="002644D6" w:rsidP="00210517">
      <w:pPr>
        <w:pStyle w:val="Textodeglobo"/>
        <w:jc w:val="center"/>
        <w:rPr>
          <w:rFonts w:ascii="Times New Roman" w:hAnsi="Times New Roman" w:cs="Times New Roman"/>
          <w:b/>
          <w:bCs/>
          <w:sz w:val="22"/>
          <w:szCs w:val="22"/>
        </w:rPr>
      </w:pPr>
      <w:r w:rsidRPr="00210517">
        <w:rPr>
          <w:rFonts w:ascii="Times New Roman" w:hAnsi="Times New Roman" w:cs="Times New Roman"/>
          <w:b/>
          <w:bCs/>
          <w:sz w:val="22"/>
          <w:szCs w:val="22"/>
        </w:rPr>
        <w:t>Perspectivas de la economía mundial</w:t>
      </w:r>
      <w:r w:rsidR="00210517" w:rsidRPr="00210517">
        <w:rPr>
          <w:rFonts w:ascii="Times New Roman" w:hAnsi="Times New Roman" w:cs="Times New Roman"/>
          <w:b/>
          <w:bCs/>
          <w:sz w:val="22"/>
          <w:szCs w:val="22"/>
        </w:rPr>
        <w:t>, actualización en enero de 2024</w:t>
      </w:r>
    </w:p>
    <w:p w14:paraId="7ECBD47F" w14:textId="77777777" w:rsidR="002644D6" w:rsidRPr="00210517" w:rsidRDefault="002644D6" w:rsidP="00210517">
      <w:pPr>
        <w:pStyle w:val="Textodeglobo"/>
        <w:jc w:val="center"/>
        <w:rPr>
          <w:rFonts w:ascii="Times New Roman" w:hAnsi="Times New Roman" w:cs="Times New Roman"/>
          <w:sz w:val="20"/>
          <w:szCs w:val="20"/>
        </w:rPr>
      </w:pPr>
      <w:r w:rsidRPr="00210517">
        <w:rPr>
          <w:rFonts w:ascii="Times New Roman" w:hAnsi="Times New Roman" w:cs="Times New Roman"/>
          <w:sz w:val="20"/>
          <w:szCs w:val="20"/>
        </w:rPr>
        <w:t>Variación porcentual anual</w:t>
      </w:r>
    </w:p>
    <w:p w14:paraId="6CA3F5C9" w14:textId="63255E85" w:rsidR="002644D6" w:rsidRPr="002644D6" w:rsidRDefault="00210517" w:rsidP="002644D6">
      <w:pPr>
        <w:pStyle w:val="Textodeglobo"/>
        <w:jc w:val="both"/>
        <w:rPr>
          <w:rFonts w:ascii="Times New Roman" w:hAnsi="Times New Roman" w:cs="Times New Roman"/>
          <w:color w:val="FF0000"/>
          <w:sz w:val="22"/>
          <w:szCs w:val="22"/>
        </w:rPr>
      </w:pPr>
      <w:r w:rsidRPr="00210517">
        <w:rPr>
          <w:noProof/>
        </w:rPr>
        <w:drawing>
          <wp:inline distT="0" distB="0" distL="0" distR="0" wp14:anchorId="43B3CDEA" wp14:editId="08DA3973">
            <wp:extent cx="2581275" cy="17922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7538" cy="1803516"/>
                    </a:xfrm>
                    <a:prstGeom prst="rect">
                      <a:avLst/>
                    </a:prstGeom>
                    <a:noFill/>
                    <a:ln>
                      <a:noFill/>
                    </a:ln>
                  </pic:spPr>
                </pic:pic>
              </a:graphicData>
            </a:graphic>
          </wp:inline>
        </w:drawing>
      </w:r>
    </w:p>
    <w:p w14:paraId="6918FE5A" w14:textId="3CDB26CE" w:rsidR="002644D6" w:rsidRPr="00210517" w:rsidRDefault="002644D6" w:rsidP="002644D6">
      <w:pPr>
        <w:pStyle w:val="Textodeglobo"/>
        <w:jc w:val="both"/>
        <w:rPr>
          <w:rFonts w:ascii="Times New Roman" w:hAnsi="Times New Roman" w:cs="Times New Roman"/>
          <w:sz w:val="14"/>
          <w:szCs w:val="14"/>
        </w:rPr>
      </w:pPr>
      <w:r w:rsidRPr="00210517">
        <w:rPr>
          <w:rFonts w:ascii="Times New Roman" w:hAnsi="Times New Roman" w:cs="Times New Roman"/>
          <w:sz w:val="14"/>
          <w:szCs w:val="14"/>
        </w:rPr>
        <w:t xml:space="preserve">Fuente: FMI, Actualización de </w:t>
      </w:r>
      <w:r w:rsidRPr="00210517">
        <w:rPr>
          <w:rFonts w:ascii="Times New Roman" w:hAnsi="Times New Roman" w:cs="Times New Roman"/>
          <w:i/>
          <w:iCs/>
          <w:sz w:val="14"/>
          <w:szCs w:val="14"/>
        </w:rPr>
        <w:t>Perspectivas de la economía mundial</w:t>
      </w:r>
      <w:r w:rsidRPr="00210517">
        <w:rPr>
          <w:rFonts w:ascii="Times New Roman" w:hAnsi="Times New Roman" w:cs="Times New Roman"/>
          <w:sz w:val="14"/>
          <w:szCs w:val="14"/>
        </w:rPr>
        <w:t>, enero de 202</w:t>
      </w:r>
      <w:r w:rsidR="00210517" w:rsidRPr="00210517">
        <w:rPr>
          <w:rFonts w:ascii="Times New Roman" w:hAnsi="Times New Roman" w:cs="Times New Roman"/>
          <w:sz w:val="14"/>
          <w:szCs w:val="14"/>
        </w:rPr>
        <w:t xml:space="preserve">4; Banco Mundial, </w:t>
      </w:r>
      <w:r w:rsidR="00210517" w:rsidRPr="00210517">
        <w:rPr>
          <w:rFonts w:ascii="Times New Roman" w:hAnsi="Times New Roman" w:cs="Times New Roman"/>
          <w:i/>
          <w:iCs/>
          <w:sz w:val="14"/>
          <w:szCs w:val="14"/>
        </w:rPr>
        <w:t>Perspectivas económicas mundiales</w:t>
      </w:r>
      <w:r w:rsidR="00210517" w:rsidRPr="00210517">
        <w:rPr>
          <w:rFonts w:ascii="Times New Roman" w:hAnsi="Times New Roman" w:cs="Times New Roman"/>
          <w:sz w:val="14"/>
          <w:szCs w:val="14"/>
        </w:rPr>
        <w:t>, de enero 2024.</w:t>
      </w:r>
    </w:p>
    <w:p w14:paraId="7EE2B6E8" w14:textId="77777777" w:rsidR="002644D6" w:rsidRPr="002644D6" w:rsidRDefault="002644D6" w:rsidP="002644D6">
      <w:pPr>
        <w:pStyle w:val="Textodeglobo"/>
        <w:jc w:val="both"/>
        <w:rPr>
          <w:rFonts w:ascii="Times New Roman" w:hAnsi="Times New Roman" w:cs="Times New Roman"/>
          <w:color w:val="FF0000"/>
          <w:sz w:val="22"/>
          <w:szCs w:val="22"/>
        </w:rPr>
      </w:pPr>
    </w:p>
    <w:p w14:paraId="5A8FD7EB" w14:textId="210339F5" w:rsidR="002644D6" w:rsidRPr="001A220E" w:rsidRDefault="002644D6" w:rsidP="002644D6">
      <w:pPr>
        <w:pStyle w:val="Textodeglobo"/>
        <w:jc w:val="both"/>
        <w:rPr>
          <w:rFonts w:ascii="Times New Roman" w:hAnsi="Times New Roman" w:cs="Times New Roman"/>
          <w:sz w:val="22"/>
          <w:szCs w:val="22"/>
        </w:rPr>
      </w:pPr>
      <w:r w:rsidRPr="004B03E0">
        <w:rPr>
          <w:rFonts w:ascii="Times New Roman" w:hAnsi="Times New Roman" w:cs="Times New Roman"/>
          <w:sz w:val="22"/>
          <w:szCs w:val="22"/>
        </w:rPr>
        <w:t xml:space="preserve">En Estados Unidos, </w:t>
      </w:r>
      <w:r w:rsidR="00A8479F" w:rsidRPr="004B03E0">
        <w:rPr>
          <w:rFonts w:ascii="Times New Roman" w:hAnsi="Times New Roman" w:cs="Times New Roman"/>
          <w:sz w:val="22"/>
          <w:szCs w:val="22"/>
        </w:rPr>
        <w:t xml:space="preserve">la creación de empleo </w:t>
      </w:r>
      <w:r w:rsidR="004B03E0" w:rsidRPr="004B03E0">
        <w:rPr>
          <w:rFonts w:ascii="Times New Roman" w:hAnsi="Times New Roman" w:cs="Times New Roman"/>
          <w:sz w:val="22"/>
          <w:szCs w:val="22"/>
        </w:rPr>
        <w:t xml:space="preserve">se aceleró, la economía generó 353,000 puestos de trabajo no agrícolas en enero y la tasa de paro se situó en 3.7%.  El presidente de la Reserva Federal, Jerome Powell señaló que el mercado de trabajo sigue estando “fuerte” y </w:t>
      </w:r>
      <w:r w:rsidR="004B03E0" w:rsidRPr="004B03E0">
        <w:rPr>
          <w:rFonts w:ascii="Times New Roman" w:hAnsi="Times New Roman" w:cs="Times New Roman"/>
          <w:sz w:val="22"/>
          <w:szCs w:val="22"/>
        </w:rPr>
        <w:lastRenderedPageBreak/>
        <w:t>que se cumplieron dos años con una tasa de desempleo inferior al 4%, situación que no ocurría desde hace 50 años.  El mercado ha interpretado eso como que en la práctica descarta una rebaja de tipos en la reunión del comité de política monetaria de marzo, que el propio presidente del banco central calificó de “</w:t>
      </w:r>
      <w:r w:rsidR="004B03E0" w:rsidRPr="001A220E">
        <w:rPr>
          <w:rFonts w:ascii="Times New Roman" w:hAnsi="Times New Roman" w:cs="Times New Roman"/>
          <w:sz w:val="22"/>
          <w:szCs w:val="22"/>
        </w:rPr>
        <w:t>improbable”.</w:t>
      </w:r>
    </w:p>
    <w:p w14:paraId="5B5B331A" w14:textId="77777777" w:rsidR="002644D6" w:rsidRPr="001A220E" w:rsidRDefault="002644D6" w:rsidP="002644D6">
      <w:pPr>
        <w:pStyle w:val="Textodeglobo"/>
        <w:jc w:val="both"/>
        <w:rPr>
          <w:rFonts w:ascii="Times New Roman" w:hAnsi="Times New Roman" w:cs="Times New Roman"/>
          <w:sz w:val="22"/>
          <w:szCs w:val="22"/>
        </w:rPr>
      </w:pPr>
      <w:r w:rsidRPr="001A220E">
        <w:rPr>
          <w:rFonts w:ascii="Times New Roman" w:hAnsi="Times New Roman" w:cs="Times New Roman"/>
          <w:sz w:val="22"/>
          <w:szCs w:val="22"/>
        </w:rPr>
        <w:tab/>
      </w:r>
    </w:p>
    <w:p w14:paraId="54C45964" w14:textId="4FF5ADE6" w:rsidR="002644D6" w:rsidRPr="001A220E" w:rsidRDefault="004B03E0" w:rsidP="002644D6">
      <w:pPr>
        <w:pStyle w:val="Textodeglobo"/>
        <w:jc w:val="both"/>
        <w:rPr>
          <w:rFonts w:ascii="Times New Roman" w:hAnsi="Times New Roman" w:cs="Times New Roman"/>
          <w:sz w:val="22"/>
          <w:szCs w:val="22"/>
        </w:rPr>
      </w:pPr>
      <w:r w:rsidRPr="001A220E">
        <w:rPr>
          <w:rFonts w:ascii="Times New Roman" w:hAnsi="Times New Roman" w:cs="Times New Roman"/>
          <w:sz w:val="22"/>
          <w:szCs w:val="22"/>
        </w:rPr>
        <w:t xml:space="preserve">En la </w:t>
      </w:r>
      <w:r w:rsidR="002644D6" w:rsidRPr="001A220E">
        <w:rPr>
          <w:rFonts w:ascii="Times New Roman" w:hAnsi="Times New Roman" w:cs="Times New Roman"/>
          <w:sz w:val="22"/>
          <w:szCs w:val="22"/>
        </w:rPr>
        <w:t>zona euro</w:t>
      </w:r>
      <w:r w:rsidR="00A440F8" w:rsidRPr="001A220E">
        <w:rPr>
          <w:rFonts w:ascii="Times New Roman" w:hAnsi="Times New Roman" w:cs="Times New Roman"/>
          <w:sz w:val="22"/>
          <w:szCs w:val="22"/>
        </w:rPr>
        <w:t>,</w:t>
      </w:r>
      <w:r w:rsidR="002644D6" w:rsidRPr="001A220E">
        <w:rPr>
          <w:rFonts w:ascii="Times New Roman" w:hAnsi="Times New Roman" w:cs="Times New Roman"/>
          <w:sz w:val="22"/>
          <w:szCs w:val="22"/>
        </w:rPr>
        <w:t xml:space="preserve"> el Índice compuesto PMI </w:t>
      </w:r>
      <w:r w:rsidR="00A440F8" w:rsidRPr="001A220E">
        <w:rPr>
          <w:rFonts w:ascii="Times New Roman" w:hAnsi="Times New Roman" w:cs="Times New Roman"/>
          <w:sz w:val="22"/>
          <w:szCs w:val="22"/>
        </w:rPr>
        <w:t>(</w:t>
      </w:r>
      <w:r w:rsidR="002644D6" w:rsidRPr="001A220E">
        <w:rPr>
          <w:rFonts w:ascii="Times New Roman" w:hAnsi="Times New Roman" w:cs="Times New Roman"/>
          <w:sz w:val="22"/>
          <w:szCs w:val="22"/>
        </w:rPr>
        <w:t xml:space="preserve">por sus siglas en inglés) </w:t>
      </w:r>
      <w:r w:rsidR="00A440F8" w:rsidRPr="001A220E">
        <w:rPr>
          <w:rFonts w:ascii="Times New Roman" w:hAnsi="Times New Roman" w:cs="Times New Roman"/>
          <w:sz w:val="22"/>
          <w:szCs w:val="22"/>
        </w:rPr>
        <w:t>del sector privado experimentó en enero un aumento moderado, aunque continúa</w:t>
      </w:r>
      <w:r w:rsidR="001A220E">
        <w:rPr>
          <w:rFonts w:ascii="Times New Roman" w:hAnsi="Times New Roman" w:cs="Times New Roman"/>
          <w:sz w:val="22"/>
          <w:szCs w:val="22"/>
        </w:rPr>
        <w:t xml:space="preserve"> </w:t>
      </w:r>
      <w:r w:rsidR="001A220E" w:rsidRPr="001A220E">
        <w:rPr>
          <w:rFonts w:ascii="Times New Roman" w:hAnsi="Times New Roman" w:cs="Times New Roman"/>
          <w:sz w:val="22"/>
          <w:szCs w:val="22"/>
        </w:rPr>
        <w:t>por octavo mes consecutivo</w:t>
      </w:r>
      <w:r w:rsidR="00A440F8" w:rsidRPr="001A220E">
        <w:rPr>
          <w:rFonts w:ascii="Times New Roman" w:hAnsi="Times New Roman" w:cs="Times New Roman"/>
          <w:sz w:val="22"/>
          <w:szCs w:val="22"/>
        </w:rPr>
        <w:t xml:space="preserve"> bajo el umbral de los 50 puntos</w:t>
      </w:r>
      <w:r w:rsidR="0090687F">
        <w:rPr>
          <w:rFonts w:ascii="Times New Roman" w:hAnsi="Times New Roman" w:cs="Times New Roman"/>
          <w:sz w:val="22"/>
          <w:szCs w:val="22"/>
        </w:rPr>
        <w:t>, el cual</w:t>
      </w:r>
      <w:r w:rsidR="00A440F8" w:rsidRPr="001A220E">
        <w:rPr>
          <w:rFonts w:ascii="Times New Roman" w:hAnsi="Times New Roman" w:cs="Times New Roman"/>
          <w:sz w:val="22"/>
          <w:szCs w:val="22"/>
        </w:rPr>
        <w:t xml:space="preserve"> indica contracción.  El índice se ubicó en 47.9</w:t>
      </w:r>
      <w:r w:rsidR="002644D6" w:rsidRPr="001A220E">
        <w:rPr>
          <w:rFonts w:ascii="Times New Roman" w:hAnsi="Times New Roman" w:cs="Times New Roman"/>
          <w:sz w:val="22"/>
          <w:szCs w:val="22"/>
        </w:rPr>
        <w:t xml:space="preserve"> puntos, desde el 4</w:t>
      </w:r>
      <w:r w:rsidR="00A440F8" w:rsidRPr="001A220E">
        <w:rPr>
          <w:rFonts w:ascii="Times New Roman" w:hAnsi="Times New Roman" w:cs="Times New Roman"/>
          <w:sz w:val="22"/>
          <w:szCs w:val="22"/>
        </w:rPr>
        <w:t>7.6</w:t>
      </w:r>
      <w:r w:rsidR="002644D6" w:rsidRPr="001A220E">
        <w:rPr>
          <w:rFonts w:ascii="Times New Roman" w:hAnsi="Times New Roman" w:cs="Times New Roman"/>
          <w:sz w:val="22"/>
          <w:szCs w:val="22"/>
        </w:rPr>
        <w:t xml:space="preserve"> de diciembre</w:t>
      </w:r>
      <w:r w:rsidR="00A440F8" w:rsidRPr="001A220E">
        <w:rPr>
          <w:rFonts w:ascii="Times New Roman" w:hAnsi="Times New Roman" w:cs="Times New Roman"/>
          <w:sz w:val="22"/>
          <w:szCs w:val="22"/>
        </w:rPr>
        <w:t>.</w:t>
      </w:r>
      <w:r w:rsidR="002644D6" w:rsidRPr="001A220E">
        <w:rPr>
          <w:rFonts w:ascii="Times New Roman" w:hAnsi="Times New Roman" w:cs="Times New Roman"/>
          <w:sz w:val="22"/>
          <w:szCs w:val="22"/>
        </w:rPr>
        <w:t xml:space="preserve"> </w:t>
      </w:r>
      <w:r w:rsidR="001A220E" w:rsidRPr="001A220E">
        <w:rPr>
          <w:rFonts w:ascii="Times New Roman" w:hAnsi="Times New Roman" w:cs="Times New Roman"/>
          <w:sz w:val="22"/>
          <w:szCs w:val="22"/>
        </w:rPr>
        <w:t>L</w:t>
      </w:r>
      <w:r w:rsidR="00A440F8" w:rsidRPr="001A220E">
        <w:rPr>
          <w:rFonts w:ascii="Times New Roman" w:hAnsi="Times New Roman" w:cs="Times New Roman"/>
          <w:sz w:val="22"/>
          <w:szCs w:val="22"/>
        </w:rPr>
        <w:t>os consumidores de la eurozona recortaron sus expectativas de inflación para los próximos 12 meses,</w:t>
      </w:r>
      <w:r w:rsidR="001A220E" w:rsidRPr="001A220E">
        <w:rPr>
          <w:rFonts w:ascii="Times New Roman" w:hAnsi="Times New Roman" w:cs="Times New Roman"/>
          <w:sz w:val="22"/>
          <w:szCs w:val="22"/>
        </w:rPr>
        <w:t xml:space="preserve"> el hogar promedio espera que los precios aumenten 3.2%, por debajo del 3.5% </w:t>
      </w:r>
      <w:r w:rsidR="001A220E">
        <w:rPr>
          <w:rFonts w:ascii="Times New Roman" w:hAnsi="Times New Roman" w:cs="Times New Roman"/>
          <w:sz w:val="22"/>
          <w:szCs w:val="22"/>
        </w:rPr>
        <w:t>esperado en</w:t>
      </w:r>
      <w:r w:rsidR="001A220E" w:rsidRPr="001A220E">
        <w:rPr>
          <w:rFonts w:ascii="Times New Roman" w:hAnsi="Times New Roman" w:cs="Times New Roman"/>
          <w:sz w:val="22"/>
          <w:szCs w:val="22"/>
        </w:rPr>
        <w:t xml:space="preserve"> diciembre 2023,</w:t>
      </w:r>
      <w:r w:rsidR="00A440F8" w:rsidRPr="001A220E">
        <w:rPr>
          <w:rFonts w:ascii="Times New Roman" w:hAnsi="Times New Roman" w:cs="Times New Roman"/>
          <w:sz w:val="22"/>
          <w:szCs w:val="22"/>
        </w:rPr>
        <w:t xml:space="preserve"> en una señal de que los esfuerzos de restricción del crédito por parte del Banco Central Europeo (BCE) </w:t>
      </w:r>
      <w:r w:rsidR="001A220E" w:rsidRPr="001A220E">
        <w:rPr>
          <w:rFonts w:ascii="Times New Roman" w:hAnsi="Times New Roman" w:cs="Times New Roman"/>
          <w:sz w:val="22"/>
          <w:szCs w:val="22"/>
        </w:rPr>
        <w:t xml:space="preserve">están </w:t>
      </w:r>
      <w:r w:rsidR="00A440F8" w:rsidRPr="001A220E">
        <w:rPr>
          <w:rFonts w:ascii="Times New Roman" w:hAnsi="Times New Roman" w:cs="Times New Roman"/>
          <w:sz w:val="22"/>
          <w:szCs w:val="22"/>
        </w:rPr>
        <w:t>surt</w:t>
      </w:r>
      <w:r w:rsidR="001A220E" w:rsidRPr="001A220E">
        <w:rPr>
          <w:rFonts w:ascii="Times New Roman" w:hAnsi="Times New Roman" w:cs="Times New Roman"/>
          <w:sz w:val="22"/>
          <w:szCs w:val="22"/>
        </w:rPr>
        <w:t>iendo</w:t>
      </w:r>
      <w:r w:rsidR="00A440F8" w:rsidRPr="001A220E">
        <w:rPr>
          <w:rFonts w:ascii="Times New Roman" w:hAnsi="Times New Roman" w:cs="Times New Roman"/>
          <w:sz w:val="22"/>
          <w:szCs w:val="22"/>
        </w:rPr>
        <w:t xml:space="preserve"> efecto.</w:t>
      </w:r>
    </w:p>
    <w:p w14:paraId="0BA62F37" w14:textId="77777777" w:rsidR="002644D6" w:rsidRPr="002644D6" w:rsidRDefault="002644D6" w:rsidP="002644D6">
      <w:pPr>
        <w:pStyle w:val="Textodeglobo"/>
        <w:jc w:val="both"/>
        <w:rPr>
          <w:rFonts w:ascii="Times New Roman" w:hAnsi="Times New Roman" w:cs="Times New Roman"/>
          <w:color w:val="FF0000"/>
          <w:sz w:val="22"/>
          <w:szCs w:val="22"/>
        </w:rPr>
      </w:pPr>
    </w:p>
    <w:p w14:paraId="016E1B50" w14:textId="63FB354F" w:rsidR="002644D6" w:rsidRPr="00FD293A" w:rsidRDefault="002644D6" w:rsidP="002644D6">
      <w:pPr>
        <w:pStyle w:val="Textodeglobo"/>
        <w:jc w:val="both"/>
        <w:rPr>
          <w:rFonts w:ascii="Times New Roman" w:hAnsi="Times New Roman" w:cs="Times New Roman"/>
          <w:sz w:val="22"/>
          <w:szCs w:val="22"/>
        </w:rPr>
      </w:pPr>
      <w:r w:rsidRPr="00FD293A">
        <w:rPr>
          <w:rFonts w:ascii="Times New Roman" w:hAnsi="Times New Roman" w:cs="Times New Roman"/>
          <w:sz w:val="22"/>
          <w:szCs w:val="22"/>
        </w:rPr>
        <w:t xml:space="preserve">En China, </w:t>
      </w:r>
      <w:r w:rsidR="004B03E0" w:rsidRPr="00FD293A">
        <w:rPr>
          <w:rFonts w:ascii="Times New Roman" w:hAnsi="Times New Roman" w:cs="Times New Roman"/>
          <w:sz w:val="22"/>
          <w:szCs w:val="22"/>
        </w:rPr>
        <w:t>el índice oficial de gerentes de compras del sector manufacturero aumentó ligeramente en enero, pero el indicador se mantuvo en contracción por cuarto mes consecutivo.</w:t>
      </w:r>
      <w:r w:rsidR="00FD293A" w:rsidRPr="00FD293A">
        <w:rPr>
          <w:rFonts w:ascii="Times New Roman" w:hAnsi="Times New Roman" w:cs="Times New Roman"/>
          <w:sz w:val="22"/>
          <w:szCs w:val="22"/>
        </w:rPr>
        <w:t xml:space="preserve"> El índice PMI subió a 49.2 puntos, desde los 49 puntos de diciembre 2023; dicho resultado se atribuyó principalmente al aumento del componente de producción, al componente general de nuevos pedidos y de exportación, aunque permanece el debilitamiento de la demanda y disminución de las exportaciones, según datos de la Oficina Nacional de Estadísticas del país.</w:t>
      </w:r>
    </w:p>
    <w:p w14:paraId="67295344" w14:textId="77777777" w:rsidR="002644D6" w:rsidRPr="002644D6" w:rsidRDefault="002644D6" w:rsidP="002644D6">
      <w:pPr>
        <w:pStyle w:val="Textodeglobo"/>
        <w:jc w:val="both"/>
        <w:rPr>
          <w:rFonts w:ascii="Times New Roman" w:hAnsi="Times New Roman" w:cs="Times New Roman"/>
          <w:color w:val="FF0000"/>
          <w:sz w:val="22"/>
          <w:szCs w:val="22"/>
        </w:rPr>
      </w:pPr>
    </w:p>
    <w:p w14:paraId="376C48D8" w14:textId="103D406E" w:rsidR="002644D6" w:rsidRPr="00FD293A" w:rsidRDefault="004B03E0" w:rsidP="00FD293A">
      <w:pPr>
        <w:pStyle w:val="Textodeglobo"/>
        <w:jc w:val="both"/>
        <w:rPr>
          <w:rFonts w:ascii="Times New Roman" w:hAnsi="Times New Roman" w:cs="Times New Roman"/>
          <w:sz w:val="22"/>
          <w:szCs w:val="22"/>
        </w:rPr>
      </w:pPr>
      <w:r w:rsidRPr="004B03E0">
        <w:rPr>
          <w:rFonts w:ascii="Times New Roman" w:hAnsi="Times New Roman" w:cs="Times New Roman"/>
          <w:sz w:val="22"/>
          <w:szCs w:val="22"/>
        </w:rPr>
        <w:t xml:space="preserve">En </w:t>
      </w:r>
      <w:r w:rsidRPr="00FD293A">
        <w:rPr>
          <w:rFonts w:ascii="Times New Roman" w:hAnsi="Times New Roman" w:cs="Times New Roman"/>
          <w:sz w:val="22"/>
          <w:szCs w:val="22"/>
        </w:rPr>
        <w:t>América La</w:t>
      </w:r>
      <w:r w:rsidRPr="004B03E0">
        <w:rPr>
          <w:rFonts w:ascii="Times New Roman" w:hAnsi="Times New Roman" w:cs="Times New Roman"/>
          <w:sz w:val="22"/>
          <w:szCs w:val="22"/>
        </w:rPr>
        <w:t>tina</w:t>
      </w:r>
      <w:r w:rsidR="002644D6" w:rsidRPr="004B03E0">
        <w:rPr>
          <w:rFonts w:ascii="Times New Roman" w:hAnsi="Times New Roman" w:cs="Times New Roman"/>
          <w:sz w:val="22"/>
          <w:szCs w:val="22"/>
        </w:rPr>
        <w:t xml:space="preserve"> y el Caribe</w:t>
      </w:r>
      <w:r w:rsidR="00FD293A" w:rsidRPr="00FD293A">
        <w:rPr>
          <w:rFonts w:ascii="Times New Roman" w:hAnsi="Times New Roman" w:cs="Times New Roman"/>
          <w:sz w:val="22"/>
          <w:szCs w:val="22"/>
        </w:rPr>
        <w:t xml:space="preserve">, el FMI </w:t>
      </w:r>
      <w:r w:rsidR="00FD293A">
        <w:rPr>
          <w:rFonts w:ascii="Times New Roman" w:hAnsi="Times New Roman" w:cs="Times New Roman"/>
          <w:sz w:val="22"/>
          <w:szCs w:val="22"/>
        </w:rPr>
        <w:t>en su actualización de proyecciones de crecimiento económico estimó que la región se ubicará</w:t>
      </w:r>
      <w:r w:rsidR="00FD293A" w:rsidRPr="00FD293A">
        <w:rPr>
          <w:rFonts w:ascii="Times New Roman" w:hAnsi="Times New Roman" w:cs="Times New Roman"/>
          <w:sz w:val="22"/>
          <w:szCs w:val="22"/>
        </w:rPr>
        <w:t xml:space="preserve"> en 1.9%</w:t>
      </w:r>
      <w:r w:rsidR="00FD293A">
        <w:rPr>
          <w:rFonts w:ascii="Times New Roman" w:hAnsi="Times New Roman" w:cs="Times New Roman"/>
          <w:sz w:val="22"/>
          <w:szCs w:val="22"/>
        </w:rPr>
        <w:t xml:space="preserve"> en 2024</w:t>
      </w:r>
      <w:r w:rsidR="00FD293A" w:rsidRPr="00FD293A">
        <w:rPr>
          <w:rFonts w:ascii="Times New Roman" w:hAnsi="Times New Roman" w:cs="Times New Roman"/>
          <w:sz w:val="22"/>
          <w:szCs w:val="22"/>
        </w:rPr>
        <w:t xml:space="preserve">, una revisión a la baja desde su anterior actualización.  </w:t>
      </w:r>
      <w:r w:rsidR="00FD293A">
        <w:rPr>
          <w:rFonts w:ascii="Times New Roman" w:hAnsi="Times New Roman" w:cs="Times New Roman"/>
          <w:sz w:val="22"/>
          <w:szCs w:val="22"/>
        </w:rPr>
        <w:t xml:space="preserve">Dicho resultado obedece a que </w:t>
      </w:r>
      <w:r w:rsidR="00FD293A" w:rsidRPr="00FD293A">
        <w:rPr>
          <w:rFonts w:ascii="Times New Roman" w:hAnsi="Times New Roman" w:cs="Times New Roman"/>
          <w:sz w:val="22"/>
          <w:szCs w:val="22"/>
        </w:rPr>
        <w:t>e</w:t>
      </w:r>
      <w:r w:rsidR="00FD293A">
        <w:rPr>
          <w:rFonts w:ascii="Times New Roman" w:hAnsi="Times New Roman" w:cs="Times New Roman"/>
          <w:sz w:val="22"/>
          <w:szCs w:val="22"/>
        </w:rPr>
        <w:t>l</w:t>
      </w:r>
      <w:r w:rsidR="00FD293A" w:rsidRPr="00FD293A">
        <w:rPr>
          <w:rFonts w:ascii="Times New Roman" w:hAnsi="Times New Roman" w:cs="Times New Roman"/>
          <w:sz w:val="22"/>
          <w:szCs w:val="22"/>
        </w:rPr>
        <w:t xml:space="preserve"> crecimiento se ha mantenido en constante deterioro, y la última perspectiva considera un crecimiento negativo de Argentina (-1.1%), menor a la previa por 5.6 puntos porcentuales, debido al significativo </w:t>
      </w:r>
      <w:r w:rsidR="00FD293A" w:rsidRPr="00FD293A">
        <w:rPr>
          <w:rFonts w:ascii="Times New Roman" w:hAnsi="Times New Roman" w:cs="Times New Roman"/>
          <w:sz w:val="22"/>
          <w:szCs w:val="22"/>
        </w:rPr>
        <w:t>ajuste de la política económica que busca restablecer la estabilidad macroeconómica. Por su parte, México y Brasil muestran mejoras en su perspectiva, debido a una demanda interna más fuerte de la esperada y una mejora en el crecimiento de sus socios comerciales</w:t>
      </w:r>
      <w:r w:rsidR="00FD293A">
        <w:rPr>
          <w:rFonts w:ascii="Times New Roman" w:hAnsi="Times New Roman" w:cs="Times New Roman"/>
          <w:sz w:val="22"/>
          <w:szCs w:val="22"/>
        </w:rPr>
        <w:t>.</w:t>
      </w:r>
    </w:p>
    <w:p w14:paraId="1467BD78" w14:textId="77777777" w:rsidR="002644D6" w:rsidRPr="00A8479F" w:rsidRDefault="002644D6" w:rsidP="002644D6">
      <w:pPr>
        <w:spacing w:after="0" w:line="240" w:lineRule="auto"/>
        <w:jc w:val="both"/>
        <w:rPr>
          <w:rFonts w:ascii="Times New Roman" w:hAnsi="Times New Roman" w:cs="Times New Roman"/>
          <w:lang w:val="es-MX"/>
        </w:rPr>
      </w:pPr>
    </w:p>
    <w:p w14:paraId="4B0AA64C" w14:textId="738942B2" w:rsidR="00A8479F" w:rsidRPr="00A8479F" w:rsidRDefault="00A8479F" w:rsidP="00A8479F">
      <w:pPr>
        <w:pStyle w:val="Sinespaciado"/>
        <w:jc w:val="both"/>
        <w:rPr>
          <w:rFonts w:ascii="Times New Roman" w:hAnsi="Times New Roman" w:cs="Times New Roman"/>
          <w:lang w:val="es-MX"/>
        </w:rPr>
      </w:pPr>
      <w:r w:rsidRPr="00A8479F">
        <w:rPr>
          <w:rFonts w:ascii="Times New Roman" w:hAnsi="Times New Roman" w:cs="Times New Roman"/>
          <w:lang w:val="es-MX"/>
        </w:rPr>
        <w:t>En el ámbito interno, el nivel del Índice de Confianza de la Actividad Económica se situó en 57.80 puntos, superior en 22.82% al registrado en diciembre de 2023, y superior en 20.09% con relación al registrado en enero del 2023 cuando se ubicó en 48.13 puntos.  Con respecto al comportamiento de los precios de bienes y servicios, se espera un ritmo inflacionario para enero de 4.48%, mientras que, tanto para febrero como para marzo 2024, se situaría en 4.43%; en un horizonte de 12 y 24 meses el ritmo inflacionario podría ubicarse en 4.47% y 4.29% respectivamente.  El PIB real registrará un crecimiento de 3.4% para 2024 y 3.6% para 2025, siendo los factores con mayor incidencia: la evolución del precio de energéticos, la estabilidad en el nivel general</w:t>
      </w:r>
    </w:p>
    <w:p w14:paraId="0DAD79CF" w14:textId="612DF817" w:rsidR="00A8479F" w:rsidRPr="00A8479F" w:rsidRDefault="00A8479F" w:rsidP="00A8479F">
      <w:pPr>
        <w:pStyle w:val="Sinespaciado"/>
        <w:jc w:val="both"/>
        <w:rPr>
          <w:rFonts w:ascii="Times New Roman" w:hAnsi="Times New Roman" w:cs="Times New Roman"/>
          <w:lang w:val="es-MX"/>
        </w:rPr>
      </w:pPr>
      <w:r w:rsidRPr="00A8479F">
        <w:rPr>
          <w:rFonts w:ascii="Times New Roman" w:hAnsi="Times New Roman" w:cs="Times New Roman"/>
          <w:lang w:val="es-MX"/>
        </w:rPr>
        <w:t>de precios, el nivel de las tasas de interés, la estabilidad en el tipo de cambio nominal, la política de inversiones públicas y privadas y el fortalecimiento del mercado interno.</w:t>
      </w:r>
    </w:p>
    <w:p w14:paraId="255617BE" w14:textId="77777777" w:rsidR="002644D6" w:rsidRPr="002644D6" w:rsidRDefault="002644D6" w:rsidP="002644D6">
      <w:pPr>
        <w:pStyle w:val="Sinespaciado"/>
        <w:jc w:val="both"/>
        <w:rPr>
          <w:rFonts w:ascii="Times New Roman" w:hAnsi="Times New Roman" w:cs="Times New Roman"/>
          <w:color w:val="FF0000"/>
          <w:lang w:val="es-MX"/>
        </w:rPr>
      </w:pPr>
    </w:p>
    <w:p w14:paraId="750DB44A" w14:textId="537A39D9" w:rsidR="008D3EDB" w:rsidRPr="00A8479F" w:rsidRDefault="002644D6" w:rsidP="00A8479F">
      <w:pPr>
        <w:spacing w:after="0" w:line="240" w:lineRule="auto"/>
        <w:jc w:val="both"/>
        <w:rPr>
          <w:rFonts w:ascii="Times New Roman" w:hAnsi="Times New Roman" w:cs="Times New Roman"/>
          <w:lang w:val="es-MX"/>
        </w:rPr>
      </w:pPr>
      <w:r w:rsidRPr="00A8479F">
        <w:rPr>
          <w:rFonts w:ascii="Times New Roman" w:hAnsi="Times New Roman" w:cs="Times New Roman"/>
          <w:lang w:val="es-MX"/>
        </w:rPr>
        <w:t xml:space="preserve">La actividad económica medida por la estimación del IMAE en </w:t>
      </w:r>
      <w:r w:rsidR="00A8479F" w:rsidRPr="00A8479F">
        <w:rPr>
          <w:rFonts w:ascii="Times New Roman" w:hAnsi="Times New Roman" w:cs="Times New Roman"/>
          <w:lang w:val="es-MX"/>
        </w:rPr>
        <w:t>diciembre</w:t>
      </w:r>
      <w:r w:rsidRPr="00A8479F">
        <w:rPr>
          <w:rFonts w:ascii="Times New Roman" w:hAnsi="Times New Roman" w:cs="Times New Roman"/>
          <w:lang w:val="es-MX"/>
        </w:rPr>
        <w:t xml:space="preserve"> de 202</w:t>
      </w:r>
      <w:r w:rsidR="00A8479F" w:rsidRPr="00A8479F">
        <w:rPr>
          <w:rFonts w:ascii="Times New Roman" w:hAnsi="Times New Roman" w:cs="Times New Roman"/>
          <w:lang w:val="es-MX"/>
        </w:rPr>
        <w:t>3</w:t>
      </w:r>
      <w:r w:rsidRPr="00A8479F">
        <w:rPr>
          <w:rFonts w:ascii="Times New Roman" w:hAnsi="Times New Roman" w:cs="Times New Roman"/>
          <w:lang w:val="es-MX"/>
        </w:rPr>
        <w:t xml:space="preserve"> registró una tasa de variación de </w:t>
      </w:r>
      <w:r w:rsidR="00A8479F" w:rsidRPr="00A8479F">
        <w:rPr>
          <w:rFonts w:ascii="Times New Roman" w:hAnsi="Times New Roman" w:cs="Times New Roman"/>
          <w:lang w:val="es-MX"/>
        </w:rPr>
        <w:t>2</w:t>
      </w:r>
      <w:r w:rsidRPr="00A8479F">
        <w:rPr>
          <w:rFonts w:ascii="Times New Roman" w:hAnsi="Times New Roman" w:cs="Times New Roman"/>
          <w:lang w:val="es-MX"/>
        </w:rPr>
        <w:t xml:space="preserve">.8%, menor al </w:t>
      </w:r>
      <w:r w:rsidR="00A8479F" w:rsidRPr="00A8479F">
        <w:rPr>
          <w:rFonts w:ascii="Times New Roman" w:hAnsi="Times New Roman" w:cs="Times New Roman"/>
          <w:lang w:val="es-MX"/>
        </w:rPr>
        <w:t>3.4</w:t>
      </w:r>
      <w:r w:rsidRPr="00A8479F">
        <w:rPr>
          <w:rFonts w:ascii="Times New Roman" w:hAnsi="Times New Roman" w:cs="Times New Roman"/>
          <w:lang w:val="es-MX"/>
        </w:rPr>
        <w:t xml:space="preserve">% de </w:t>
      </w:r>
      <w:r w:rsidR="00A8479F" w:rsidRPr="00A8479F">
        <w:rPr>
          <w:rFonts w:ascii="Times New Roman" w:hAnsi="Times New Roman" w:cs="Times New Roman"/>
          <w:lang w:val="es-MX"/>
        </w:rPr>
        <w:t>diciem</w:t>
      </w:r>
      <w:r w:rsidRPr="00A8479F">
        <w:rPr>
          <w:rFonts w:ascii="Times New Roman" w:hAnsi="Times New Roman" w:cs="Times New Roman"/>
          <w:lang w:val="es-MX"/>
        </w:rPr>
        <w:t>bre de 202</w:t>
      </w:r>
      <w:r w:rsidR="00A8479F" w:rsidRPr="00A8479F">
        <w:rPr>
          <w:rFonts w:ascii="Times New Roman" w:hAnsi="Times New Roman" w:cs="Times New Roman"/>
          <w:lang w:val="es-MX"/>
        </w:rPr>
        <w:t>2</w:t>
      </w:r>
      <w:r w:rsidRPr="00A8479F">
        <w:rPr>
          <w:rFonts w:ascii="Times New Roman" w:hAnsi="Times New Roman" w:cs="Times New Roman"/>
          <w:lang w:val="es-MX"/>
        </w:rPr>
        <w:t>, según la publicación de enero 202</w:t>
      </w:r>
      <w:r w:rsidR="00A8479F" w:rsidRPr="00A8479F">
        <w:rPr>
          <w:rFonts w:ascii="Times New Roman" w:hAnsi="Times New Roman" w:cs="Times New Roman"/>
          <w:lang w:val="es-MX"/>
        </w:rPr>
        <w:t>4</w:t>
      </w:r>
      <w:r w:rsidRPr="00A8479F">
        <w:rPr>
          <w:rFonts w:ascii="Times New Roman" w:hAnsi="Times New Roman" w:cs="Times New Roman"/>
          <w:lang w:val="es-MX"/>
        </w:rPr>
        <w:t xml:space="preserve"> del Banco de Guatemala. Dicho resultado estuvo influenciado, principalmente, </w:t>
      </w:r>
      <w:r w:rsidR="00A8479F" w:rsidRPr="00A8479F">
        <w:rPr>
          <w:rFonts w:ascii="Times New Roman" w:hAnsi="Times New Roman" w:cs="Times New Roman"/>
          <w:lang w:val="es-MX"/>
        </w:rPr>
        <w:t>por el crecimiento observado en las actividades relacionadas con: Comercio y reparación de vehículos; Actividades financieras y de seguros; Actividades inmobiliarias; Actividades de alojamiento y de servicio de comidas; Industrias manufactureras; y, Actividades de servicios administrativos y de apoyo.</w:t>
      </w:r>
    </w:p>
    <w:p w14:paraId="29CA7342" w14:textId="77777777" w:rsidR="008D3EDB" w:rsidRPr="00BC3291" w:rsidRDefault="008D3EDB" w:rsidP="008D3EDB">
      <w:pPr>
        <w:spacing w:after="0" w:line="240" w:lineRule="auto"/>
        <w:rPr>
          <w:rFonts w:ascii="Times New Roman" w:hAnsi="Times New Roman" w:cs="Times New Roman"/>
        </w:rPr>
      </w:pPr>
    </w:p>
    <w:p w14:paraId="56B46A4A" w14:textId="77777777" w:rsidR="008D3EDB" w:rsidRPr="00BC3291" w:rsidRDefault="008D3EDB" w:rsidP="008D3EDB">
      <w:pPr>
        <w:spacing w:after="0" w:line="240" w:lineRule="auto"/>
        <w:rPr>
          <w:rFonts w:ascii="Times New Roman" w:hAnsi="Times New Roman" w:cs="Times New Roman"/>
        </w:rPr>
      </w:pPr>
    </w:p>
    <w:p w14:paraId="625E8561" w14:textId="77777777" w:rsidR="008D3EDB" w:rsidRPr="00BC3291" w:rsidRDefault="008D3EDB" w:rsidP="008D3EDB">
      <w:pPr>
        <w:spacing w:after="0" w:line="240" w:lineRule="auto"/>
        <w:rPr>
          <w:rFonts w:ascii="Times New Roman" w:hAnsi="Times New Roman" w:cs="Times New Roman"/>
        </w:rPr>
      </w:pPr>
    </w:p>
    <w:p w14:paraId="5F2FB4AD" w14:textId="77777777" w:rsidR="008D3EDB" w:rsidRDefault="008D3EDB" w:rsidP="008D3EDB">
      <w:pPr>
        <w:sectPr w:rsidR="008D3EDB" w:rsidSect="00BC3291">
          <w:type w:val="continuous"/>
          <w:pgSz w:w="12240" w:h="15840"/>
          <w:pgMar w:top="1417" w:right="1701" w:bottom="1417" w:left="1701" w:header="708" w:footer="708" w:gutter="0"/>
          <w:cols w:num="2" w:space="708"/>
          <w:docGrid w:linePitch="360"/>
        </w:sectPr>
      </w:pPr>
    </w:p>
    <w:p w14:paraId="443333E7" w14:textId="117F5EAF" w:rsidR="008D3EDB" w:rsidRDefault="008D3EDB" w:rsidP="008D3EDB"/>
    <w:p w14:paraId="7B5B03B3" w14:textId="77777777" w:rsidR="008D3EDB" w:rsidRDefault="008D3EDB" w:rsidP="008D3EDB"/>
    <w:p w14:paraId="5EDD6F98" w14:textId="3447EFAE" w:rsidR="008D3EDB" w:rsidRPr="001A220E" w:rsidRDefault="008D3EDB" w:rsidP="001A220E">
      <w:pPr>
        <w:shd w:val="clear" w:color="auto" w:fill="1F3864" w:themeFill="accent1" w:themeFillShade="80"/>
        <w:jc w:val="center"/>
        <w:rPr>
          <w:rFonts w:ascii="Times New Roman" w:hAnsi="Times New Roman" w:cs="Times New Roman"/>
          <w:b/>
          <w:bCs/>
        </w:rPr>
        <w:sectPr w:rsidR="008D3EDB" w:rsidRPr="001A220E" w:rsidSect="00BC3291">
          <w:type w:val="continuous"/>
          <w:pgSz w:w="12240" w:h="15840"/>
          <w:pgMar w:top="1417" w:right="1701" w:bottom="1417" w:left="1701" w:header="708" w:footer="708" w:gutter="0"/>
          <w:cols w:space="708"/>
          <w:docGrid w:linePitch="360"/>
        </w:sectPr>
      </w:pPr>
      <w:r>
        <w:rPr>
          <w:rFonts w:ascii="Times New Roman" w:hAnsi="Times New Roman" w:cs="Times New Roman"/>
          <w:b/>
          <w:bCs/>
        </w:rPr>
        <w:t>Anexo</w:t>
      </w:r>
    </w:p>
    <w:p w14:paraId="4E25F69C" w14:textId="77777777" w:rsidR="001A220E" w:rsidRDefault="001A220E" w:rsidP="008D3EDB"/>
    <w:p w14:paraId="5D46B502" w14:textId="3C85EE5A" w:rsidR="001A220E" w:rsidRDefault="001A220E" w:rsidP="008D3EDB">
      <w:pPr>
        <w:sectPr w:rsidR="001A220E" w:rsidSect="008D3EDB">
          <w:type w:val="continuous"/>
          <w:pgSz w:w="12240" w:h="15840"/>
          <w:pgMar w:top="1417" w:right="1701" w:bottom="1417" w:left="1701" w:header="708" w:footer="708" w:gutter="0"/>
          <w:cols w:space="708"/>
          <w:docGrid w:linePitch="360"/>
        </w:sectPr>
      </w:pPr>
      <w:r w:rsidRPr="001A220E">
        <w:rPr>
          <w:noProof/>
        </w:rPr>
        <w:drawing>
          <wp:inline distT="0" distB="0" distL="0" distR="0" wp14:anchorId="755863F5" wp14:editId="65F4C008">
            <wp:extent cx="5772477" cy="4572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5438" cy="4574345"/>
                    </a:xfrm>
                    <a:prstGeom prst="rect">
                      <a:avLst/>
                    </a:prstGeom>
                    <a:noFill/>
                    <a:ln>
                      <a:noFill/>
                    </a:ln>
                  </pic:spPr>
                </pic:pic>
              </a:graphicData>
            </a:graphic>
          </wp:inline>
        </w:drawing>
      </w:r>
    </w:p>
    <w:p w14:paraId="7B97A48A" w14:textId="77777777" w:rsidR="00BC3291" w:rsidRDefault="00BC3291" w:rsidP="00F94A46"/>
    <w:sectPr w:rsidR="00BC3291" w:rsidSect="00BC329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01D5D" w14:textId="77777777" w:rsidR="00C82DA1" w:rsidRDefault="00C82DA1" w:rsidP="00037122">
      <w:pPr>
        <w:spacing w:after="0" w:line="240" w:lineRule="auto"/>
      </w:pPr>
      <w:r>
        <w:separator/>
      </w:r>
    </w:p>
  </w:endnote>
  <w:endnote w:type="continuationSeparator" w:id="0">
    <w:p w14:paraId="1B562F09" w14:textId="77777777" w:rsidR="00C82DA1" w:rsidRDefault="00C82DA1" w:rsidP="0003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155015"/>
      <w:docPartObj>
        <w:docPartGallery w:val="Page Numbers (Bottom of Page)"/>
        <w:docPartUnique/>
      </w:docPartObj>
    </w:sdtPr>
    <w:sdtEndPr>
      <w:rPr>
        <w:rFonts w:ascii="Times New Roman" w:hAnsi="Times New Roman" w:cs="Times New Roman"/>
        <w:sz w:val="16"/>
        <w:szCs w:val="16"/>
      </w:rPr>
    </w:sdtEndPr>
    <w:sdtContent>
      <w:p w14:paraId="4321852B" w14:textId="005D2EAB" w:rsidR="00FC4C5F" w:rsidRPr="00FC4C5F" w:rsidRDefault="00FC4C5F">
        <w:pPr>
          <w:pStyle w:val="Piedepgina"/>
          <w:jc w:val="right"/>
          <w:rPr>
            <w:rFonts w:ascii="Times New Roman" w:hAnsi="Times New Roman" w:cs="Times New Roman"/>
            <w:sz w:val="16"/>
            <w:szCs w:val="16"/>
          </w:rPr>
        </w:pPr>
        <w:r w:rsidRPr="00FC4C5F">
          <w:rPr>
            <w:rFonts w:ascii="Times New Roman" w:hAnsi="Times New Roman" w:cs="Times New Roman"/>
            <w:sz w:val="16"/>
            <w:szCs w:val="16"/>
          </w:rPr>
          <w:fldChar w:fldCharType="begin"/>
        </w:r>
        <w:r w:rsidRPr="00FC4C5F">
          <w:rPr>
            <w:rFonts w:ascii="Times New Roman" w:hAnsi="Times New Roman" w:cs="Times New Roman"/>
            <w:sz w:val="16"/>
            <w:szCs w:val="16"/>
          </w:rPr>
          <w:instrText>PAGE   \* MERGEFORMAT</w:instrText>
        </w:r>
        <w:r w:rsidRPr="00FC4C5F">
          <w:rPr>
            <w:rFonts w:ascii="Times New Roman" w:hAnsi="Times New Roman" w:cs="Times New Roman"/>
            <w:sz w:val="16"/>
            <w:szCs w:val="16"/>
          </w:rPr>
          <w:fldChar w:fldCharType="separate"/>
        </w:r>
        <w:r w:rsidRPr="00FC4C5F">
          <w:rPr>
            <w:rFonts w:ascii="Times New Roman" w:hAnsi="Times New Roman" w:cs="Times New Roman"/>
            <w:sz w:val="16"/>
            <w:szCs w:val="16"/>
            <w:lang w:val="es-ES"/>
          </w:rPr>
          <w:t>2</w:t>
        </w:r>
        <w:r w:rsidRPr="00FC4C5F">
          <w:rPr>
            <w:rFonts w:ascii="Times New Roman" w:hAnsi="Times New Roman" w:cs="Times New Roman"/>
            <w:sz w:val="16"/>
            <w:szCs w:val="16"/>
          </w:rPr>
          <w:fldChar w:fldCharType="end"/>
        </w:r>
      </w:p>
    </w:sdtContent>
  </w:sdt>
  <w:p w14:paraId="519CB44F" w14:textId="77777777" w:rsidR="00FC4C5F" w:rsidRDefault="00FC4C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492F5" w14:textId="77777777" w:rsidR="00C82DA1" w:rsidRDefault="00C82DA1" w:rsidP="00037122">
      <w:pPr>
        <w:spacing w:after="0" w:line="240" w:lineRule="auto"/>
      </w:pPr>
      <w:r>
        <w:separator/>
      </w:r>
    </w:p>
  </w:footnote>
  <w:footnote w:type="continuationSeparator" w:id="0">
    <w:p w14:paraId="3E4FE4FC" w14:textId="77777777" w:rsidR="00C82DA1" w:rsidRDefault="00C82DA1" w:rsidP="00037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1801" w14:textId="470E162A" w:rsidR="00037122" w:rsidRPr="0050080E" w:rsidRDefault="00FC4C5F" w:rsidP="0050080E">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rPr>
      <mc:AlternateContent>
        <mc:Choice Requires="wpg">
          <w:drawing>
            <wp:anchor distT="0" distB="0" distL="114300" distR="114300" simplePos="0" relativeHeight="251659264" behindDoc="0" locked="0" layoutInCell="1" allowOverlap="1" wp14:anchorId="1A2F76A1" wp14:editId="31640EE9">
              <wp:simplePos x="0" y="0"/>
              <wp:positionH relativeFrom="column">
                <wp:posOffset>-459033</wp:posOffset>
              </wp:positionH>
              <wp:positionV relativeFrom="paragraph">
                <wp:posOffset>-320184</wp:posOffset>
              </wp:positionV>
              <wp:extent cx="4126182" cy="778462"/>
              <wp:effectExtent l="0" t="0" r="0" b="3175"/>
              <wp:wrapNone/>
              <wp:docPr id="9" name="Grupo 9"/>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990"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984" name="Cuadro de texto 2"/>
                      <wps:cNvSpPr txBox="1"/>
                      <wps:spPr>
                        <a:xfrm>
                          <a:off x="534009" y="416967"/>
                          <a:ext cx="3549650" cy="219075"/>
                        </a:xfrm>
                        <a:prstGeom prst="rect">
                          <a:avLst/>
                        </a:prstGeom>
                        <a:noFill/>
                        <a:ln w="6350">
                          <a:noFill/>
                        </a:ln>
                      </wps:spPr>
                      <wps:txb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F76A1" id="Grupo 9" o:spid="_x0000_s1029" style="position:absolute;left:0;text-align:left;margin-left:-36.15pt;margin-top:-25.2pt;width:324.9pt;height:61.3pt;z-index:251659264;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MU3D9wAwAA9wcAAA4AAAAAAAAAAAAAAAAAPQIAAGRycy9lMm9E&#10;b2MueG1sUEsBAi0ACgAAAAAAAAAhANV2Qr5O0AMATtADABQAAAAAAAAAAAAAAAAA2QUAAGRycy9t&#10;ZWRpYS9pbWFnZTEuanBnUEsBAi0AFAAGAAgAAAAhABXVNq7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0050080E" w:rsidRPr="00FC4C5F">
      <w:rPr>
        <w:rFonts w:ascii="Times New Roman" w:hAnsi="Times New Roman" w:cs="Times New Roman"/>
        <w:b/>
        <w:bCs/>
        <w:noProof/>
        <w:color w:val="323E4F" w:themeColor="text2" w:themeShade="BF"/>
        <w:sz w:val="10"/>
        <w:szCs w:val="10"/>
      </w:rPr>
      <mc:AlternateContent>
        <mc:Choice Requires="wps">
          <w:drawing>
            <wp:anchor distT="0" distB="0" distL="114300" distR="114300" simplePos="0" relativeHeight="251660288" behindDoc="0" locked="0" layoutInCell="1" allowOverlap="1" wp14:anchorId="340B03EA" wp14:editId="5284B8E5">
              <wp:simplePos x="0" y="0"/>
              <wp:positionH relativeFrom="column">
                <wp:posOffset>2010781</wp:posOffset>
              </wp:positionH>
              <wp:positionV relativeFrom="paragraph">
                <wp:posOffset>245110</wp:posOffset>
              </wp:positionV>
              <wp:extent cx="3757271" cy="45719"/>
              <wp:effectExtent l="0" t="0" r="0" b="0"/>
              <wp:wrapNone/>
              <wp:docPr id="7" name="Rectángulo 7"/>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B2AA5" id="Rectángulo 7" o:spid="_x0000_s1026" style="position:absolute;margin-left:158.35pt;margin-top:19.3pt;width:295.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" fillcolor="white [3212]" stroked="f" strokeweight="1pt">
              <v:fill color2="#b4c6e7 [1300]" rotate="t" angle="45" colors="0 white;15729f white;41288f #deebf7;1 #b4c7e7" focus="100%" type="gradient"/>
            </v:rect>
          </w:pict>
        </mc:Fallback>
      </mc:AlternateContent>
    </w:r>
    <w:r w:rsidR="0050080E" w:rsidRPr="00FC4C5F">
      <w:rPr>
        <w:rFonts w:ascii="Times New Roman" w:hAnsi="Times New Roman" w:cs="Times New Roman"/>
        <w:color w:val="323E4F" w:themeColor="text2" w:themeShade="BF"/>
        <w:sz w:val="18"/>
        <w:szCs w:val="18"/>
      </w:rPr>
      <w:t>Informe de las Finanzas Públicas, enero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91"/>
    <w:rsid w:val="00013F3D"/>
    <w:rsid w:val="00037122"/>
    <w:rsid w:val="00047CD6"/>
    <w:rsid w:val="000625AF"/>
    <w:rsid w:val="001700BD"/>
    <w:rsid w:val="001A220E"/>
    <w:rsid w:val="001C3C30"/>
    <w:rsid w:val="00210517"/>
    <w:rsid w:val="00216A03"/>
    <w:rsid w:val="00257B7F"/>
    <w:rsid w:val="002644D6"/>
    <w:rsid w:val="00293607"/>
    <w:rsid w:val="002D75EC"/>
    <w:rsid w:val="002E1243"/>
    <w:rsid w:val="0032512F"/>
    <w:rsid w:val="003305DF"/>
    <w:rsid w:val="003B2BB6"/>
    <w:rsid w:val="003F69C4"/>
    <w:rsid w:val="004061F6"/>
    <w:rsid w:val="00437D33"/>
    <w:rsid w:val="004602B4"/>
    <w:rsid w:val="004B03E0"/>
    <w:rsid w:val="0050080E"/>
    <w:rsid w:val="00503F0F"/>
    <w:rsid w:val="00516077"/>
    <w:rsid w:val="00587CDB"/>
    <w:rsid w:val="005A1A16"/>
    <w:rsid w:val="005D3D87"/>
    <w:rsid w:val="0061070A"/>
    <w:rsid w:val="0063619A"/>
    <w:rsid w:val="00685CC7"/>
    <w:rsid w:val="006D2C4A"/>
    <w:rsid w:val="007071F4"/>
    <w:rsid w:val="00720186"/>
    <w:rsid w:val="007D6005"/>
    <w:rsid w:val="008A761C"/>
    <w:rsid w:val="008D3EDB"/>
    <w:rsid w:val="008F7626"/>
    <w:rsid w:val="0090687F"/>
    <w:rsid w:val="00A13C5D"/>
    <w:rsid w:val="00A440F8"/>
    <w:rsid w:val="00A7169E"/>
    <w:rsid w:val="00A73705"/>
    <w:rsid w:val="00A8479F"/>
    <w:rsid w:val="00AC0C20"/>
    <w:rsid w:val="00B851CF"/>
    <w:rsid w:val="00B93E46"/>
    <w:rsid w:val="00BC3291"/>
    <w:rsid w:val="00C106D4"/>
    <w:rsid w:val="00C82DA1"/>
    <w:rsid w:val="00C87041"/>
    <w:rsid w:val="00CF3883"/>
    <w:rsid w:val="00D62D8F"/>
    <w:rsid w:val="00D66831"/>
    <w:rsid w:val="00D956F7"/>
    <w:rsid w:val="00DB21FA"/>
    <w:rsid w:val="00DB4E66"/>
    <w:rsid w:val="00E05A7F"/>
    <w:rsid w:val="00ED77CA"/>
    <w:rsid w:val="00F94A46"/>
    <w:rsid w:val="00F94D30"/>
    <w:rsid w:val="00F97428"/>
    <w:rsid w:val="00FA23AA"/>
    <w:rsid w:val="00FC4C5F"/>
    <w:rsid w:val="00FD293A"/>
    <w:rsid w:val="00FE24B1"/>
    <w:rsid w:val="00FE4A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0A90"/>
  <w15:chartTrackingRefBased/>
  <w15:docId w15:val="{D5C1E18A-33B2-462F-A368-535740C4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122"/>
  </w:style>
  <w:style w:type="paragraph" w:styleId="Piedepgina">
    <w:name w:val="footer"/>
    <w:basedOn w:val="Normal"/>
    <w:link w:val="PiedepginaCar"/>
    <w:uiPriority w:val="99"/>
    <w:unhideWhenUsed/>
    <w:rsid w:val="00037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122"/>
  </w:style>
  <w:style w:type="paragraph" w:styleId="Sinespaciado">
    <w:name w:val="No Spacing"/>
    <w:link w:val="SinespaciadoCar"/>
    <w:uiPriority w:val="1"/>
    <w:qFormat/>
    <w:rsid w:val="0003712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037122"/>
    <w:rPr>
      <w:rFonts w:eastAsiaTheme="minorEastAsia"/>
      <w:lang w:eastAsia="es-GT"/>
    </w:rPr>
  </w:style>
  <w:style w:type="paragraph" w:styleId="Textodeglobo">
    <w:name w:val="Balloon Text"/>
    <w:basedOn w:val="Normal"/>
    <w:link w:val="TextodegloboCar"/>
    <w:uiPriority w:val="99"/>
    <w:unhideWhenUsed/>
    <w:rsid w:val="00264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644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chart" Target="charts/chart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23673082531334E-2"/>
          <c:y val="3.0727842645941229E-2"/>
          <c:w val="0.91167632691746869"/>
          <c:h val="0.8779267762667502"/>
        </c:manualLayout>
      </c:layout>
      <c:barChart>
        <c:barDir val="col"/>
        <c:grouping val="clustered"/>
        <c:varyColors val="0"/>
        <c:ser>
          <c:idx val="0"/>
          <c:order val="0"/>
          <c:tx>
            <c:strRef>
              <c:f>Hoja1!$B$1</c:f>
              <c:strCache>
                <c:ptCount val="1"/>
                <c:pt idx="0">
                  <c:v>Serie 1</c:v>
                </c:pt>
              </c:strCache>
            </c:strRef>
          </c:tx>
          <c:spPr>
            <a:solidFill>
              <a:schemeClr val="accent5">
                <a:lumMod val="50000"/>
              </a:schemeClr>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2021</c:v>
                </c:pt>
                <c:pt idx="1">
                  <c:v>2022</c:v>
                </c:pt>
                <c:pt idx="2">
                  <c:v>2023</c:v>
                </c:pt>
                <c:pt idx="3">
                  <c:v>2024</c:v>
                </c:pt>
              </c:numCache>
            </c:numRef>
          </c:cat>
          <c:val>
            <c:numRef>
              <c:f>Hoja1!$B$2:$B$5</c:f>
              <c:numCache>
                <c:formatCode>#,##0.0</c:formatCode>
                <c:ptCount val="4"/>
                <c:pt idx="0">
                  <c:v>1543.2</c:v>
                </c:pt>
                <c:pt idx="1">
                  <c:v>1916.2</c:v>
                </c:pt>
                <c:pt idx="2">
                  <c:v>2135.5</c:v>
                </c:pt>
                <c:pt idx="3">
                  <c:v>2163.1769126400031</c:v>
                </c:pt>
              </c:numCache>
            </c:numRef>
          </c:val>
          <c:extLst>
            <c:ext xmlns:c16="http://schemas.microsoft.com/office/drawing/2014/chart" uri="{C3380CC4-5D6E-409C-BE32-E72D297353CC}">
              <c16:uniqueId val="{00000000-4F9B-4152-A55E-F97E8CB441C8}"/>
            </c:ext>
          </c:extLst>
        </c:ser>
        <c:dLbls>
          <c:showLegendKey val="0"/>
          <c:showVal val="0"/>
          <c:showCatName val="0"/>
          <c:showSerName val="0"/>
          <c:showPercent val="0"/>
          <c:showBubbleSize val="0"/>
        </c:dLbls>
        <c:gapWidth val="93"/>
        <c:overlap val="-27"/>
        <c:axId val="1410490943"/>
        <c:axId val="1410498431"/>
      </c:barChart>
      <c:catAx>
        <c:axId val="141049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10498431"/>
        <c:crosses val="autoZero"/>
        <c:auto val="1"/>
        <c:lblAlgn val="ctr"/>
        <c:lblOffset val="100"/>
        <c:noMultiLvlLbl val="0"/>
      </c:catAx>
      <c:valAx>
        <c:axId val="141049843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10490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23924223494218E-2"/>
          <c:y val="2.5326455355719334E-2"/>
          <c:w val="0.75287251455191728"/>
          <c:h val="0.94934708928856137"/>
        </c:manualLayout>
      </c:layout>
      <c:radarChart>
        <c:radarStyle val="marker"/>
        <c:varyColors val="0"/>
        <c:ser>
          <c:idx val="0"/>
          <c:order val="0"/>
          <c:tx>
            <c:strRef>
              <c:f>Hoja1!$F$11</c:f>
              <c:strCache>
                <c:ptCount val="1"/>
                <c:pt idx="0">
                  <c:v>2024-Presupuesto</c:v>
                </c:pt>
              </c:strCache>
            </c:strRef>
          </c:tx>
          <c:spPr>
            <a:ln w="28575" cap="rnd">
              <a:solidFill>
                <a:schemeClr val="accent1"/>
              </a:solidFill>
              <a:round/>
            </a:ln>
            <a:effectLst/>
          </c:spPr>
          <c:marker>
            <c:symbol val="none"/>
          </c:marker>
          <c:dLbls>
            <c:dLbl>
              <c:idx val="0"/>
              <c:layout>
                <c:manualLayout>
                  <c:x val="0.17292965685562367"/>
                  <c:y val="-4.6547210664636879E-2"/>
                </c:manualLayout>
              </c:layout>
              <c:tx>
                <c:rich>
                  <a:bodyPr/>
                  <a:lstStyle/>
                  <a:p>
                    <a:fld id="{48EDBB0A-22B2-4BD5-9E3A-02B3C08A4D66}" type="CATEGORYNAME">
                      <a:rPr lang="en-US"/>
                      <a:pPr/>
                      <a:t>[NOMBRE DE CATEGORÍA]</a:t>
                    </a:fld>
                    <a:r>
                      <a:rPr lang="en-US" baseline="0"/>
                      <a:t>; 250.5</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4B3-48AA-B40B-CC0811E5B727}"/>
                </c:ext>
              </c:extLst>
            </c:dLbl>
            <c:dLbl>
              <c:idx val="1"/>
              <c:layout>
                <c:manualLayout>
                  <c:x val="8.2697891545844587E-2"/>
                  <c:y val="-3.1832933032293238E-2"/>
                </c:manualLayout>
              </c:layout>
              <c:tx>
                <c:rich>
                  <a:bodyPr/>
                  <a:lstStyle/>
                  <a:p>
                    <a:fld id="{145AAB39-5E82-4018-8427-11748E4B7D82}" type="CATEGORYNAME">
                      <a:rPr lang="en-US"/>
                      <a:pPr/>
                      <a:t>[NOMBRE DE CATEGORÍA]</a:t>
                    </a:fld>
                    <a:r>
                      <a:rPr lang="en-US" baseline="0"/>
                      <a:t>; 398.7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B3-48AA-B40B-CC0811E5B727}"/>
                </c:ext>
              </c:extLst>
            </c:dLbl>
            <c:dLbl>
              <c:idx val="2"/>
              <c:layout>
                <c:manualLayout>
                  <c:x val="0.1152318137354602"/>
                  <c:y val="-3.7862649598584749E-2"/>
                </c:manualLayout>
              </c:layout>
              <c:tx>
                <c:rich>
                  <a:bodyPr/>
                  <a:lstStyle/>
                  <a:p>
                    <a:fld id="{BD2F8C94-4422-4266-98B8-8503E94AEC8C}" type="CATEGORYNAME">
                      <a:rPr lang="en-US"/>
                      <a:pPr/>
                      <a:t>[NOMBRE DE CATEGORÍA]</a:t>
                    </a:fld>
                    <a:r>
                      <a:rPr lang="en-US" baseline="0"/>
                      <a:t>; 268.0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4B3-48AA-B40B-CC0811E5B727}"/>
                </c:ext>
              </c:extLst>
            </c:dLbl>
            <c:dLbl>
              <c:idx val="3"/>
              <c:layout>
                <c:manualLayout>
                  <c:x val="-0.12688613185344452"/>
                  <c:y val="8.193347973893858E-2"/>
                </c:manualLayout>
              </c:layout>
              <c:tx>
                <c:rich>
                  <a:bodyPr/>
                  <a:lstStyle/>
                  <a:p>
                    <a:fld id="{A9AA494D-C96D-4FA1-866E-7FA90C3E1D06}" type="CATEGORYNAME">
                      <a:rPr lang="en-US"/>
                      <a:pPr/>
                      <a:t>[NOMBRE DE CATEGORÍA]</a:t>
                    </a:fld>
                    <a:r>
                      <a:rPr lang="en-US" baseline="0"/>
                      <a:t>;   -2.2</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B3-48AA-B40B-CC0811E5B727}"/>
                </c:ext>
              </c:extLst>
            </c:dLbl>
            <c:dLbl>
              <c:idx val="4"/>
              <c:layout>
                <c:manualLayout>
                  <c:x val="-0.12681446184540585"/>
                  <c:y val="8.821417734278969E-2"/>
                </c:manualLayout>
              </c:layout>
              <c:tx>
                <c:rich>
                  <a:bodyPr/>
                  <a:lstStyle/>
                  <a:p>
                    <a:fld id="{C1F3E219-930B-4353-8449-51726EFF695E}" type="CATEGORYNAME">
                      <a:rPr lang="en-US"/>
                      <a:pPr/>
                      <a:t>[NOMBRE DE CATEGORÍA]</a:t>
                    </a:fld>
                    <a:r>
                      <a:rPr lang="en-US" baseline="0"/>
                      <a:t>; 159.4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4B3-48AA-B40B-CC0811E5B727}"/>
                </c:ext>
              </c:extLst>
            </c:dLbl>
            <c:dLbl>
              <c:idx val="5"/>
              <c:layout>
                <c:manualLayout>
                  <c:x val="-2.3580594861066721E-2"/>
                  <c:y val="-0.12485483729948518"/>
                </c:manualLayout>
              </c:layout>
              <c:tx>
                <c:rich>
                  <a:bodyPr/>
                  <a:lstStyle/>
                  <a:p>
                    <a:fld id="{2314F033-F4F4-4B48-B55D-002F1FCB3C46}" type="CATEGORYNAME">
                      <a:rPr lang="en-US"/>
                      <a:pPr/>
                      <a:t>[NOMBRE DE CATEGORÍA]</a:t>
                    </a:fld>
                    <a:r>
                      <a:rPr lang="en-US" baseline="0"/>
                      <a:t>; 458.3</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B3-48AA-B40B-CC0811E5B72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strRef>
              <c:f>Hoja1!$C$24:$C$29</c:f>
              <c:strCache>
                <c:ptCount val="6"/>
                <c:pt idx="0">
                  <c:v>ISR</c:v>
                </c:pt>
                <c:pt idx="1">
                  <c:v>IVA Dom.</c:v>
                </c:pt>
                <c:pt idx="2">
                  <c:v>IVA Imp.</c:v>
                </c:pt>
                <c:pt idx="3">
                  <c:v>Petróleo</c:v>
                </c:pt>
                <c:pt idx="4">
                  <c:v>Los demás</c:v>
                </c:pt>
                <c:pt idx="5">
                  <c:v>ISO</c:v>
                </c:pt>
              </c:strCache>
            </c:strRef>
          </c:cat>
          <c:val>
            <c:numRef>
              <c:f>Hoja1!$D$24:$D$29</c:f>
              <c:numCache>
                <c:formatCode>#,##0.0</c:formatCode>
                <c:ptCount val="6"/>
                <c:pt idx="0">
                  <c:v>248.39999999999986</c:v>
                </c:pt>
                <c:pt idx="1">
                  <c:v>401.20000000000005</c:v>
                </c:pt>
                <c:pt idx="2">
                  <c:v>267.90000000000009</c:v>
                </c:pt>
                <c:pt idx="3">
                  <c:v>-2.1999999999999886</c:v>
                </c:pt>
                <c:pt idx="4">
                  <c:v>157.59999999999991</c:v>
                </c:pt>
                <c:pt idx="5">
                  <c:v>459.40000000000009</c:v>
                </c:pt>
              </c:numCache>
            </c:numRef>
          </c:val>
          <c:extLst>
            <c:ext xmlns:c16="http://schemas.microsoft.com/office/drawing/2014/chart" uri="{C3380CC4-5D6E-409C-BE32-E72D297353CC}">
              <c16:uniqueId val="{00000006-14B3-48AA-B40B-CC0811E5B727}"/>
            </c:ext>
          </c:extLst>
        </c:ser>
        <c:ser>
          <c:idx val="1"/>
          <c:order val="1"/>
          <c:tx>
            <c:strRef>
              <c:f>Hoja1!$I$11</c:f>
              <c:strCache>
                <c:ptCount val="1"/>
                <c:pt idx="0">
                  <c:v>2024-2023</c:v>
                </c:pt>
              </c:strCache>
            </c:strRef>
          </c:tx>
          <c:spPr>
            <a:ln w="28575" cap="rnd">
              <a:solidFill>
                <a:srgbClr val="FF0000"/>
              </a:solidFill>
              <a:round/>
            </a:ln>
            <a:effectLst/>
          </c:spPr>
          <c:marker>
            <c:symbol val="none"/>
          </c:marker>
          <c:dLbls>
            <c:dLbl>
              <c:idx val="0"/>
              <c:layout>
                <c:manualLayout>
                  <c:x val="0.16372490339076609"/>
                  <c:y val="-0.2001506914836168"/>
                </c:manualLayout>
              </c:layout>
              <c:tx>
                <c:rich>
                  <a:bodyPr/>
                  <a:lstStyle/>
                  <a:p>
                    <a:fld id="{55814987-1AB3-4002-B79B-6611F36EAF38}" type="CATEGORYNAME">
                      <a:rPr lang="en-US"/>
                      <a:pPr/>
                      <a:t>[NOMBRE DE CATEGORÍA]</a:t>
                    </a:fld>
                    <a:r>
                      <a:rPr lang="en-US" baseline="0"/>
                      <a:t>; -103.8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4B3-48AA-B40B-CC0811E5B727}"/>
                </c:ext>
              </c:extLst>
            </c:dLbl>
            <c:dLbl>
              <c:idx val="1"/>
              <c:layout>
                <c:manualLayout>
                  <c:x val="0.14531578386649999"/>
                  <c:y val="3.7037189423823592E-2"/>
                </c:manualLayout>
              </c:layout>
              <c:tx>
                <c:rich>
                  <a:bodyPr/>
                  <a:lstStyle/>
                  <a:p>
                    <a:fld id="{D6E272DF-D6A2-4DE6-A9BF-52F9F7AFD63A}" type="CATEGORYNAME">
                      <a:rPr lang="en-US"/>
                      <a:pPr/>
                      <a:t>[NOMBRE DE CATEGORÍA]</a:t>
                    </a:fld>
                    <a:r>
                      <a:rPr lang="en-US" baseline="0"/>
                      <a:t>; 251.4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4B3-48AA-B40B-CC0811E5B727}"/>
                </c:ext>
              </c:extLst>
            </c:dLbl>
            <c:dLbl>
              <c:idx val="2"/>
              <c:layout>
                <c:manualLayout>
                  <c:x val="0.16094720632245674"/>
                  <c:y val="-0.1149153710456343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B3-48AA-B40B-CC0811E5B727}"/>
                </c:ext>
              </c:extLst>
            </c:dLbl>
            <c:dLbl>
              <c:idx val="3"/>
              <c:layout>
                <c:manualLayout>
                  <c:x val="-0.14633039873705828"/>
                  <c:y val="0.188665737488235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B3-48AA-B40B-CC0811E5B727}"/>
                </c:ext>
              </c:extLst>
            </c:dLbl>
            <c:dLbl>
              <c:idx val="4"/>
              <c:layout>
                <c:manualLayout>
                  <c:x val="-0.1669740728903352"/>
                  <c:y val="6.5316786414108428E-3"/>
                </c:manualLayout>
              </c:layout>
              <c:tx>
                <c:rich>
                  <a:bodyPr/>
                  <a:lstStyle/>
                  <a:p>
                    <a:fld id="{C349F12A-CE29-47F6-B922-064220866C86}" type="CATEGORYNAME">
                      <a:rPr lang="en-US"/>
                      <a:pPr/>
                      <a:t>[NOMBRE DE CATEGORÍA]</a:t>
                    </a:fld>
                    <a:r>
                      <a:rPr lang="en-US" baseline="0"/>
                      <a:t>; 67.7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4B3-48AA-B40B-CC0811E5B727}"/>
                </c:ext>
              </c:extLst>
            </c:dLbl>
            <c:dLbl>
              <c:idx val="5"/>
              <c:layout>
                <c:manualLayout>
                  <c:x val="-0.12714220685513941"/>
                  <c:y val="-0.10525980137525265"/>
                </c:manualLayout>
              </c:layout>
              <c:tx>
                <c:rich>
                  <a:bodyPr/>
                  <a:lstStyle/>
                  <a:p>
                    <a:fld id="{4402EC15-7F03-4A06-9AE8-0322C7473DD4}" type="CATEGORYNAME">
                      <a:rPr lang="en-US"/>
                      <a:pPr/>
                      <a:t>[NOMBRE DE CATEGORÍA]</a:t>
                    </a:fld>
                    <a:r>
                      <a:rPr lang="en-US" baseline="0"/>
                      <a:t>;  246.8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4B3-48AA-B40B-CC0811E5B72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strRef>
              <c:f>Hoja1!$C$24:$C$29</c:f>
              <c:strCache>
                <c:ptCount val="6"/>
                <c:pt idx="0">
                  <c:v>ISR</c:v>
                </c:pt>
                <c:pt idx="1">
                  <c:v>IVA Dom.</c:v>
                </c:pt>
                <c:pt idx="2">
                  <c:v>IVA Imp.</c:v>
                </c:pt>
                <c:pt idx="3">
                  <c:v>Petróleo</c:v>
                </c:pt>
                <c:pt idx="4">
                  <c:v>Los demás</c:v>
                </c:pt>
                <c:pt idx="5">
                  <c:v>ISO</c:v>
                </c:pt>
              </c:strCache>
            </c:strRef>
          </c:cat>
          <c:val>
            <c:numRef>
              <c:f>Hoja1!$E$24:$E$29</c:f>
              <c:numCache>
                <c:formatCode>#,##0.0</c:formatCode>
                <c:ptCount val="6"/>
                <c:pt idx="0">
                  <c:v>-106</c:v>
                </c:pt>
                <c:pt idx="1">
                  <c:v>253.79999999999995</c:v>
                </c:pt>
                <c:pt idx="2">
                  <c:v>164.40000000000009</c:v>
                </c:pt>
                <c:pt idx="3">
                  <c:v>2.3999999999999773</c:v>
                </c:pt>
                <c:pt idx="4">
                  <c:v>65.899999999999636</c:v>
                </c:pt>
                <c:pt idx="5">
                  <c:v>247.90000000000009</c:v>
                </c:pt>
              </c:numCache>
            </c:numRef>
          </c:val>
          <c:extLst>
            <c:ext xmlns:c16="http://schemas.microsoft.com/office/drawing/2014/chart" uri="{C3380CC4-5D6E-409C-BE32-E72D297353CC}">
              <c16:uniqueId val="{0000000D-14B3-48AA-B40B-CC0811E5B727}"/>
            </c:ext>
          </c:extLst>
        </c:ser>
        <c:dLbls>
          <c:showLegendKey val="0"/>
          <c:showVal val="0"/>
          <c:showCatName val="0"/>
          <c:showSerName val="0"/>
          <c:showPercent val="0"/>
          <c:showBubbleSize val="0"/>
        </c:dLbls>
        <c:axId val="841656720"/>
        <c:axId val="841645904"/>
      </c:radarChart>
      <c:catAx>
        <c:axId val="841656720"/>
        <c:scaling>
          <c:orientation val="minMax"/>
        </c:scaling>
        <c:delete val="1"/>
        <c:axPos val="b"/>
        <c:numFmt formatCode="General" sourceLinked="1"/>
        <c:majorTickMark val="none"/>
        <c:minorTickMark val="none"/>
        <c:tickLblPos val="nextTo"/>
        <c:crossAx val="841645904"/>
        <c:crosses val="autoZero"/>
        <c:auto val="1"/>
        <c:lblAlgn val="ctr"/>
        <c:lblOffset val="100"/>
        <c:noMultiLvlLbl val="0"/>
      </c:catAx>
      <c:valAx>
        <c:axId val="841645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41656720"/>
        <c:crosses val="autoZero"/>
        <c:crossBetween val="between"/>
      </c:valAx>
      <c:spPr>
        <a:noFill/>
        <a:ln>
          <a:noFill/>
        </a:ln>
        <a:effectLst/>
      </c:spPr>
    </c:plotArea>
    <c:legend>
      <c:legendPos val="t"/>
      <c:layout>
        <c:manualLayout>
          <c:xMode val="edge"/>
          <c:yMode val="edge"/>
          <c:x val="0.5686906664342235"/>
          <c:y val="0.83003619012568075"/>
          <c:w val="0.42467307822684525"/>
          <c:h val="0.151926212175507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895048353855109E-2"/>
          <c:y val="0.19141778875273724"/>
          <c:w val="0.93010962934677544"/>
          <c:h val="0.8085821314732722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A65-4C49-98A6-1C5C451C0E1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A65-4C49-98A6-1C5C451C0E1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A65-4C49-98A6-1C5C451C0E1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A65-4C49-98A6-1C5C451C0E1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A65-4C49-98A6-1C5C451C0E1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A65-4C49-98A6-1C5C451C0E1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A65-4C49-98A6-1C5C451C0E1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A65-4C49-98A6-1C5C451C0E16}"/>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CA65-4C49-98A6-1C5C451C0E16}"/>
              </c:ext>
            </c:extLst>
          </c:dPt>
          <c:dLbls>
            <c:dLbl>
              <c:idx val="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1894218942189422"/>
                      <c:h val="0.14350143501435014"/>
                    </c:manualLayout>
                  </c15:layout>
                </c:ext>
                <c:ext xmlns:c16="http://schemas.microsoft.com/office/drawing/2014/chart" uri="{C3380CC4-5D6E-409C-BE32-E72D297353CC}">
                  <c16:uniqueId val="{00000001-CA65-4C49-98A6-1C5C451C0E16}"/>
                </c:ext>
              </c:extLst>
            </c:dLbl>
            <c:dLbl>
              <c:idx val="1"/>
              <c:layout>
                <c:manualLayout>
                  <c:x val="-0.17544207168951259"/>
                  <c:y val="-0.1971970686705336"/>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65-4C49-98A6-1C5C451C0E16}"/>
                </c:ext>
              </c:extLst>
            </c:dLbl>
            <c:dLbl>
              <c:idx val="2"/>
              <c:tx>
                <c:rich>
                  <a:bodyPr/>
                  <a:lstStyle/>
                  <a:p>
                    <a:fld id="{FE9A96E3-9675-448B-A40C-B7CF52889E6A}" type="CATEGORYNAME">
                      <a:rPr lang="en-US"/>
                      <a:pPr/>
                      <a:t>[NOMBRE DE CATEGORÍA]</a:t>
                    </a:fld>
                    <a:r>
                      <a:rPr lang="en-US" baseline="0"/>
                      <a:t>; 23.6%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A65-4C49-98A6-1C5C451C0E16}"/>
                </c:ext>
              </c:extLst>
            </c:dLbl>
            <c:dLbl>
              <c:idx val="4"/>
              <c:layout>
                <c:manualLayout>
                  <c:x val="-0.11434420989647348"/>
                  <c:y val="8.17106483784920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65-4C49-98A6-1C5C451C0E16}"/>
                </c:ext>
              </c:extLst>
            </c:dLbl>
            <c:dLbl>
              <c:idx val="5"/>
              <c:layout>
                <c:manualLayout>
                  <c:x val="6.2530151905941397E-2"/>
                  <c:y val="-9.00905527860790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65-4C49-98A6-1C5C451C0E16}"/>
                </c:ext>
              </c:extLst>
            </c:dLbl>
            <c:dLbl>
              <c:idx val="6"/>
              <c:layout>
                <c:manualLayout>
                  <c:x val="-0.19247340239646923"/>
                  <c:y val="-5.46090116232413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A65-4C49-98A6-1C5C451C0E16}"/>
                </c:ext>
              </c:extLst>
            </c:dLbl>
            <c:dLbl>
              <c:idx val="7"/>
              <c:layout>
                <c:manualLayout>
                  <c:x val="0.21647627993242563"/>
                  <c:y val="-0.1153124408164837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A65-4C49-98A6-1C5C451C0E16}"/>
                </c:ext>
              </c:extLst>
            </c:dLbl>
            <c:dLbl>
              <c:idx val="8"/>
              <c:layout>
                <c:manualLayout>
                  <c:x val="0.37004225954760633"/>
                  <c:y val="-1.3795095833159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A65-4C49-98A6-1C5C451C0E16}"/>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Hoja1!$C$44:$C$52</c:f>
              <c:strCache>
                <c:ptCount val="9"/>
                <c:pt idx="0">
                  <c:v>Sobre la Renta</c:v>
                </c:pt>
                <c:pt idx="1">
                  <c:v>Impuesto de Solidaridad</c:v>
                </c:pt>
                <c:pt idx="2">
                  <c:v>IVA Doméstico</c:v>
                </c:pt>
                <c:pt idx="3">
                  <c:v>IVA Importaciones</c:v>
                </c:pt>
                <c:pt idx="4">
                  <c:v>Derechos Arancelarios</c:v>
                </c:pt>
                <c:pt idx="5">
                  <c:v>Derivados del Petróleo</c:v>
                </c:pt>
                <c:pt idx="6">
                  <c:v>IPRIMA</c:v>
                </c:pt>
                <c:pt idx="7">
                  <c:v>Bebidas</c:v>
                </c:pt>
                <c:pt idx="8">
                  <c:v>Los demás</c:v>
                </c:pt>
              </c:strCache>
            </c:strRef>
          </c:cat>
          <c:val>
            <c:numRef>
              <c:f>Hoja1!$D$44:$D$52</c:f>
              <c:numCache>
                <c:formatCode>0.0%</c:formatCode>
                <c:ptCount val="9"/>
                <c:pt idx="0">
                  <c:v>0.23549344249191101</c:v>
                </c:pt>
                <c:pt idx="1">
                  <c:v>0.17792136002713241</c:v>
                </c:pt>
                <c:pt idx="2">
                  <c:v>0.2381100663140657</c:v>
                </c:pt>
                <c:pt idx="3">
                  <c:v>0.22236837003630897</c:v>
                </c:pt>
                <c:pt idx="4">
                  <c:v>3.6965298763357031E-2</c:v>
                </c:pt>
                <c:pt idx="5">
                  <c:v>3.4117266033697122E-2</c:v>
                </c:pt>
                <c:pt idx="6">
                  <c:v>1.7063380443668719E-2</c:v>
                </c:pt>
                <c:pt idx="7">
                  <c:v>1.4076356393744736E-2</c:v>
                </c:pt>
                <c:pt idx="8">
                  <c:v>2.7585320890290494E-2</c:v>
                </c:pt>
              </c:numCache>
            </c:numRef>
          </c:val>
          <c:extLst>
            <c:ext xmlns:c16="http://schemas.microsoft.com/office/drawing/2014/chart" uri="{C3380CC4-5D6E-409C-BE32-E72D297353CC}">
              <c16:uniqueId val="{00000012-CA65-4C49-98A6-1C5C451C0E1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2.5142033182288082E-2"/>
          <c:w val="0.90205628106458469"/>
          <c:h val="0.74851531753763467"/>
        </c:manualLayout>
      </c:layout>
      <c:barChart>
        <c:barDir val="col"/>
        <c:grouping val="clustered"/>
        <c:varyColors val="0"/>
        <c:ser>
          <c:idx val="1"/>
          <c:order val="1"/>
          <c:tx>
            <c:strRef>
              <c:f>Sheet1!$C$1</c:f>
              <c:strCache>
                <c:ptCount val="1"/>
                <c:pt idx="0">
                  <c:v>2024</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2D-4829-B388-BCECB6EE4B59}"/>
                </c:ext>
              </c:extLst>
            </c:dLbl>
            <c:dLbl>
              <c:idx val="1"/>
              <c:layout>
                <c:manualLayout>
                  <c:x val="0"/>
                  <c:y val="1.65549396959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2D-4829-B388-BCECB6EE4B59}"/>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2D-4829-B388-BCECB6EE4B59}"/>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2D-4829-B388-BCECB6EE4B59}"/>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2D-4829-B388-BCECB6EE4B59}"/>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2D-4829-B388-BCECB6EE4B59}"/>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2D-4829-B388-BCECB6EE4B59}"/>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2D-4829-B388-BCECB6EE4B59}"/>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2D-4829-B388-BCECB6EE4B59}"/>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2D-4829-B388-BCECB6EE4B59}"/>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2D-4829-B388-BCECB6EE4B59}"/>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General</c:formatCode>
                <c:ptCount val="12"/>
                <c:pt idx="0" formatCode="0.0">
                  <c:v>8.4753427063415785</c:v>
                </c:pt>
              </c:numCache>
            </c:numRef>
          </c:val>
          <c:extLst>
            <c:ext xmlns:c16="http://schemas.microsoft.com/office/drawing/2014/chart" uri="{C3380CC4-5D6E-409C-BE32-E72D297353CC}">
              <c16:uniqueId val="{0000000B-462D-4829-B388-BCECB6EE4B59}"/>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2023</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0"/>
              <c:layout>
                <c:manualLayout>
                  <c:x val="-9.4096134662134026E-2"/>
                  <c:y val="-7.07085027203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62D-4829-B388-BCECB6EE4B59}"/>
                </c:ext>
              </c:extLst>
            </c:dLbl>
            <c:dLbl>
              <c:idx val="3"/>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D-462D-4829-B388-BCECB6EE4B59}"/>
                </c:ext>
              </c:extLst>
            </c:dLbl>
            <c:dLbl>
              <c:idx val="4"/>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E-462D-4829-B388-BCECB6EE4B5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6.1674611663958814</c:v>
                </c:pt>
              </c:numCache>
            </c:numRef>
          </c:val>
          <c:smooth val="0"/>
          <c:extLst>
            <c:ext xmlns:c16="http://schemas.microsoft.com/office/drawing/2014/chart" uri="{C3380CC4-5D6E-409C-BE32-E72D297353CC}">
              <c16:uniqueId val="{0000000F-462D-4829-B388-BCECB6EE4B59}"/>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7221896155969433"/>
          <c:y val="0.5923518629704374"/>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2023</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0A-460E-8267-6601FEE05D77}"/>
                </c:ext>
              </c:extLst>
            </c:dLbl>
            <c:dLbl>
              <c:idx val="1"/>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0A-460E-8267-6601FEE05D77}"/>
                </c:ext>
              </c:extLst>
            </c:dLbl>
            <c:dLbl>
              <c:idx val="2"/>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0A-460E-8267-6601FEE05D77}"/>
                </c:ext>
              </c:extLst>
            </c:dLbl>
            <c:dLbl>
              <c:idx val="4"/>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0A-460E-8267-6601FEE05D77}"/>
                </c:ext>
              </c:extLst>
            </c:dLbl>
            <c:dLbl>
              <c:idx val="5"/>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0A-460E-8267-6601FEE05D77}"/>
                </c:ext>
              </c:extLst>
            </c:dLbl>
            <c:dLbl>
              <c:idx val="6"/>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0A-460E-8267-6601FEE05D77}"/>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0A-460E-8267-6601FEE05D7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Trans. De Capital</c:v>
                </c:pt>
                <c:pt idx="2">
                  <c:v>Inversión Real Directa</c:v>
                </c:pt>
                <c:pt idx="3">
                  <c:v>Intereses </c:v>
                </c:pt>
                <c:pt idx="4">
                  <c:v>Prestaciones a la S.S</c:v>
                </c:pt>
                <c:pt idx="5">
                  <c:v>Remuneraciones </c:v>
                </c:pt>
                <c:pt idx="6">
                  <c:v>Bienes y servicios </c:v>
                </c:pt>
              </c:strCache>
            </c:strRef>
          </c:cat>
          <c:val>
            <c:numRef>
              <c:f>Sheet1!$B$2:$B$8</c:f>
              <c:numCache>
                <c:formatCode>#,##0.0</c:formatCode>
                <c:ptCount val="7"/>
                <c:pt idx="0">
                  <c:v>412.51708844000018</c:v>
                </c:pt>
                <c:pt idx="1">
                  <c:v>127.37634027999991</c:v>
                </c:pt>
                <c:pt idx="2">
                  <c:v>-94.533085069999998</c:v>
                </c:pt>
                <c:pt idx="3">
                  <c:v>77.039901719999989</c:v>
                </c:pt>
                <c:pt idx="4">
                  <c:v>78.557019379999986</c:v>
                </c:pt>
                <c:pt idx="5">
                  <c:v>181.12445086999969</c:v>
                </c:pt>
                <c:pt idx="6">
                  <c:v>79.477184729999976</c:v>
                </c:pt>
              </c:numCache>
            </c:numRef>
          </c:val>
          <c:extLst>
            <c:ext xmlns:c16="http://schemas.microsoft.com/office/drawing/2014/chart" uri="{C3380CC4-5D6E-409C-BE32-E72D297353CC}">
              <c16:uniqueId val="{00000007-B20A-460E-8267-6601FEE05D77}"/>
            </c:ext>
          </c:extLst>
        </c:ser>
        <c:ser>
          <c:idx val="1"/>
          <c:order val="1"/>
          <c:tx>
            <c:strRef>
              <c:f>Sheet1!$C$1</c:f>
              <c:strCache>
                <c:ptCount val="1"/>
                <c:pt idx="0">
                  <c:v>2024</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9.859113925770371E-3"/>
                  <c:y val="-3.609231881729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0A-460E-8267-6601FEE05D77}"/>
                </c:ext>
              </c:extLst>
            </c:dLbl>
            <c:dLbl>
              <c:idx val="1"/>
              <c:layout>
                <c:manualLayout>
                  <c:x val="9.1452704473069784E-3"/>
                  <c:y val="-1.7458651001958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0A-460E-8267-6601FEE05D77}"/>
                </c:ext>
              </c:extLst>
            </c:dLbl>
            <c:dLbl>
              <c:idx val="2"/>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0A-460E-8267-6601FEE05D77}"/>
                </c:ext>
              </c:extLst>
            </c:dLbl>
            <c:dLbl>
              <c:idx val="3"/>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0A-460E-8267-6601FEE05D77}"/>
                </c:ext>
              </c:extLst>
            </c:dLbl>
            <c:dLbl>
              <c:idx val="4"/>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0A-460E-8267-6601FEE05D77}"/>
                </c:ext>
              </c:extLst>
            </c:dLbl>
            <c:dLbl>
              <c:idx val="5"/>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20A-460E-8267-6601FEE05D77}"/>
                </c:ext>
              </c:extLst>
            </c:dLbl>
            <c:dLbl>
              <c:idx val="6"/>
              <c:layout>
                <c:manualLayout>
                  <c:x val="-4.20853235100603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0A-460E-8267-6601FEE05D77}"/>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20A-460E-8267-6601FEE05D7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Trans. De Capital</c:v>
                </c:pt>
                <c:pt idx="2">
                  <c:v>Inversión Real Directa</c:v>
                </c:pt>
                <c:pt idx="3">
                  <c:v>Intereses </c:v>
                </c:pt>
                <c:pt idx="4">
                  <c:v>Prestaciones a la S.S</c:v>
                </c:pt>
                <c:pt idx="5">
                  <c:v>Remuneraciones </c:v>
                </c:pt>
                <c:pt idx="6">
                  <c:v>Bienes y servicios </c:v>
                </c:pt>
              </c:strCache>
            </c:strRef>
          </c:cat>
          <c:val>
            <c:numRef>
              <c:f>Sheet1!$C$2:$C$8</c:f>
              <c:numCache>
                <c:formatCode>#,##0.0</c:formatCode>
                <c:ptCount val="7"/>
                <c:pt idx="0">
                  <c:v>-364.45604877999995</c:v>
                </c:pt>
                <c:pt idx="1">
                  <c:v>-20.642687549999891</c:v>
                </c:pt>
                <c:pt idx="2">
                  <c:v>19.188465529999998</c:v>
                </c:pt>
                <c:pt idx="3">
                  <c:v>29.068754799999965</c:v>
                </c:pt>
                <c:pt idx="4">
                  <c:v>55.002277970000023</c:v>
                </c:pt>
                <c:pt idx="5">
                  <c:v>398.57792121000011</c:v>
                </c:pt>
                <c:pt idx="6">
                  <c:v>479.71831746000015</c:v>
                </c:pt>
              </c:numCache>
            </c:numRef>
          </c:val>
          <c:extLst>
            <c:ext xmlns:c16="http://schemas.microsoft.com/office/drawing/2014/chart" uri="{C3380CC4-5D6E-409C-BE32-E72D297353CC}">
              <c16:uniqueId val="{00000010-B20A-460E-8267-6601FEE05D77}"/>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500"/>
          <c:min val="-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2558696061439452"/>
          <c:y val="0.4361284750120520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6474260438560718E-2"/>
          <c:w val="0.90422443251375917"/>
          <c:h val="0.880232142296953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51C3-4128-A2BF-E82C40667C45}"/>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51C3-4128-A2BF-E82C40667C45}"/>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C3-4128-A2BF-E82C40667C45}"/>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C3-4128-A2BF-E82C40667C45}"/>
                </c:ext>
              </c:extLst>
            </c:dLbl>
            <c:dLbl>
              <c:idx val="2"/>
              <c:layout>
                <c:manualLayout>
                  <c:x val="0"/>
                  <c:y val="2.231619923914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C3-4128-A2BF-E82C40667C45}"/>
                </c:ext>
              </c:extLst>
            </c:dLbl>
            <c:dLbl>
              <c:idx val="3"/>
              <c:layout>
                <c:manualLayout>
                  <c:x val="4.6006971460583234E-3"/>
                  <c:y val="1.1610486891385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C3-4128-A2BF-E82C40667C45}"/>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C3-4128-A2BF-E82C40667C45}"/>
                </c:ext>
              </c:extLst>
            </c:dLbl>
            <c:dLbl>
              <c:idx val="5"/>
              <c:layout>
                <c:manualLayout>
                  <c:x val="4.9407114624504117E-3"/>
                  <c:y val="0.1161356058993854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C3-4128-A2BF-E82C40667C45}"/>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51C3-4128-A2BF-E82C40667C4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2019</c:v>
                </c:pt>
                <c:pt idx="1">
                  <c:v>2020</c:v>
                </c:pt>
                <c:pt idx="2">
                  <c:v>2021</c:v>
                </c:pt>
                <c:pt idx="3">
                  <c:v>2022</c:v>
                </c:pt>
                <c:pt idx="4">
                  <c:v>2023</c:v>
                </c:pt>
                <c:pt idx="5">
                  <c:v>2024</c:v>
                </c:pt>
              </c:numCache>
            </c:numRef>
          </c:cat>
          <c:val>
            <c:numRef>
              <c:f>Hoja1!$B$2:$B$7</c:f>
              <c:numCache>
                <c:formatCode>0.0</c:formatCode>
                <c:ptCount val="6"/>
                <c:pt idx="0">
                  <c:v>6.2641694596116109</c:v>
                </c:pt>
                <c:pt idx="1">
                  <c:v>6.5796455021520819</c:v>
                </c:pt>
                <c:pt idx="2">
                  <c:v>5.5345602635976103</c:v>
                </c:pt>
                <c:pt idx="3">
                  <c:v>6.0432759384001447</c:v>
                </c:pt>
                <c:pt idx="4">
                  <c:v>6.3214341461910362</c:v>
                </c:pt>
                <c:pt idx="5">
                  <c:v>6.9305827773903079</c:v>
                </c:pt>
              </c:numCache>
            </c:numRef>
          </c:val>
          <c:extLst>
            <c:ext xmlns:c16="http://schemas.microsoft.com/office/drawing/2014/chart" uri="{C3380CC4-5D6E-409C-BE32-E72D297353CC}">
              <c16:uniqueId val="{00000009-51C3-4128-A2BF-E82C40667C45}"/>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1791046808378197"/>
                  <c:y val="-0.103481376625674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51C3-4128-A2BF-E82C40667C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2019</c:v>
                </c:pt>
                <c:pt idx="1">
                  <c:v>2020</c:v>
                </c:pt>
                <c:pt idx="2">
                  <c:v>2021</c:v>
                </c:pt>
                <c:pt idx="3">
                  <c:v>2022</c:v>
                </c:pt>
                <c:pt idx="4">
                  <c:v>2023</c:v>
                </c:pt>
                <c:pt idx="5">
                  <c:v>2024</c:v>
                </c:pt>
              </c:numCache>
            </c:numRef>
          </c:cat>
          <c:val>
            <c:numRef>
              <c:f>Hoja1!$C$2:$C$7</c:f>
              <c:numCache>
                <c:formatCode>0.0</c:formatCode>
                <c:ptCount val="6"/>
                <c:pt idx="0">
                  <c:v>6.148617061990497</c:v>
                </c:pt>
                <c:pt idx="1">
                  <c:v>6.148617061990497</c:v>
                </c:pt>
                <c:pt idx="2">
                  <c:v>6.148617061990497</c:v>
                </c:pt>
                <c:pt idx="3">
                  <c:v>6.148617061990497</c:v>
                </c:pt>
                <c:pt idx="4">
                  <c:v>6.148617061990497</c:v>
                </c:pt>
              </c:numCache>
            </c:numRef>
          </c:val>
          <c:smooth val="0"/>
          <c:extLst>
            <c:ext xmlns:c16="http://schemas.microsoft.com/office/drawing/2014/chart" uri="{C3380CC4-5D6E-409C-BE32-E72D297353CC}">
              <c16:uniqueId val="{0000000B-51C3-4128-A2BF-E82C40667C45}"/>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7.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845964187689999"/>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5501-4E9A-AFCF-5A12936342D1}"/>
              </c:ext>
            </c:extLst>
          </c:dPt>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5501-4E9A-AFCF-5A12936342D1}"/>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5501-4E9A-AFCF-5A12936342D1}"/>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5501-4E9A-AFCF-5A12936342D1}"/>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5501-4E9A-AFCF-5A12936342D1}"/>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5501-4E9A-AFCF-5A12936342D1}"/>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5501-4E9A-AFCF-5A12936342D1}"/>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5501-4E9A-AFCF-5A12936342D1}"/>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11-5501-4E9A-AFCF-5A12936342D1}"/>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5501-4E9A-AFCF-5A12936342D1}"/>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5501-4E9A-AFCF-5A12936342D1}"/>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5501-4E9A-AFCF-5A12936342D1}"/>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5501-4E9A-AFCF-5A12936342D1}"/>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5501-4E9A-AFCF-5A12936342D1}"/>
              </c:ext>
            </c:extLst>
          </c:dPt>
          <c:dLbls>
            <c:dLbl>
              <c:idx val="1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11-5501-4E9A-AFCF-5A12936342D1}"/>
                </c:ext>
              </c:extLst>
            </c:dLbl>
            <c:dLbl>
              <c:idx val="13"/>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501-4E9A-AFCF-5A12936342D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Desarrollo</c:v>
                </c:pt>
                <c:pt idx="1">
                  <c:v>Economía </c:v>
                </c:pt>
                <c:pt idx="2">
                  <c:v>Energía</c:v>
                </c:pt>
                <c:pt idx="3">
                  <c:v>Ambiente</c:v>
                </c:pt>
                <c:pt idx="4">
                  <c:v>Agricultura</c:v>
                </c:pt>
                <c:pt idx="5">
                  <c:v>Minrex</c:v>
                </c:pt>
                <c:pt idx="6">
                  <c:v>Comunicaciones</c:v>
                </c:pt>
                <c:pt idx="7">
                  <c:v>Deuda Pública</c:v>
                </c:pt>
                <c:pt idx="8">
                  <c:v>Obligaciones</c:v>
                </c:pt>
                <c:pt idx="9">
                  <c:v>Secretarías</c:v>
                </c:pt>
                <c:pt idx="10">
                  <c:v>Cultura</c:v>
                </c:pt>
                <c:pt idx="11">
                  <c:v>Total</c:v>
                </c:pt>
                <c:pt idx="12">
                  <c:v>PGN</c:v>
                </c:pt>
                <c:pt idx="13">
                  <c:v>Gobernación</c:v>
                </c:pt>
                <c:pt idx="14">
                  <c:v>Salud Pública</c:v>
                </c:pt>
                <c:pt idx="15">
                  <c:v>Presidencia </c:v>
                </c:pt>
                <c:pt idx="16">
                  <c:v>Defensa</c:v>
                </c:pt>
                <c:pt idx="17">
                  <c:v>Finanzas </c:v>
                </c:pt>
                <c:pt idx="18">
                  <c:v>Trabajo</c:v>
                </c:pt>
                <c:pt idx="19">
                  <c:v>Educación</c:v>
                </c:pt>
              </c:strCache>
            </c:strRef>
          </c:cat>
          <c:val>
            <c:numRef>
              <c:f>Hoja1!$B$2:$B$21</c:f>
              <c:numCache>
                <c:formatCode>0.0</c:formatCode>
                <c:ptCount val="20"/>
                <c:pt idx="0">
                  <c:v>1.6761530885255727</c:v>
                </c:pt>
                <c:pt idx="1">
                  <c:v>3.0187556518659808</c:v>
                </c:pt>
                <c:pt idx="2">
                  <c:v>3.0900283863577362</c:v>
                </c:pt>
                <c:pt idx="3">
                  <c:v>3.4307615174003896</c:v>
                </c:pt>
                <c:pt idx="4">
                  <c:v>4.0456744602659578</c:v>
                </c:pt>
                <c:pt idx="5">
                  <c:v>5.1597843224720696</c:v>
                </c:pt>
                <c:pt idx="6">
                  <c:v>5.7723489628999092</c:v>
                </c:pt>
                <c:pt idx="7">
                  <c:v>6.0692159336648839</c:v>
                </c:pt>
                <c:pt idx="8">
                  <c:v>6.2794115899880945</c:v>
                </c:pt>
                <c:pt idx="9">
                  <c:v>6.3256006150497788</c:v>
                </c:pt>
                <c:pt idx="10">
                  <c:v>6.568182606756606</c:v>
                </c:pt>
                <c:pt idx="11">
                  <c:v>6.9305827773903079</c:v>
                </c:pt>
                <c:pt idx="12">
                  <c:v>7.3182937855332764</c:v>
                </c:pt>
                <c:pt idx="13">
                  <c:v>7.3830293188267166</c:v>
                </c:pt>
                <c:pt idx="14">
                  <c:v>7.7779635838413572</c:v>
                </c:pt>
                <c:pt idx="15">
                  <c:v>7.9275084341463407</c:v>
                </c:pt>
                <c:pt idx="16">
                  <c:v>7.9958336349599275</c:v>
                </c:pt>
                <c:pt idx="17">
                  <c:v>8.2069508463049718</c:v>
                </c:pt>
                <c:pt idx="18">
                  <c:v>8.3382931930172095</c:v>
                </c:pt>
                <c:pt idx="19">
                  <c:v>8.9816774665500994</c:v>
                </c:pt>
              </c:numCache>
            </c:numRef>
          </c:val>
          <c:extLst>
            <c:ext xmlns:c16="http://schemas.microsoft.com/office/drawing/2014/chart" uri="{C3380CC4-5D6E-409C-BE32-E72D297353CC}">
              <c16:uniqueId val="{0000001D-5501-4E9A-AFCF-5A12936342D1}"/>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2.1609884130337365E-2"/>
          <c:w val="0.87682488507834155"/>
          <c:h val="0.8687858319652146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2D-4D50-8CB8-03DC8BBD3852}"/>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443.59</c:v>
                </c:pt>
                <c:pt idx="1">
                  <c:v>792.97</c:v>
                </c:pt>
              </c:numCache>
            </c:numRef>
          </c:val>
          <c:extLst>
            <c:ext xmlns:c16="http://schemas.microsoft.com/office/drawing/2014/chart" uri="{C3380CC4-5D6E-409C-BE32-E72D297353CC}">
              <c16:uniqueId val="{00000001-882D-4D50-8CB8-03DC8BBD3852}"/>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2D-4D50-8CB8-03DC8BBD3852}"/>
                </c:ext>
              </c:extLst>
            </c:dLbl>
            <c:dLbl>
              <c:idx val="1"/>
              <c:layout>
                <c:manualLayout>
                  <c:x val="5.5364173228345578E-3"/>
                  <c:y val="5.327660655321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2D-4D50-8CB8-03DC8BBD3852}"/>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2.11</c:v>
                </c:pt>
                <c:pt idx="1">
                  <c:v>24.44</c:v>
                </c:pt>
              </c:numCache>
            </c:numRef>
          </c:val>
          <c:extLst>
            <c:ext xmlns:c16="http://schemas.microsoft.com/office/drawing/2014/chart" uri="{C3380CC4-5D6E-409C-BE32-E72D297353CC}">
              <c16:uniqueId val="{00000004-882D-4D50-8CB8-03DC8BBD3852}"/>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9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0120132264433714"/>
          <c:y val="4.0611916914563118E-2"/>
          <c:w val="0.28394180218525439"/>
          <c:h val="0.1237510206790292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85BE-F9B5-4ED0-B2E9-07A5A784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3477</Words>
  <Characters>19124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Enero 2024                                                                      Dirección de Análisis y Política Fiscal</dc:creator>
  <cp:keywords/>
  <dc:description/>
  <cp:lastModifiedBy>Saul Enrique De León Meneses</cp:lastModifiedBy>
  <cp:revision>5</cp:revision>
  <dcterms:created xsi:type="dcterms:W3CDTF">2024-02-20T14:42:00Z</dcterms:created>
  <dcterms:modified xsi:type="dcterms:W3CDTF">2024-05-13T15:37:00Z</dcterms:modified>
</cp:coreProperties>
</file>