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charts/chart9.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9C09BA" w:rsidRDefault="004C2A11"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9C09BA" w:rsidSect="00754057">
          <w:headerReference w:type="default" r:id="rId8"/>
          <w:footerReference w:type="default" r:id="rId9"/>
          <w:pgSz w:w="12240" w:h="15840" w:code="1"/>
          <w:pgMar w:top="1418" w:right="1418" w:bottom="1418" w:left="1418" w:header="709" w:footer="709" w:gutter="0"/>
          <w:cols w:space="708"/>
          <w:docGrid w:linePitch="360"/>
        </w:sectPr>
      </w:pPr>
      <w:r w:rsidRPr="009C09BA">
        <w:rPr>
          <w:rFonts w:ascii="Times New Roman" w:hAnsi="Times New Roman" w:cs="Times New Roman"/>
          <w:b/>
          <w:lang w:val="es-MX"/>
        </w:rPr>
        <w:t>Abril</w:t>
      </w:r>
      <w:r w:rsidR="00B63567" w:rsidRPr="009C09BA">
        <w:rPr>
          <w:rFonts w:ascii="Times New Roman" w:hAnsi="Times New Roman" w:cs="Times New Roman"/>
          <w:b/>
          <w:lang w:val="es-MX"/>
        </w:rPr>
        <w:t xml:space="preserve"> continúa reportando</w:t>
      </w:r>
      <w:r w:rsidR="00E37543" w:rsidRPr="009C09BA">
        <w:rPr>
          <w:rFonts w:ascii="Times New Roman" w:hAnsi="Times New Roman" w:cs="Times New Roman"/>
          <w:b/>
          <w:lang w:val="es-MX"/>
        </w:rPr>
        <w:t xml:space="preserve"> superávit </w:t>
      </w:r>
      <w:r w:rsidR="004B799B" w:rsidRPr="009C09BA">
        <w:rPr>
          <w:rFonts w:ascii="Times New Roman" w:hAnsi="Times New Roman" w:cs="Times New Roman"/>
          <w:b/>
          <w:lang w:val="es-MX"/>
        </w:rPr>
        <w:t>fiscal</w:t>
      </w:r>
      <w:r w:rsidRPr="009C09BA">
        <w:rPr>
          <w:rFonts w:ascii="Times New Roman" w:hAnsi="Times New Roman" w:cs="Times New Roman"/>
          <w:b/>
          <w:lang w:val="es-MX"/>
        </w:rPr>
        <w:t xml:space="preserve"> por el buen desempeño de la recaudación</w:t>
      </w:r>
    </w:p>
    <w:p w:rsidR="007D4651" w:rsidRPr="00062433" w:rsidRDefault="007D4651" w:rsidP="007D4651">
      <w:pPr>
        <w:pStyle w:val="Sinespaciado"/>
        <w:rPr>
          <w:rFonts w:ascii="Times New Roman" w:hAnsi="Times New Roman" w:cs="Times New Roman"/>
          <w:b/>
          <w:color w:val="FF0000"/>
          <w:sz w:val="6"/>
          <w:lang w:val="es-MX"/>
        </w:rPr>
      </w:pPr>
    </w:p>
    <w:p w:rsidR="007D4651" w:rsidRPr="00062433" w:rsidRDefault="007D4651" w:rsidP="007D4651">
      <w:pPr>
        <w:pStyle w:val="Sinespaciado"/>
        <w:jc w:val="center"/>
        <w:rPr>
          <w:rFonts w:ascii="Times New Roman" w:hAnsi="Times New Roman" w:cs="Times New Roman"/>
          <w:b/>
          <w:color w:val="FF0000"/>
          <w:sz w:val="16"/>
          <w:lang w:val="es-MX"/>
        </w:rPr>
      </w:pPr>
    </w:p>
    <w:p w:rsidR="009C4027" w:rsidRPr="00062433" w:rsidRDefault="009C4027" w:rsidP="007D4651">
      <w:pPr>
        <w:pStyle w:val="Sinespaciado"/>
        <w:jc w:val="center"/>
        <w:rPr>
          <w:rFonts w:ascii="Times New Roman" w:hAnsi="Times New Roman" w:cs="Times New Roman"/>
          <w:b/>
          <w:color w:val="FF0000"/>
          <w:lang w:val="es-MX"/>
        </w:rPr>
        <w:sectPr w:rsidR="009C4027" w:rsidRPr="00062433" w:rsidSect="004E358C">
          <w:type w:val="continuous"/>
          <w:pgSz w:w="12240" w:h="15840"/>
          <w:pgMar w:top="1417" w:right="1701" w:bottom="1417" w:left="1701" w:header="708" w:footer="708" w:gutter="0"/>
          <w:cols w:space="708"/>
          <w:docGrid w:linePitch="360"/>
        </w:sectPr>
      </w:pPr>
    </w:p>
    <w:p w:rsidR="009C09BA" w:rsidRPr="004C2A11" w:rsidRDefault="009C09BA" w:rsidP="009C09BA">
      <w:pPr>
        <w:pStyle w:val="Sinespaciado"/>
        <w:ind w:left="284"/>
        <w:jc w:val="both"/>
        <w:rPr>
          <w:rFonts w:ascii="Times New Roman" w:hAnsi="Times New Roman" w:cs="Times New Roman"/>
        </w:rPr>
      </w:pPr>
      <w:r w:rsidRPr="004C2A11">
        <w:rPr>
          <w:rFonts w:ascii="Times New Roman" w:hAnsi="Times New Roman" w:cs="Times New Roman"/>
        </w:rPr>
        <w:lastRenderedPageBreak/>
        <w:t>El resultado presupuestario del gobierno central muestra un superávit fiscal que se sitúa</w:t>
      </w:r>
      <w:r>
        <w:rPr>
          <w:rFonts w:ascii="Times New Roman" w:hAnsi="Times New Roman" w:cs="Times New Roman"/>
        </w:rPr>
        <w:t>,</w:t>
      </w:r>
      <w:r w:rsidRPr="004C2A11">
        <w:rPr>
          <w:rFonts w:ascii="Times New Roman" w:hAnsi="Times New Roman" w:cs="Times New Roman"/>
        </w:rPr>
        <w:t xml:space="preserve"> al 30 de abril de 2021</w:t>
      </w:r>
      <w:r>
        <w:rPr>
          <w:rFonts w:ascii="Times New Roman" w:hAnsi="Times New Roman" w:cs="Times New Roman"/>
        </w:rPr>
        <w:t>,</w:t>
      </w:r>
      <w:r w:rsidRPr="004C2A11">
        <w:rPr>
          <w:rFonts w:ascii="Times New Roman" w:hAnsi="Times New Roman" w:cs="Times New Roman"/>
        </w:rPr>
        <w:t xml:space="preserve"> en Q</w:t>
      </w:r>
      <w:r>
        <w:rPr>
          <w:rFonts w:ascii="Times New Roman" w:hAnsi="Times New Roman" w:cs="Times New Roman"/>
        </w:rPr>
        <w:t>1,011.3</w:t>
      </w:r>
      <w:r w:rsidRPr="004C2A11">
        <w:rPr>
          <w:rFonts w:ascii="Times New Roman" w:hAnsi="Times New Roman" w:cs="Times New Roman"/>
        </w:rPr>
        <w:t xml:space="preserve"> millones. En los años anteriores (2019 y 2020)</w:t>
      </w:r>
      <w:r>
        <w:rPr>
          <w:rFonts w:ascii="Times New Roman" w:hAnsi="Times New Roman" w:cs="Times New Roman"/>
        </w:rPr>
        <w:t>,</w:t>
      </w:r>
      <w:r w:rsidRPr="004C2A11">
        <w:rPr>
          <w:rFonts w:ascii="Times New Roman" w:hAnsi="Times New Roman" w:cs="Times New Roman"/>
        </w:rPr>
        <w:t xml:space="preserve"> al mes de abril </w:t>
      </w:r>
      <w:bookmarkStart w:id="0" w:name="_GoBack"/>
      <w:bookmarkEnd w:id="0"/>
      <w:r w:rsidRPr="004C2A11">
        <w:rPr>
          <w:rFonts w:ascii="Times New Roman" w:hAnsi="Times New Roman" w:cs="Times New Roman"/>
        </w:rPr>
        <w:t xml:space="preserve">ya se observaba déficit fiscal, a excepción del 2018, cuando también se reportó superávit. </w:t>
      </w:r>
    </w:p>
    <w:p w:rsidR="009C09BA" w:rsidRPr="004C2A11" w:rsidRDefault="009C09BA" w:rsidP="009C09BA">
      <w:pPr>
        <w:pStyle w:val="Sinespaciado"/>
        <w:ind w:left="284"/>
        <w:jc w:val="both"/>
        <w:rPr>
          <w:rFonts w:ascii="Times New Roman" w:hAnsi="Times New Roman" w:cs="Times New Roman"/>
        </w:rPr>
      </w:pPr>
    </w:p>
    <w:p w:rsidR="009C09BA" w:rsidRPr="004C2A11" w:rsidRDefault="009C09BA" w:rsidP="009C09BA">
      <w:pPr>
        <w:pStyle w:val="Sinespaciado"/>
        <w:ind w:left="284"/>
        <w:jc w:val="both"/>
        <w:rPr>
          <w:rFonts w:ascii="Times New Roman" w:hAnsi="Times New Roman" w:cs="Times New Roman"/>
        </w:rPr>
      </w:pPr>
      <w:r w:rsidRPr="004C2A11">
        <w:rPr>
          <w:rFonts w:ascii="Times New Roman" w:hAnsi="Times New Roman" w:cs="Times New Roman"/>
        </w:rPr>
        <w:t>Dado el buen desempeño de la recaudación tributaria, la brecha</w:t>
      </w:r>
      <w:r>
        <w:rPr>
          <w:rFonts w:ascii="Times New Roman" w:hAnsi="Times New Roman" w:cs="Times New Roman"/>
        </w:rPr>
        <w:t xml:space="preserve"> respecto a la meta establecida se </w:t>
      </w:r>
      <w:r w:rsidRPr="004C2A11">
        <w:rPr>
          <w:rFonts w:ascii="Times New Roman" w:hAnsi="Times New Roman" w:cs="Times New Roman"/>
        </w:rPr>
        <w:t xml:space="preserve">ha ampliado de forma considerable, de esa cuenta, por cuarto mes consecutivo se supera la meta </w:t>
      </w:r>
      <w:r>
        <w:rPr>
          <w:rFonts w:ascii="Times New Roman" w:hAnsi="Times New Roman" w:cs="Times New Roman"/>
        </w:rPr>
        <w:t xml:space="preserve">mensual </w:t>
      </w:r>
      <w:r w:rsidRPr="004C2A11">
        <w:rPr>
          <w:rFonts w:ascii="Times New Roman" w:hAnsi="Times New Roman" w:cs="Times New Roman"/>
        </w:rPr>
        <w:t xml:space="preserve">de recaudación. </w:t>
      </w:r>
    </w:p>
    <w:p w:rsidR="009C09BA" w:rsidRPr="004C2A11" w:rsidRDefault="009C09BA" w:rsidP="009C09BA">
      <w:pPr>
        <w:pStyle w:val="Sinespaciado"/>
        <w:ind w:left="284"/>
        <w:jc w:val="both"/>
        <w:rPr>
          <w:rFonts w:ascii="Times New Roman" w:hAnsi="Times New Roman" w:cs="Times New Roman"/>
        </w:rPr>
      </w:pPr>
    </w:p>
    <w:p w:rsidR="009C09BA" w:rsidRPr="004C2A11" w:rsidRDefault="009C09BA" w:rsidP="009C09BA">
      <w:pPr>
        <w:pStyle w:val="Sinespaciado"/>
        <w:ind w:left="284"/>
        <w:jc w:val="both"/>
        <w:rPr>
          <w:rFonts w:ascii="Times New Roman" w:hAnsi="Times New Roman" w:cs="Times New Roman"/>
        </w:rPr>
      </w:pPr>
      <w:r w:rsidRPr="004C2A11">
        <w:rPr>
          <w:rFonts w:ascii="Times New Roman" w:hAnsi="Times New Roman" w:cs="Times New Roman"/>
        </w:rPr>
        <w:t>Mientras que el gasto público muestra un crecimiento interanual más dinámico, aunque de forma más moderada que el dinamismo observado en la recaudación tributaria</w:t>
      </w:r>
      <w:r>
        <w:rPr>
          <w:rFonts w:ascii="Times New Roman" w:hAnsi="Times New Roman" w:cs="Times New Roman"/>
        </w:rPr>
        <w:t xml:space="preserve">, es esta </w:t>
      </w:r>
      <w:r>
        <w:rPr>
          <w:rFonts w:ascii="Times New Roman" w:hAnsi="Times New Roman" w:cs="Times New Roman"/>
        </w:rPr>
        <w:lastRenderedPageBreak/>
        <w:t>última la que incidió de manera determinante en el superávit observado a la fecha.</w:t>
      </w:r>
    </w:p>
    <w:p w:rsidR="009C09BA" w:rsidRPr="004C2A11" w:rsidRDefault="009C09BA" w:rsidP="009C09BA">
      <w:pPr>
        <w:pStyle w:val="Sinespaciado"/>
        <w:ind w:left="284"/>
        <w:jc w:val="both"/>
        <w:rPr>
          <w:rFonts w:ascii="Times New Roman" w:hAnsi="Times New Roman" w:cs="Times New Roman"/>
        </w:rPr>
      </w:pPr>
    </w:p>
    <w:p w:rsidR="009C09BA" w:rsidRPr="004C2A11" w:rsidRDefault="009C09BA" w:rsidP="009C09BA">
      <w:pPr>
        <w:pStyle w:val="Sinespaciado"/>
        <w:ind w:left="284"/>
        <w:jc w:val="both"/>
        <w:rPr>
          <w:rFonts w:ascii="Times New Roman" w:hAnsi="Times New Roman" w:cs="Times New Roman"/>
        </w:rPr>
      </w:pPr>
      <w:r>
        <w:rPr>
          <w:rFonts w:ascii="Times New Roman" w:hAnsi="Times New Roman" w:cs="Times New Roman"/>
        </w:rPr>
        <w:t>Asimismo, es importante indicar que l</w:t>
      </w:r>
      <w:r w:rsidRPr="004C2A11">
        <w:rPr>
          <w:rFonts w:ascii="Times New Roman" w:hAnsi="Times New Roman" w:cs="Times New Roman"/>
        </w:rPr>
        <w:t>as entidades</w:t>
      </w:r>
      <w:r>
        <w:rPr>
          <w:rFonts w:ascii="Times New Roman" w:hAnsi="Times New Roman" w:cs="Times New Roman"/>
        </w:rPr>
        <w:t xml:space="preserve"> de gobierno</w:t>
      </w:r>
      <w:r w:rsidRPr="004C2A11">
        <w:rPr>
          <w:rFonts w:ascii="Times New Roman" w:hAnsi="Times New Roman" w:cs="Times New Roman"/>
        </w:rPr>
        <w:t xml:space="preserve"> continúan realizando los ajustes presupuestarios para viabilizar la ejecución en el presente ejercicio fiscal, adicionalmente se observó un aumento en la asignación de las cuotas financieras para </w:t>
      </w:r>
      <w:r>
        <w:rPr>
          <w:rFonts w:ascii="Times New Roman" w:hAnsi="Times New Roman" w:cs="Times New Roman"/>
        </w:rPr>
        <w:t xml:space="preserve">abril, </w:t>
      </w:r>
      <w:r w:rsidRPr="004C2A11">
        <w:rPr>
          <w:rFonts w:ascii="Times New Roman" w:hAnsi="Times New Roman" w:cs="Times New Roman"/>
        </w:rPr>
        <w:t xml:space="preserve">dado que el desempeño favorable de la recaudación tributaria da muestras de poderse prolongar en los meses siguientes, derivado de ello, las entidades recibirían más recursos y la ejecución podría continuar siendo dinámica, aunque en un menor nivel al observado en 2020, cuando los gastos relacionados al COVID-19 impulsaron el gasto público.  </w:t>
      </w:r>
    </w:p>
    <w:p w:rsidR="00F54627" w:rsidRPr="009C09BA" w:rsidRDefault="00F54627" w:rsidP="00B63567">
      <w:pPr>
        <w:pStyle w:val="Sinespaciado"/>
        <w:ind w:left="284"/>
        <w:jc w:val="both"/>
        <w:rPr>
          <w:rFonts w:ascii="Times New Roman" w:hAnsi="Times New Roman" w:cs="Times New Roman"/>
          <w:b/>
          <w:color w:val="FF0000"/>
          <w:sz w:val="4"/>
        </w:rPr>
      </w:pPr>
    </w:p>
    <w:p w:rsidR="00E37543" w:rsidRPr="00062433" w:rsidRDefault="00E37543" w:rsidP="00E829E3">
      <w:pPr>
        <w:pStyle w:val="Sinespaciado"/>
        <w:rPr>
          <w:rFonts w:ascii="Times New Roman" w:hAnsi="Times New Roman" w:cs="Times New Roman"/>
          <w:b/>
          <w:color w:val="FF0000"/>
          <w:lang w:val="es-MX"/>
        </w:rPr>
        <w:sectPr w:rsidR="00E37543" w:rsidRPr="00062433" w:rsidSect="004C2A11">
          <w:type w:val="continuous"/>
          <w:pgSz w:w="12240" w:h="15840" w:code="1"/>
          <w:pgMar w:top="1418" w:right="1418" w:bottom="1418" w:left="1418" w:header="709" w:footer="709" w:gutter="0"/>
          <w:cols w:num="2" w:space="518"/>
          <w:docGrid w:linePitch="360"/>
        </w:sectPr>
      </w:pPr>
    </w:p>
    <w:p w:rsidR="00E829E3" w:rsidRPr="00062433" w:rsidRDefault="00E829E3" w:rsidP="000704F4">
      <w:pPr>
        <w:pStyle w:val="Sinespaciado"/>
        <w:rPr>
          <w:rFonts w:ascii="Times New Roman" w:hAnsi="Times New Roman" w:cs="Times New Roman"/>
          <w:b/>
          <w:color w:val="FF0000"/>
          <w:sz w:val="24"/>
          <w:lang w:val="es-MX"/>
        </w:rPr>
      </w:pPr>
    </w:p>
    <w:p w:rsidR="006F5EA0" w:rsidRPr="009C09BA" w:rsidRDefault="00950874" w:rsidP="006F5EA0">
      <w:pPr>
        <w:pStyle w:val="Sinespaciado"/>
        <w:jc w:val="center"/>
        <w:rPr>
          <w:rFonts w:ascii="Times New Roman" w:hAnsi="Times New Roman" w:cs="Times New Roman"/>
          <w:b/>
          <w:sz w:val="24"/>
          <w:lang w:val="es-MX"/>
        </w:rPr>
      </w:pPr>
      <w:r w:rsidRPr="009C09BA">
        <w:rPr>
          <w:rFonts w:ascii="Times New Roman" w:hAnsi="Times New Roman" w:cs="Times New Roman"/>
          <w:b/>
          <w:sz w:val="24"/>
          <w:lang w:val="es-MX"/>
        </w:rPr>
        <w:t>Resultado Presupuestario</w:t>
      </w:r>
    </w:p>
    <w:p w:rsidR="00E829E3" w:rsidRPr="009C09BA" w:rsidRDefault="00E829E3" w:rsidP="006F5EA0">
      <w:pPr>
        <w:pStyle w:val="Sinespaciado"/>
        <w:jc w:val="center"/>
        <w:rPr>
          <w:rFonts w:ascii="Times New Roman" w:hAnsi="Times New Roman" w:cs="Times New Roman"/>
          <w:sz w:val="20"/>
          <w:lang w:val="es-MX"/>
        </w:rPr>
      </w:pPr>
      <w:r w:rsidRPr="009C09BA">
        <w:rPr>
          <w:rFonts w:ascii="Times New Roman" w:hAnsi="Times New Roman" w:cs="Times New Roman"/>
          <w:sz w:val="20"/>
          <w:lang w:val="es-MX"/>
        </w:rPr>
        <w:t>Cifras en millones de quetzales</w:t>
      </w:r>
      <w:r w:rsidR="006F5EA0" w:rsidRPr="009C09BA">
        <w:rPr>
          <w:rFonts w:ascii="Times New Roman" w:hAnsi="Times New Roman" w:cs="Times New Roman"/>
          <w:sz w:val="20"/>
          <w:lang w:val="es-MX"/>
        </w:rPr>
        <w:t xml:space="preserve">      </w:t>
      </w:r>
    </w:p>
    <w:p w:rsidR="004C2A11" w:rsidRPr="00062433" w:rsidRDefault="00865EB0" w:rsidP="004C2A11">
      <w:pPr>
        <w:pStyle w:val="Sinespaciado"/>
        <w:jc w:val="center"/>
        <w:rPr>
          <w:rFonts w:ascii="Times New Roman" w:hAnsi="Times New Roman" w:cs="Times New Roman"/>
          <w:b/>
          <w:color w:val="FF0000"/>
          <w:lang w:val="es-MX"/>
        </w:rPr>
      </w:pPr>
      <w:r w:rsidRPr="009C09BA">
        <w:rPr>
          <w:noProof/>
          <w:lang w:eastAsia="es-GT"/>
        </w:rPr>
        <w:drawing>
          <wp:anchor distT="0" distB="0" distL="114300" distR="114300" simplePos="0" relativeHeight="251795456" behindDoc="0" locked="0" layoutInCell="1" allowOverlap="1" wp14:anchorId="2ADA3BA8" wp14:editId="112F6623">
            <wp:simplePos x="0" y="0"/>
            <wp:positionH relativeFrom="column">
              <wp:posOffset>13970</wp:posOffset>
            </wp:positionH>
            <wp:positionV relativeFrom="paragraph">
              <wp:posOffset>166370</wp:posOffset>
            </wp:positionV>
            <wp:extent cx="5942965" cy="1914525"/>
            <wp:effectExtent l="0" t="0" r="635" b="0"/>
            <wp:wrapTopAndBottom/>
            <wp:docPr id="12" name="Chart 12">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829E3" w:rsidRPr="009C09BA">
        <w:rPr>
          <w:rFonts w:ascii="Times New Roman" w:hAnsi="Times New Roman" w:cs="Times New Roman"/>
          <w:sz w:val="20"/>
          <w:lang w:val="es-MX"/>
        </w:rPr>
        <w:t xml:space="preserve">     </w:t>
      </w:r>
      <w:r w:rsidR="006F5EA0" w:rsidRPr="009C09BA">
        <w:rPr>
          <w:rFonts w:ascii="Times New Roman" w:hAnsi="Times New Roman" w:cs="Times New Roman"/>
          <w:sz w:val="20"/>
          <w:lang w:val="es-MX"/>
        </w:rPr>
        <w:t xml:space="preserve"> </w:t>
      </w:r>
      <w:r w:rsidR="004C2A11" w:rsidRPr="009C09BA">
        <w:rPr>
          <w:rFonts w:ascii="Times New Roman" w:hAnsi="Times New Roman" w:cs="Times New Roman"/>
          <w:sz w:val="20"/>
          <w:lang w:val="es-MX"/>
        </w:rPr>
        <w:t xml:space="preserve">Al 30 </w:t>
      </w:r>
      <w:r w:rsidR="006F5EA0" w:rsidRPr="009C09BA">
        <w:rPr>
          <w:rFonts w:ascii="Times New Roman" w:hAnsi="Times New Roman" w:cs="Times New Roman"/>
          <w:sz w:val="20"/>
          <w:lang w:val="es-MX"/>
        </w:rPr>
        <w:t xml:space="preserve">de </w:t>
      </w:r>
      <w:r w:rsidR="004C2A11" w:rsidRPr="009C09BA">
        <w:rPr>
          <w:rFonts w:ascii="Times New Roman" w:hAnsi="Times New Roman" w:cs="Times New Roman"/>
          <w:sz w:val="20"/>
          <w:lang w:val="es-MX"/>
        </w:rPr>
        <w:t>abril</w:t>
      </w:r>
      <w:r w:rsidR="006F5EA0" w:rsidRPr="009C09BA">
        <w:rPr>
          <w:rFonts w:ascii="Times New Roman" w:hAnsi="Times New Roman" w:cs="Times New Roman"/>
          <w:sz w:val="20"/>
          <w:lang w:val="es-MX"/>
        </w:rPr>
        <w:t xml:space="preserve"> de cada año</w:t>
      </w:r>
      <w:r w:rsidR="00F27024" w:rsidRPr="00062433">
        <w:rPr>
          <w:rFonts w:ascii="Times New Roman" w:hAnsi="Times New Roman" w:cs="Times New Roman"/>
          <w:b/>
          <w:color w:val="FF0000"/>
          <w:lang w:val="es-MX"/>
        </w:rPr>
        <w:tab/>
      </w:r>
    </w:p>
    <w:p w:rsidR="00443689" w:rsidRPr="009C09BA" w:rsidRDefault="007F443F" w:rsidP="004C2A11">
      <w:pPr>
        <w:pStyle w:val="Sinespaciado"/>
        <w:rPr>
          <w:rFonts w:ascii="Times New Roman" w:hAnsi="Times New Roman" w:cs="Times New Roman"/>
          <w:b/>
          <w:lang w:val="es-MX"/>
        </w:rPr>
      </w:pPr>
      <w:r w:rsidRPr="009C09BA">
        <w:rPr>
          <w:rFonts w:ascii="Times New Roman" w:hAnsi="Times New Roman" w:cs="Times New Roman"/>
          <w:sz w:val="16"/>
        </w:rPr>
        <w:t xml:space="preserve"> </w:t>
      </w:r>
      <w:r w:rsidR="004C2A11" w:rsidRPr="009C09BA">
        <w:rPr>
          <w:rFonts w:ascii="Times New Roman" w:hAnsi="Times New Roman" w:cs="Times New Roman"/>
          <w:sz w:val="16"/>
        </w:rPr>
        <w:t xml:space="preserve">                </w:t>
      </w:r>
      <w:r w:rsidR="00157C3A" w:rsidRPr="009C09BA">
        <w:rPr>
          <w:rFonts w:ascii="Times New Roman" w:hAnsi="Times New Roman" w:cs="Times New Roman"/>
          <w:sz w:val="16"/>
        </w:rPr>
        <w:t>F</w:t>
      </w:r>
      <w:r w:rsidR="007D4651" w:rsidRPr="009C09BA">
        <w:rPr>
          <w:rFonts w:ascii="Times New Roman" w:hAnsi="Times New Roman" w:cs="Times New Roman"/>
          <w:sz w:val="16"/>
        </w:rPr>
        <w:t>uente: Dirección de Análisis y Política fiscal</w:t>
      </w:r>
    </w:p>
    <w:p w:rsidR="00443689" w:rsidRPr="00062433" w:rsidRDefault="00443689" w:rsidP="007D4651">
      <w:pPr>
        <w:spacing w:after="0" w:line="240" w:lineRule="auto"/>
        <w:rPr>
          <w:rFonts w:ascii="Times New Roman" w:hAnsi="Times New Roman" w:cs="Times New Roman"/>
          <w:color w:val="FF0000"/>
          <w:sz w:val="14"/>
          <w:lang w:val="es-MX"/>
        </w:rPr>
      </w:pPr>
    </w:p>
    <w:p w:rsidR="00506BDB" w:rsidRPr="00865EB0" w:rsidRDefault="00506BDB" w:rsidP="007D4651">
      <w:pPr>
        <w:spacing w:after="0" w:line="240" w:lineRule="auto"/>
        <w:rPr>
          <w:rFonts w:ascii="Times New Roman" w:hAnsi="Times New Roman" w:cs="Times New Roman"/>
          <w:sz w:val="14"/>
          <w:lang w:val="es-MX"/>
        </w:rPr>
      </w:pPr>
    </w:p>
    <w:p w:rsidR="00F54627" w:rsidRPr="00865EB0" w:rsidRDefault="00F54627" w:rsidP="007D4651">
      <w:pPr>
        <w:spacing w:after="0" w:line="240" w:lineRule="auto"/>
        <w:rPr>
          <w:rFonts w:ascii="Times New Roman" w:hAnsi="Times New Roman" w:cs="Times New Roman"/>
          <w:sz w:val="28"/>
          <w:lang w:val="es-MX"/>
        </w:rPr>
        <w:sectPr w:rsidR="00F54627" w:rsidRPr="00865EB0" w:rsidSect="007D4651">
          <w:type w:val="continuous"/>
          <w:pgSz w:w="12240" w:h="15840" w:code="1"/>
          <w:pgMar w:top="1418" w:right="1418" w:bottom="1418" w:left="1418" w:header="709" w:footer="709" w:gutter="0"/>
          <w:cols w:space="708"/>
          <w:docGrid w:linePitch="360"/>
        </w:sectPr>
      </w:pPr>
    </w:p>
    <w:p w:rsidR="00E16925" w:rsidRPr="00865EB0" w:rsidRDefault="00275B04"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865EB0"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865EB0">
        <w:rPr>
          <w:rFonts w:ascii="Times New Roman" w:hAnsi="Times New Roman" w:cs="Times New Roman"/>
          <w:b/>
          <w:lang w:val="es-MX"/>
        </w:rPr>
        <w:lastRenderedPageBreak/>
        <w:t>L</w:t>
      </w:r>
      <w:r w:rsidR="009567D5" w:rsidRPr="00865EB0">
        <w:rPr>
          <w:rFonts w:ascii="Times New Roman" w:hAnsi="Times New Roman" w:cs="Times New Roman"/>
          <w:b/>
          <w:lang w:val="es-MX"/>
        </w:rPr>
        <w:t>os resultados en la</w:t>
      </w:r>
      <w:r w:rsidR="009E5BD2" w:rsidRPr="00865EB0">
        <w:rPr>
          <w:rFonts w:ascii="Times New Roman" w:hAnsi="Times New Roman" w:cs="Times New Roman"/>
          <w:b/>
          <w:lang w:val="es-MX"/>
        </w:rPr>
        <w:t xml:space="preserve"> recaudación </w:t>
      </w:r>
      <w:r w:rsidR="009567D5" w:rsidRPr="00865EB0">
        <w:rPr>
          <w:rFonts w:ascii="Times New Roman" w:hAnsi="Times New Roman" w:cs="Times New Roman"/>
          <w:b/>
          <w:lang w:val="es-MX"/>
        </w:rPr>
        <w:t xml:space="preserve">tributaria </w:t>
      </w:r>
      <w:r w:rsidRPr="00865EB0">
        <w:rPr>
          <w:rFonts w:ascii="Times New Roman" w:hAnsi="Times New Roman" w:cs="Times New Roman"/>
          <w:b/>
          <w:lang w:val="es-MX"/>
        </w:rPr>
        <w:t>refleja</w:t>
      </w:r>
      <w:r w:rsidR="009567D5" w:rsidRPr="00865EB0">
        <w:rPr>
          <w:rFonts w:ascii="Times New Roman" w:hAnsi="Times New Roman" w:cs="Times New Roman"/>
          <w:b/>
          <w:lang w:val="es-MX"/>
        </w:rPr>
        <w:t>n</w:t>
      </w:r>
      <w:r w:rsidR="009E5BD2" w:rsidRPr="00865EB0">
        <w:rPr>
          <w:rFonts w:ascii="Times New Roman" w:hAnsi="Times New Roman" w:cs="Times New Roman"/>
          <w:b/>
          <w:lang w:val="es-MX"/>
        </w:rPr>
        <w:t xml:space="preserve"> brecha positiva respecto a la</w:t>
      </w:r>
      <w:r w:rsidR="00080B88" w:rsidRPr="00865EB0">
        <w:rPr>
          <w:rFonts w:ascii="Times New Roman" w:hAnsi="Times New Roman" w:cs="Times New Roman"/>
          <w:b/>
          <w:lang w:val="es-MX"/>
        </w:rPr>
        <w:t xml:space="preserve"> meta de presupuesto</w:t>
      </w:r>
    </w:p>
    <w:p w:rsidR="00E16925" w:rsidRPr="00062433" w:rsidRDefault="00E16925" w:rsidP="00E16925">
      <w:pPr>
        <w:pStyle w:val="Sinespaciado"/>
        <w:rPr>
          <w:rFonts w:ascii="Times New Roman" w:hAnsi="Times New Roman" w:cs="Times New Roman"/>
          <w:b/>
          <w:color w:val="FF0000"/>
          <w:sz w:val="8"/>
          <w:lang w:val="es-MX"/>
        </w:rPr>
      </w:pPr>
    </w:p>
    <w:p w:rsidR="00E16925" w:rsidRPr="00062433" w:rsidRDefault="00E16925" w:rsidP="00E16925">
      <w:pPr>
        <w:pStyle w:val="Sinespaciado"/>
        <w:jc w:val="center"/>
        <w:rPr>
          <w:rFonts w:ascii="Times New Roman" w:hAnsi="Times New Roman" w:cs="Times New Roman"/>
          <w:b/>
          <w:color w:val="FF0000"/>
          <w:sz w:val="18"/>
          <w:lang w:val="es-MX"/>
        </w:rPr>
      </w:pPr>
    </w:p>
    <w:p w:rsidR="00343A5D" w:rsidRPr="00062433" w:rsidRDefault="00343A5D" w:rsidP="00F25E21">
      <w:pPr>
        <w:pStyle w:val="Sinespaciado"/>
        <w:rPr>
          <w:rFonts w:ascii="Times New Roman" w:hAnsi="Times New Roman" w:cs="Times New Roman"/>
          <w:b/>
          <w:color w:val="FF0000"/>
          <w:sz w:val="20"/>
          <w:lang w:val="es-MX"/>
        </w:rPr>
        <w:sectPr w:rsidR="00343A5D" w:rsidRPr="00062433" w:rsidSect="004E358C">
          <w:type w:val="continuous"/>
          <w:pgSz w:w="12240" w:h="15840"/>
          <w:pgMar w:top="1417" w:right="1701" w:bottom="1417" w:left="1701" w:header="708" w:footer="708" w:gutter="0"/>
          <w:cols w:space="708"/>
          <w:docGrid w:linePitch="360"/>
        </w:sectPr>
      </w:pPr>
    </w:p>
    <w:p w:rsidR="00506BDB" w:rsidRPr="00062433" w:rsidRDefault="00533602" w:rsidP="00F54627">
      <w:pPr>
        <w:spacing w:after="0" w:line="240" w:lineRule="auto"/>
        <w:jc w:val="both"/>
        <w:rPr>
          <w:rFonts w:ascii="Times New Roman" w:hAnsi="Times New Roman" w:cs="Times New Roman"/>
          <w:color w:val="FF0000"/>
        </w:rPr>
      </w:pPr>
      <w:r w:rsidRPr="002F6BAB">
        <w:rPr>
          <w:rFonts w:ascii="Times New Roman" w:hAnsi="Times New Roman" w:cs="Times New Roman"/>
        </w:rPr>
        <w:lastRenderedPageBreak/>
        <w:t>Datos preliminares acumulados al 30 de abril dan cuenta de una brecha positiva de Q2,</w:t>
      </w:r>
      <w:r>
        <w:rPr>
          <w:rFonts w:ascii="Times New Roman" w:hAnsi="Times New Roman" w:cs="Times New Roman"/>
        </w:rPr>
        <w:t>710.9</w:t>
      </w:r>
      <w:r w:rsidRPr="002F6BAB">
        <w:rPr>
          <w:rFonts w:ascii="Times New Roman" w:hAnsi="Times New Roman" w:cs="Times New Roman"/>
        </w:rPr>
        <w:t xml:space="preserve"> millones respecto a lo programado en presupuesto, aspectos relevantes que </w:t>
      </w:r>
      <w:r w:rsidRPr="002F6BAB">
        <w:rPr>
          <w:rFonts w:ascii="Times New Roman" w:hAnsi="Times New Roman" w:cs="Times New Roman"/>
        </w:rPr>
        <w:lastRenderedPageBreak/>
        <w:t xml:space="preserve">permitieron superar la meta es el esfuerzo realizados por SAT para aumentar la percepción de riesgo de los contribuyentes,  la SAT ha implementado en este ejercicio fiscal </w:t>
      </w:r>
      <w:r w:rsidRPr="002F6BAB">
        <w:rPr>
          <w:rFonts w:ascii="Times New Roman" w:hAnsi="Times New Roman" w:cs="Times New Roman"/>
        </w:rPr>
        <w:lastRenderedPageBreak/>
        <w:t>acciones para garantizar un  mayor control en los principales puertos y carreteras (marchamo electrónico</w:t>
      </w:r>
      <w:r>
        <w:rPr>
          <w:rFonts w:ascii="Times New Roman" w:hAnsi="Times New Roman" w:cs="Times New Roman"/>
        </w:rPr>
        <w:t xml:space="preserve"> y puestos de control interinstitucional</w:t>
      </w:r>
      <w:r w:rsidRPr="002F6BAB">
        <w:rPr>
          <w:rFonts w:ascii="Times New Roman" w:hAnsi="Times New Roman" w:cs="Times New Roman"/>
        </w:rPr>
        <w:t>), aumentar el cumplimiento tributario, y en el cobro judicial.</w:t>
      </w:r>
    </w:p>
    <w:p w:rsidR="009567D5" w:rsidRPr="00533602" w:rsidRDefault="009567D5" w:rsidP="00F54627">
      <w:pPr>
        <w:spacing w:after="0" w:line="240" w:lineRule="auto"/>
        <w:jc w:val="both"/>
        <w:rPr>
          <w:rFonts w:ascii="Times New Roman" w:hAnsi="Times New Roman" w:cs="Times New Roman"/>
        </w:rPr>
      </w:pPr>
    </w:p>
    <w:p w:rsidR="00F25E21" w:rsidRPr="00533602" w:rsidRDefault="00F25E21" w:rsidP="00F25E21">
      <w:pPr>
        <w:spacing w:after="0" w:line="240" w:lineRule="auto"/>
        <w:jc w:val="center"/>
        <w:rPr>
          <w:rFonts w:ascii="Times New Roman" w:hAnsi="Times New Roman" w:cs="Times New Roman"/>
          <w:b/>
        </w:rPr>
      </w:pPr>
      <w:r w:rsidRPr="00533602">
        <w:rPr>
          <w:rFonts w:ascii="Times New Roman" w:hAnsi="Times New Roman" w:cs="Times New Roman"/>
          <w:b/>
        </w:rPr>
        <w:t>Recaudación Tributaria</w:t>
      </w:r>
      <w:r w:rsidR="009567D5" w:rsidRPr="00533602">
        <w:rPr>
          <w:rFonts w:ascii="Times New Roman" w:hAnsi="Times New Roman" w:cs="Times New Roman"/>
          <w:b/>
        </w:rPr>
        <w:t xml:space="preserve"> Acumulada al 30 de abril</w:t>
      </w:r>
    </w:p>
    <w:p w:rsidR="00F25E21" w:rsidRPr="00533602" w:rsidRDefault="00F25E21" w:rsidP="00F25E21">
      <w:pPr>
        <w:spacing w:after="0" w:line="240" w:lineRule="auto"/>
        <w:jc w:val="center"/>
        <w:rPr>
          <w:rFonts w:ascii="Times New Roman" w:hAnsi="Times New Roman" w:cs="Times New Roman"/>
          <w:sz w:val="20"/>
        </w:rPr>
      </w:pPr>
      <w:r w:rsidRPr="00533602">
        <w:rPr>
          <w:rFonts w:ascii="Times New Roman" w:hAnsi="Times New Roman" w:cs="Times New Roman"/>
          <w:sz w:val="20"/>
        </w:rPr>
        <w:t>Millones de quetzales</w:t>
      </w:r>
    </w:p>
    <w:p w:rsidR="00F25E21" w:rsidRPr="00533602" w:rsidRDefault="00533602" w:rsidP="00E6202B">
      <w:pPr>
        <w:spacing w:after="0" w:line="240" w:lineRule="auto"/>
        <w:jc w:val="both"/>
        <w:rPr>
          <w:rFonts w:ascii="Times New Roman" w:hAnsi="Times New Roman" w:cs="Times New Roman"/>
        </w:rPr>
      </w:pPr>
      <w:r w:rsidRPr="00533602">
        <w:rPr>
          <w:rFonts w:ascii="Times New Roman" w:hAnsi="Times New Roman" w:cs="Times New Roman"/>
          <w:b/>
          <w:noProof/>
          <w:sz w:val="20"/>
          <w:lang w:eastAsia="es-GT"/>
        </w:rPr>
        <w:drawing>
          <wp:inline distT="0" distB="0" distL="0" distR="0" wp14:anchorId="59A39331" wp14:editId="7352AFB7">
            <wp:extent cx="2577465" cy="20647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25E21" w:rsidRPr="00533602">
        <w:rPr>
          <w:rFonts w:ascii="Times New Roman" w:hAnsi="Times New Roman" w:cs="Times New Roman"/>
          <w:sz w:val="16"/>
        </w:rPr>
        <w:t>Fuente: Ministerio de Finanzas Públicas</w:t>
      </w:r>
      <w:r w:rsidR="00080B88" w:rsidRPr="00533602">
        <w:rPr>
          <w:rFonts w:ascii="Times New Roman" w:hAnsi="Times New Roman" w:cs="Times New Roman"/>
          <w:sz w:val="16"/>
        </w:rPr>
        <w:t>.</w:t>
      </w:r>
    </w:p>
    <w:p w:rsidR="001A6038" w:rsidRPr="00062433" w:rsidRDefault="001A6038" w:rsidP="001A6038">
      <w:pPr>
        <w:spacing w:after="0" w:line="240" w:lineRule="auto"/>
        <w:jc w:val="both"/>
        <w:rPr>
          <w:rFonts w:ascii="Times New Roman" w:hAnsi="Times New Roman" w:cs="Times New Roman"/>
          <w:i/>
          <w:color w:val="FF0000"/>
        </w:rPr>
      </w:pPr>
    </w:p>
    <w:p w:rsidR="00865EB0" w:rsidRDefault="00865EB0" w:rsidP="00865EB0">
      <w:pPr>
        <w:spacing w:after="0" w:line="240" w:lineRule="auto"/>
        <w:jc w:val="both"/>
        <w:rPr>
          <w:rFonts w:ascii="Times New Roman" w:hAnsi="Times New Roman" w:cs="Times New Roman"/>
        </w:rPr>
      </w:pPr>
      <w:r w:rsidRPr="002F6BAB">
        <w:rPr>
          <w:rFonts w:ascii="Times New Roman" w:hAnsi="Times New Roman" w:cs="Times New Roman"/>
        </w:rPr>
        <w:t>Con relación a la recaudación de 2020</w:t>
      </w:r>
      <w:r>
        <w:rPr>
          <w:rFonts w:ascii="Times New Roman" w:hAnsi="Times New Roman" w:cs="Times New Roman"/>
        </w:rPr>
        <w:t>, en el presente año</w:t>
      </w:r>
      <w:r w:rsidRPr="002F6BAB">
        <w:rPr>
          <w:rFonts w:ascii="Times New Roman" w:hAnsi="Times New Roman" w:cs="Times New Roman"/>
        </w:rPr>
        <w:t xml:space="preserve"> se observa un crecimiento de 19.6% (Q4,</w:t>
      </w:r>
      <w:r>
        <w:rPr>
          <w:rFonts w:ascii="Times New Roman" w:hAnsi="Times New Roman" w:cs="Times New Roman"/>
        </w:rPr>
        <w:t xml:space="preserve">199.5 </w:t>
      </w:r>
      <w:r w:rsidRPr="002F6BAB">
        <w:rPr>
          <w:rFonts w:ascii="Times New Roman" w:hAnsi="Times New Roman" w:cs="Times New Roman"/>
        </w:rPr>
        <w:t>millones) de los cuales el impuesto a la renta y el IVA son los que mayor contribución tienen a esta brecha.</w:t>
      </w:r>
    </w:p>
    <w:p w:rsidR="00865EB0" w:rsidRPr="00205BF7" w:rsidRDefault="00865EB0" w:rsidP="00865EB0">
      <w:pPr>
        <w:spacing w:after="0" w:line="240" w:lineRule="auto"/>
        <w:jc w:val="both"/>
        <w:rPr>
          <w:rFonts w:ascii="Times New Roman" w:hAnsi="Times New Roman" w:cs="Times New Roman"/>
          <w:color w:val="FF0000"/>
        </w:rPr>
      </w:pPr>
    </w:p>
    <w:p w:rsidR="00E6202B" w:rsidRPr="00062433" w:rsidRDefault="00865EB0" w:rsidP="00865EB0">
      <w:pPr>
        <w:spacing w:after="0" w:line="240" w:lineRule="auto"/>
        <w:jc w:val="both"/>
        <w:rPr>
          <w:rFonts w:ascii="Times New Roman" w:hAnsi="Times New Roman" w:cs="Times New Roman"/>
          <w:color w:val="FF0000"/>
        </w:rPr>
      </w:pPr>
      <w:r w:rsidRPr="002F6BAB">
        <w:rPr>
          <w:rFonts w:ascii="Times New Roman" w:hAnsi="Times New Roman" w:cs="Times New Roman"/>
        </w:rPr>
        <w:t xml:space="preserve">Sobresale en la comparación interanual acumulada la recuperación de la recaudación asociada al comercio internacional la cual al 30 de abril crece en 30.1% (Q1,579.9 millones) respecto a lo observado en 2020, el IVA de importaciones supera lo observado en  Q1,357.2 millones y los derechos arancelarios en Q222.7 millones, este crecimiento en las cifras de comercio para el ejercicio 2021 se ve influenciado por el efecto de la pandemia del virus SARS-COV2 en 2020 en el cual se contrajeron las negociaciones comerciales producto de las medidas adoptadas por los gobiernos, en 2019 las importaciones gravadas acumuladas al mes de abril crecían en 4.4% </w:t>
      </w:r>
      <w:r w:rsidRPr="002F6BAB">
        <w:rPr>
          <w:rFonts w:ascii="Times New Roman" w:hAnsi="Times New Roman" w:cs="Times New Roman"/>
        </w:rPr>
        <w:lastRenderedPageBreak/>
        <w:t>para el 2020 caían en -4.0%</w:t>
      </w:r>
      <w:r>
        <w:rPr>
          <w:rFonts w:ascii="Times New Roman" w:hAnsi="Times New Roman" w:cs="Times New Roman"/>
        </w:rPr>
        <w:t>.  P</w:t>
      </w:r>
      <w:r w:rsidRPr="002F6BAB">
        <w:rPr>
          <w:rFonts w:ascii="Times New Roman" w:hAnsi="Times New Roman" w:cs="Times New Roman"/>
        </w:rPr>
        <w:t xml:space="preserve">ara el 2021 se observa un crecimiento de </w:t>
      </w:r>
      <w:r>
        <w:rPr>
          <w:rFonts w:ascii="Times New Roman" w:hAnsi="Times New Roman" w:cs="Times New Roman"/>
        </w:rPr>
        <w:t>20</w:t>
      </w:r>
      <w:r w:rsidRPr="002F6BAB">
        <w:rPr>
          <w:rFonts w:ascii="Times New Roman" w:hAnsi="Times New Roman" w:cs="Times New Roman"/>
        </w:rPr>
        <w:t>%.</w:t>
      </w:r>
    </w:p>
    <w:p w:rsidR="004456FD" w:rsidRPr="00062433" w:rsidRDefault="004456FD" w:rsidP="00DC711C">
      <w:pPr>
        <w:spacing w:after="0" w:line="240" w:lineRule="auto"/>
        <w:jc w:val="both"/>
        <w:rPr>
          <w:rFonts w:ascii="Times New Roman" w:hAnsi="Times New Roman" w:cs="Times New Roman"/>
          <w:color w:val="FF0000"/>
        </w:rPr>
      </w:pPr>
    </w:p>
    <w:p w:rsidR="00F25E21" w:rsidRPr="00865EB0" w:rsidRDefault="00F25E21" w:rsidP="00DC711C">
      <w:pPr>
        <w:spacing w:after="0" w:line="240" w:lineRule="auto"/>
        <w:jc w:val="center"/>
        <w:rPr>
          <w:rFonts w:ascii="Times New Roman" w:hAnsi="Times New Roman" w:cs="Times New Roman"/>
          <w:b/>
        </w:rPr>
      </w:pPr>
      <w:r w:rsidRPr="00865EB0">
        <w:rPr>
          <w:rFonts w:ascii="Times New Roman" w:hAnsi="Times New Roman" w:cs="Times New Roman"/>
          <w:b/>
        </w:rPr>
        <w:t xml:space="preserve">Variación interanual </w:t>
      </w:r>
      <w:r w:rsidR="0002628B" w:rsidRPr="00865EB0">
        <w:rPr>
          <w:rFonts w:ascii="Times New Roman" w:hAnsi="Times New Roman" w:cs="Times New Roman"/>
          <w:b/>
        </w:rPr>
        <w:t xml:space="preserve">acumulada </w:t>
      </w:r>
      <w:r w:rsidRPr="00865EB0">
        <w:rPr>
          <w:rFonts w:ascii="Times New Roman" w:hAnsi="Times New Roman" w:cs="Times New Roman"/>
          <w:b/>
        </w:rPr>
        <w:t>de la recaudación</w:t>
      </w:r>
      <w:r w:rsidR="00DC711C" w:rsidRPr="00865EB0">
        <w:rPr>
          <w:rFonts w:ascii="Times New Roman" w:hAnsi="Times New Roman" w:cs="Times New Roman"/>
          <w:b/>
        </w:rPr>
        <w:t xml:space="preserve"> tributaria neta </w:t>
      </w:r>
      <w:r w:rsidR="00F54627" w:rsidRPr="00865EB0">
        <w:rPr>
          <w:rFonts w:ascii="Times New Roman" w:hAnsi="Times New Roman" w:cs="Times New Roman"/>
          <w:b/>
        </w:rPr>
        <w:t>2012-2021</w:t>
      </w:r>
    </w:p>
    <w:p w:rsidR="00F25E21" w:rsidRPr="00865EB0" w:rsidRDefault="00F25E21" w:rsidP="00F25E21">
      <w:pPr>
        <w:spacing w:after="0" w:line="240" w:lineRule="auto"/>
        <w:jc w:val="center"/>
        <w:rPr>
          <w:rFonts w:ascii="Times New Roman" w:hAnsi="Times New Roman" w:cs="Times New Roman"/>
          <w:sz w:val="20"/>
        </w:rPr>
      </w:pPr>
      <w:r w:rsidRPr="00865EB0">
        <w:rPr>
          <w:rFonts w:ascii="Times New Roman" w:hAnsi="Times New Roman" w:cs="Times New Roman"/>
          <w:sz w:val="20"/>
        </w:rPr>
        <w:t>Porcentajes</w:t>
      </w:r>
    </w:p>
    <w:p w:rsidR="00F25E21" w:rsidRPr="00865EB0" w:rsidRDefault="00865EB0" w:rsidP="00F25E21">
      <w:pPr>
        <w:spacing w:after="0" w:line="240" w:lineRule="auto"/>
        <w:jc w:val="both"/>
        <w:rPr>
          <w:rFonts w:ascii="Times New Roman" w:hAnsi="Times New Roman" w:cs="Times New Roman"/>
        </w:rPr>
      </w:pPr>
      <w:r w:rsidRPr="00865EB0">
        <w:rPr>
          <w:rFonts w:ascii="Times New Roman" w:hAnsi="Times New Roman" w:cs="Times New Roman"/>
          <w:noProof/>
          <w:lang w:eastAsia="es-GT"/>
        </w:rPr>
        <w:drawing>
          <wp:inline distT="0" distB="0" distL="0" distR="0" wp14:anchorId="124D7188" wp14:editId="4009349D">
            <wp:extent cx="2577465" cy="181259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5E21" w:rsidRPr="00865EB0" w:rsidRDefault="00F25E21" w:rsidP="00F54627">
      <w:pPr>
        <w:spacing w:after="0" w:line="240" w:lineRule="auto"/>
        <w:jc w:val="both"/>
        <w:rPr>
          <w:rFonts w:ascii="Times New Roman" w:hAnsi="Times New Roman" w:cs="Times New Roman"/>
          <w:sz w:val="16"/>
        </w:rPr>
      </w:pPr>
      <w:r w:rsidRPr="00865EB0">
        <w:rPr>
          <w:rFonts w:ascii="Times New Roman" w:hAnsi="Times New Roman" w:cs="Times New Roman"/>
          <w:sz w:val="16"/>
        </w:rPr>
        <w:t>Fuente: Ministerio de Finanzas Públicas</w:t>
      </w:r>
      <w:r w:rsidR="00080B88" w:rsidRPr="00865EB0">
        <w:rPr>
          <w:rFonts w:ascii="Times New Roman" w:hAnsi="Times New Roman" w:cs="Times New Roman"/>
          <w:sz w:val="16"/>
        </w:rPr>
        <w:t>.</w:t>
      </w:r>
    </w:p>
    <w:p w:rsidR="00F54627" w:rsidRPr="00062433" w:rsidRDefault="00F54627" w:rsidP="00F54627">
      <w:pPr>
        <w:spacing w:after="0" w:line="240" w:lineRule="auto"/>
        <w:jc w:val="both"/>
        <w:rPr>
          <w:rFonts w:ascii="Times New Roman" w:hAnsi="Times New Roman" w:cs="Times New Roman"/>
          <w:color w:val="FF0000"/>
          <w:sz w:val="16"/>
        </w:rPr>
      </w:pPr>
    </w:p>
    <w:p w:rsidR="00DC711C" w:rsidRDefault="00865EB0" w:rsidP="00865EB0">
      <w:pPr>
        <w:spacing w:after="0" w:line="240" w:lineRule="auto"/>
        <w:jc w:val="both"/>
        <w:rPr>
          <w:rFonts w:ascii="Times New Roman" w:hAnsi="Times New Roman" w:cs="Times New Roman"/>
          <w:b/>
          <w:bCs/>
          <w:color w:val="FF0000"/>
        </w:rPr>
      </w:pPr>
      <w:r w:rsidRPr="002F6BAB">
        <w:rPr>
          <w:rFonts w:ascii="Times New Roman" w:hAnsi="Times New Roman" w:cs="Times New Roman"/>
        </w:rPr>
        <w:t>La recaudación tributaria del mes de abril superó la meta establecida en presupuesto en casi todos los impuestos excepto el impuesto a los tabacos el cual dejó de percibir Q3.</w:t>
      </w:r>
      <w:r>
        <w:rPr>
          <w:rFonts w:ascii="Times New Roman" w:hAnsi="Times New Roman" w:cs="Times New Roman"/>
        </w:rPr>
        <w:t>7</w:t>
      </w:r>
      <w:r w:rsidRPr="002F6BAB">
        <w:rPr>
          <w:rFonts w:ascii="Times New Roman" w:hAnsi="Times New Roman" w:cs="Times New Roman"/>
        </w:rPr>
        <w:t xml:space="preserve"> millones y en los no administrados por SAT (impuesto a las regalías e hidrocarburos compartibles) que en conjunto suman Q</w:t>
      </w:r>
      <w:r>
        <w:rPr>
          <w:rFonts w:ascii="Times New Roman" w:hAnsi="Times New Roman" w:cs="Times New Roman"/>
        </w:rPr>
        <w:t>2.5</w:t>
      </w:r>
      <w:r w:rsidRPr="002F6BAB">
        <w:rPr>
          <w:rFonts w:ascii="Times New Roman" w:hAnsi="Times New Roman" w:cs="Times New Roman"/>
        </w:rPr>
        <w:t xml:space="preserve"> millones</w:t>
      </w:r>
      <w:r>
        <w:rPr>
          <w:rFonts w:ascii="Times New Roman" w:hAnsi="Times New Roman" w:cs="Times New Roman"/>
        </w:rPr>
        <w:t>.</w:t>
      </w:r>
    </w:p>
    <w:p w:rsidR="00865EB0" w:rsidRPr="00062433" w:rsidRDefault="00865EB0" w:rsidP="00865EB0">
      <w:pPr>
        <w:spacing w:after="0" w:line="240" w:lineRule="auto"/>
        <w:jc w:val="both"/>
        <w:rPr>
          <w:rFonts w:ascii="Times New Roman" w:hAnsi="Times New Roman" w:cs="Times New Roman"/>
          <w:color w:val="FF0000"/>
          <w:sz w:val="16"/>
        </w:rPr>
      </w:pPr>
    </w:p>
    <w:p w:rsidR="00F25E21" w:rsidRPr="00865EB0" w:rsidRDefault="003B7D31" w:rsidP="00080B88">
      <w:pPr>
        <w:spacing w:after="0" w:line="240" w:lineRule="auto"/>
        <w:jc w:val="both"/>
        <w:rPr>
          <w:rFonts w:ascii="Times New Roman" w:hAnsi="Times New Roman" w:cs="Times New Roman"/>
          <w:b/>
        </w:rPr>
      </w:pPr>
      <w:r w:rsidRPr="00865EB0">
        <w:rPr>
          <w:rFonts w:ascii="Times New Roman" w:hAnsi="Times New Roman" w:cs="Times New Roman"/>
          <w:b/>
        </w:rPr>
        <w:t>El Impuesto sobre</w:t>
      </w:r>
      <w:r w:rsidR="00F25E21" w:rsidRPr="00865EB0">
        <w:rPr>
          <w:rFonts w:ascii="Times New Roman" w:hAnsi="Times New Roman" w:cs="Times New Roman"/>
          <w:b/>
        </w:rPr>
        <w:t xml:space="preserve"> la renta y el ISO</w:t>
      </w:r>
    </w:p>
    <w:p w:rsidR="00080B88" w:rsidRPr="00062433" w:rsidRDefault="00080B88" w:rsidP="00080B88">
      <w:pPr>
        <w:spacing w:after="0" w:line="240" w:lineRule="auto"/>
        <w:jc w:val="both"/>
        <w:rPr>
          <w:rFonts w:ascii="Times New Roman" w:hAnsi="Times New Roman" w:cs="Times New Roman"/>
          <w:b/>
          <w:color w:val="FF0000"/>
          <w:sz w:val="18"/>
        </w:rPr>
      </w:pPr>
    </w:p>
    <w:p w:rsidR="00865EB0" w:rsidRDefault="00865EB0" w:rsidP="00865EB0">
      <w:pPr>
        <w:spacing w:after="0" w:line="240" w:lineRule="auto"/>
        <w:jc w:val="both"/>
        <w:rPr>
          <w:rFonts w:ascii="Times New Roman" w:hAnsi="Times New Roman" w:cs="Times New Roman"/>
        </w:rPr>
      </w:pPr>
      <w:r w:rsidRPr="002F6BAB">
        <w:rPr>
          <w:rFonts w:ascii="Times New Roman" w:hAnsi="Times New Roman" w:cs="Times New Roman"/>
        </w:rPr>
        <w:t>En abril se tiene vencimiento del primer pago trimestral del impuesto sobre la renta -ISR- y de</w:t>
      </w:r>
      <w:r>
        <w:rPr>
          <w:rFonts w:ascii="Times New Roman" w:hAnsi="Times New Roman" w:cs="Times New Roman"/>
        </w:rPr>
        <w:t>l impuesto de solidaridad -ISO-.  E</w:t>
      </w:r>
      <w:r w:rsidRPr="002F6BAB">
        <w:rPr>
          <w:rFonts w:ascii="Times New Roman" w:hAnsi="Times New Roman" w:cs="Times New Roman"/>
        </w:rPr>
        <w:t xml:space="preserve">l ISR de abril superó la meta de presupuesto en Q825.4 millones, </w:t>
      </w:r>
      <w:r>
        <w:rPr>
          <w:rFonts w:ascii="Times New Roman" w:hAnsi="Times New Roman" w:cs="Times New Roman"/>
        </w:rPr>
        <w:t>y e</w:t>
      </w:r>
      <w:r w:rsidRPr="002F6BAB">
        <w:rPr>
          <w:rFonts w:ascii="Times New Roman" w:hAnsi="Times New Roman" w:cs="Times New Roman"/>
        </w:rPr>
        <w:t xml:space="preserve">l ISO </w:t>
      </w:r>
      <w:r>
        <w:rPr>
          <w:rFonts w:ascii="Times New Roman" w:hAnsi="Times New Roman" w:cs="Times New Roman"/>
        </w:rPr>
        <w:t>superó</w:t>
      </w:r>
      <w:r w:rsidRPr="002F6BAB">
        <w:rPr>
          <w:rFonts w:ascii="Times New Roman" w:hAnsi="Times New Roman" w:cs="Times New Roman"/>
        </w:rPr>
        <w:t xml:space="preserve"> la meta en Q</w:t>
      </w:r>
      <w:r>
        <w:rPr>
          <w:rFonts w:ascii="Times New Roman" w:hAnsi="Times New Roman" w:cs="Times New Roman"/>
        </w:rPr>
        <w:t>19.5</w:t>
      </w:r>
      <w:r w:rsidRPr="002F6BAB">
        <w:rPr>
          <w:rFonts w:ascii="Times New Roman" w:hAnsi="Times New Roman" w:cs="Times New Roman"/>
        </w:rPr>
        <w:t xml:space="preserve"> millones. </w:t>
      </w:r>
    </w:p>
    <w:p w:rsidR="00865EB0" w:rsidRDefault="00865EB0" w:rsidP="00865EB0">
      <w:pPr>
        <w:spacing w:after="0" w:line="240" w:lineRule="auto"/>
        <w:jc w:val="both"/>
        <w:rPr>
          <w:rFonts w:ascii="Times New Roman" w:hAnsi="Times New Roman" w:cs="Times New Roman"/>
        </w:rPr>
      </w:pPr>
    </w:p>
    <w:p w:rsidR="00DC711C" w:rsidRPr="00062433" w:rsidRDefault="00865EB0" w:rsidP="00865EB0">
      <w:pPr>
        <w:spacing w:after="0" w:line="240" w:lineRule="auto"/>
        <w:jc w:val="both"/>
        <w:rPr>
          <w:rFonts w:ascii="Times New Roman" w:hAnsi="Times New Roman" w:cs="Times New Roman"/>
          <w:color w:val="FF0000"/>
        </w:rPr>
      </w:pPr>
      <w:r w:rsidRPr="002F6BAB">
        <w:rPr>
          <w:rFonts w:ascii="Times New Roman" w:hAnsi="Times New Roman" w:cs="Times New Roman"/>
        </w:rPr>
        <w:t>De manera acumula estos dos impuestos generan una brecha positiva al 30 de abril de Q1,3</w:t>
      </w:r>
      <w:r>
        <w:rPr>
          <w:rFonts w:ascii="Times New Roman" w:hAnsi="Times New Roman" w:cs="Times New Roman"/>
        </w:rPr>
        <w:t xml:space="preserve">53.0 </w:t>
      </w:r>
      <w:r w:rsidRPr="002F6BAB">
        <w:rPr>
          <w:rFonts w:ascii="Times New Roman" w:hAnsi="Times New Roman" w:cs="Times New Roman"/>
        </w:rPr>
        <w:t>millones respecto a la meta de presupuesto y con relación al año 2020 se observa una brecha de Q1,4</w:t>
      </w:r>
      <w:r>
        <w:rPr>
          <w:rFonts w:ascii="Times New Roman" w:hAnsi="Times New Roman" w:cs="Times New Roman"/>
        </w:rPr>
        <w:t xml:space="preserve">28.4 </w:t>
      </w:r>
      <w:r w:rsidRPr="002F6BAB">
        <w:rPr>
          <w:rFonts w:ascii="Times New Roman" w:hAnsi="Times New Roman" w:cs="Times New Roman"/>
        </w:rPr>
        <w:t xml:space="preserve">millones, </w:t>
      </w:r>
      <w:r>
        <w:rPr>
          <w:rFonts w:ascii="Times New Roman" w:hAnsi="Times New Roman" w:cs="Times New Roman"/>
        </w:rPr>
        <w:t>E</w:t>
      </w:r>
      <w:r w:rsidRPr="002F6BAB">
        <w:rPr>
          <w:rFonts w:ascii="Times New Roman" w:hAnsi="Times New Roman" w:cs="Times New Roman"/>
        </w:rPr>
        <w:t>l ISR del primer trimestre de 2021 es ligeramente inferior del observado en 2017 (19.74%) el cual incluía Q66.7 millones extraordinarios por concepto cobro judicial.</w:t>
      </w:r>
    </w:p>
    <w:p w:rsidR="008D6C33" w:rsidRPr="00865EB0" w:rsidRDefault="008D6C33" w:rsidP="008D6C33">
      <w:pPr>
        <w:spacing w:after="0" w:line="240" w:lineRule="auto"/>
        <w:jc w:val="center"/>
        <w:rPr>
          <w:rFonts w:ascii="Times New Roman" w:hAnsi="Times New Roman" w:cs="Times New Roman"/>
          <w:b/>
          <w:szCs w:val="18"/>
        </w:rPr>
      </w:pPr>
      <w:r w:rsidRPr="00865EB0">
        <w:rPr>
          <w:rFonts w:ascii="Times New Roman" w:hAnsi="Times New Roman" w:cs="Times New Roman"/>
          <w:b/>
          <w:szCs w:val="18"/>
        </w:rPr>
        <w:lastRenderedPageBreak/>
        <w:t>Variación del ISR e ISO Acumulada al 30 de abril</w:t>
      </w:r>
    </w:p>
    <w:p w:rsidR="008D6C33" w:rsidRPr="00865EB0" w:rsidRDefault="008D6C33" w:rsidP="008D6C33">
      <w:pPr>
        <w:spacing w:after="0" w:line="240" w:lineRule="auto"/>
        <w:jc w:val="center"/>
        <w:rPr>
          <w:rFonts w:ascii="Times New Roman" w:hAnsi="Times New Roman" w:cs="Times New Roman"/>
          <w:sz w:val="20"/>
        </w:rPr>
      </w:pPr>
      <w:r w:rsidRPr="00865EB0">
        <w:rPr>
          <w:rFonts w:ascii="Times New Roman" w:hAnsi="Times New Roman" w:cs="Times New Roman"/>
          <w:sz w:val="18"/>
          <w:szCs w:val="20"/>
        </w:rPr>
        <w:t>Porcentajes</w:t>
      </w:r>
    </w:p>
    <w:p w:rsidR="008D6C33" w:rsidRPr="00865EB0" w:rsidRDefault="00865EB0" w:rsidP="008D6C33">
      <w:pPr>
        <w:spacing w:after="0" w:line="240" w:lineRule="auto"/>
        <w:jc w:val="both"/>
        <w:rPr>
          <w:rFonts w:ascii="Times New Roman" w:hAnsi="Times New Roman" w:cs="Times New Roman"/>
        </w:rPr>
      </w:pPr>
      <w:r w:rsidRPr="00865EB0">
        <w:rPr>
          <w:rFonts w:ascii="Times New Roman" w:hAnsi="Times New Roman" w:cs="Times New Roman"/>
          <w:noProof/>
          <w:lang w:eastAsia="es-GT"/>
        </w:rPr>
        <w:drawing>
          <wp:inline distT="0" distB="0" distL="0" distR="0" wp14:anchorId="0ADAE178" wp14:editId="0A087643">
            <wp:extent cx="2676525" cy="17526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6C33" w:rsidRPr="00865EB0" w:rsidRDefault="008D6C33" w:rsidP="008D6C33">
      <w:pPr>
        <w:spacing w:after="0" w:line="240" w:lineRule="auto"/>
        <w:jc w:val="both"/>
        <w:rPr>
          <w:rFonts w:ascii="Times New Roman" w:hAnsi="Times New Roman" w:cs="Times New Roman"/>
          <w:sz w:val="16"/>
        </w:rPr>
      </w:pPr>
      <w:r w:rsidRPr="00865EB0">
        <w:rPr>
          <w:rFonts w:ascii="Times New Roman" w:hAnsi="Times New Roman" w:cs="Times New Roman"/>
          <w:sz w:val="16"/>
        </w:rPr>
        <w:t>Fuente: Ministerio de Finanzas Públicas</w:t>
      </w:r>
    </w:p>
    <w:p w:rsidR="00DC711C" w:rsidRPr="00865EB0" w:rsidRDefault="00DC711C" w:rsidP="00DC711C">
      <w:pPr>
        <w:spacing w:after="0" w:line="240" w:lineRule="auto"/>
        <w:jc w:val="both"/>
        <w:rPr>
          <w:rFonts w:ascii="Times New Roman" w:hAnsi="Times New Roman" w:cs="Times New Roman"/>
        </w:rPr>
      </w:pPr>
    </w:p>
    <w:p w:rsidR="00F25E21" w:rsidRPr="00865EB0" w:rsidRDefault="00F25E21" w:rsidP="00080B88">
      <w:pPr>
        <w:spacing w:after="0" w:line="240" w:lineRule="auto"/>
        <w:jc w:val="both"/>
        <w:rPr>
          <w:rFonts w:ascii="Times New Roman" w:hAnsi="Times New Roman" w:cs="Times New Roman"/>
          <w:b/>
        </w:rPr>
      </w:pPr>
      <w:r w:rsidRPr="00865EB0">
        <w:rPr>
          <w:rFonts w:ascii="Times New Roman" w:hAnsi="Times New Roman" w:cs="Times New Roman"/>
          <w:b/>
        </w:rPr>
        <w:t xml:space="preserve">El </w:t>
      </w:r>
      <w:r w:rsidR="00DE6FB7" w:rsidRPr="00865EB0">
        <w:rPr>
          <w:rFonts w:ascii="Times New Roman" w:hAnsi="Times New Roman" w:cs="Times New Roman"/>
          <w:b/>
        </w:rPr>
        <w:t>Impuesto al V</w:t>
      </w:r>
      <w:r w:rsidRPr="00865EB0">
        <w:rPr>
          <w:rFonts w:ascii="Times New Roman" w:hAnsi="Times New Roman" w:cs="Times New Roman"/>
          <w:b/>
        </w:rPr>
        <w:t xml:space="preserve">alor </w:t>
      </w:r>
      <w:r w:rsidR="00DE6FB7" w:rsidRPr="00865EB0">
        <w:rPr>
          <w:rFonts w:ascii="Times New Roman" w:hAnsi="Times New Roman" w:cs="Times New Roman"/>
          <w:b/>
        </w:rPr>
        <w:t>A</w:t>
      </w:r>
      <w:r w:rsidRPr="00865EB0">
        <w:rPr>
          <w:rFonts w:ascii="Times New Roman" w:hAnsi="Times New Roman" w:cs="Times New Roman"/>
          <w:b/>
        </w:rPr>
        <w:t>gregado</w:t>
      </w:r>
    </w:p>
    <w:p w:rsidR="00080B88" w:rsidRPr="00865EB0" w:rsidRDefault="00080B88" w:rsidP="00080B88">
      <w:pPr>
        <w:spacing w:after="0" w:line="240" w:lineRule="auto"/>
        <w:jc w:val="both"/>
        <w:rPr>
          <w:rFonts w:ascii="Times New Roman" w:hAnsi="Times New Roman" w:cs="Times New Roman"/>
          <w:b/>
        </w:rPr>
      </w:pPr>
    </w:p>
    <w:p w:rsidR="00865EB0" w:rsidRPr="00865EB0" w:rsidRDefault="00865EB0" w:rsidP="00865EB0">
      <w:pPr>
        <w:spacing w:after="0" w:line="240" w:lineRule="auto"/>
        <w:jc w:val="both"/>
        <w:rPr>
          <w:rFonts w:ascii="Times New Roman" w:hAnsi="Times New Roman" w:cs="Times New Roman"/>
        </w:rPr>
      </w:pPr>
      <w:r w:rsidRPr="00865EB0">
        <w:rPr>
          <w:rFonts w:ascii="Times New Roman" w:hAnsi="Times New Roman" w:cs="Times New Roman"/>
        </w:rPr>
        <w:t>Este impuesto ha recobrado su dinámica en el primer cuatrimestre esto influenciado principalmente por un aumento en el consumo el cual puede haberse dinamizado por mayor disponibilidad de recursos ante una recuperación en las remesas familiares que a marzo han superado lo observado en los últimos 10 años, para 2021 se observa un crecimiento de 31.2%, el promedio de los últimos 10 años es de 10.5%.</w:t>
      </w:r>
    </w:p>
    <w:p w:rsidR="00865EB0" w:rsidRPr="00865EB0" w:rsidRDefault="00865EB0" w:rsidP="00865EB0">
      <w:pPr>
        <w:spacing w:after="0" w:line="240" w:lineRule="auto"/>
        <w:jc w:val="both"/>
        <w:rPr>
          <w:rFonts w:ascii="Times New Roman" w:hAnsi="Times New Roman" w:cs="Times New Roman"/>
        </w:rPr>
      </w:pPr>
    </w:p>
    <w:p w:rsidR="00865EB0" w:rsidRPr="00865EB0" w:rsidRDefault="00865EB0" w:rsidP="00865EB0">
      <w:pPr>
        <w:spacing w:after="0" w:line="240" w:lineRule="auto"/>
        <w:jc w:val="both"/>
        <w:rPr>
          <w:rFonts w:ascii="Times New Roman" w:hAnsi="Times New Roman" w:cs="Times New Roman"/>
        </w:rPr>
      </w:pPr>
      <w:r w:rsidRPr="00865EB0">
        <w:rPr>
          <w:rFonts w:ascii="Times New Roman" w:hAnsi="Times New Roman" w:cs="Times New Roman"/>
        </w:rPr>
        <w:t xml:space="preserve">El IVA total genera una brecha mensual de Q560.8 millones respecto a la meta de presupuesto, el impuesto al valor agregado asociado al consumo interno de abril superó la meta de presupuesto en Q175.6 millones, el IVA asociado al comercio exterior supera lo programado en presupuesto en Q385.2 millones, con relación al año anterior estos dos </w:t>
      </w:r>
      <w:r w:rsidRPr="00865EB0">
        <w:rPr>
          <w:rFonts w:ascii="Times New Roman" w:hAnsi="Times New Roman" w:cs="Times New Roman"/>
        </w:rPr>
        <w:lastRenderedPageBreak/>
        <w:t>impuestos superan lo observado en Q323.9 millones siendo el IVA asociado al comercio exterior el que más aporta Q600.4 millones mientras que el IVA doméstico presentó brecha negativa de Q276.5 millones en el mes.</w:t>
      </w:r>
    </w:p>
    <w:p w:rsidR="008D6C33" w:rsidRPr="00865EB0" w:rsidRDefault="00865EB0" w:rsidP="00865EB0">
      <w:pPr>
        <w:spacing w:after="0" w:line="240" w:lineRule="auto"/>
        <w:jc w:val="both"/>
        <w:rPr>
          <w:rFonts w:ascii="Times New Roman" w:hAnsi="Times New Roman" w:cs="Times New Roman"/>
        </w:rPr>
      </w:pPr>
      <w:r w:rsidRPr="00865EB0">
        <w:rPr>
          <w:rFonts w:ascii="Times New Roman" w:hAnsi="Times New Roman" w:cs="Times New Roman"/>
        </w:rPr>
        <w:t>De manera acumulada este impuesto genera brecha positiva de Q960.7 millones respecto a la meta de presupuesto y de Q2,098.8 millones respecto a 2020.</w:t>
      </w:r>
    </w:p>
    <w:p w:rsidR="008D6C33" w:rsidRPr="00865EB0" w:rsidRDefault="008D6C33" w:rsidP="008D6C33">
      <w:pPr>
        <w:spacing w:after="0" w:line="240" w:lineRule="auto"/>
        <w:jc w:val="both"/>
        <w:rPr>
          <w:rFonts w:ascii="Times New Roman" w:hAnsi="Times New Roman" w:cs="Times New Roman"/>
        </w:rPr>
      </w:pPr>
    </w:p>
    <w:p w:rsidR="00F25E21" w:rsidRPr="00865EB0" w:rsidRDefault="00F25E21" w:rsidP="00080B88">
      <w:pPr>
        <w:spacing w:after="0" w:line="240" w:lineRule="auto"/>
        <w:jc w:val="both"/>
        <w:rPr>
          <w:rFonts w:ascii="Times New Roman" w:hAnsi="Times New Roman" w:cs="Times New Roman"/>
          <w:b/>
          <w:bCs/>
        </w:rPr>
      </w:pPr>
      <w:r w:rsidRPr="00865EB0">
        <w:rPr>
          <w:rFonts w:ascii="Times New Roman" w:hAnsi="Times New Roman" w:cs="Times New Roman"/>
          <w:b/>
          <w:bCs/>
        </w:rPr>
        <w:t>Los demás impuestos</w:t>
      </w:r>
    </w:p>
    <w:p w:rsidR="00DC711C" w:rsidRPr="00865EB0" w:rsidRDefault="00DC711C" w:rsidP="00080B88">
      <w:pPr>
        <w:spacing w:after="0" w:line="240" w:lineRule="auto"/>
        <w:jc w:val="both"/>
        <w:rPr>
          <w:rFonts w:ascii="Times New Roman" w:hAnsi="Times New Roman" w:cs="Times New Roman"/>
          <w:b/>
          <w:bCs/>
        </w:rPr>
      </w:pPr>
    </w:p>
    <w:p w:rsidR="00865EB0" w:rsidRPr="00865EB0" w:rsidRDefault="00865EB0" w:rsidP="00865EB0">
      <w:pPr>
        <w:spacing w:after="0" w:line="240" w:lineRule="auto"/>
        <w:jc w:val="both"/>
        <w:rPr>
          <w:rFonts w:ascii="Times New Roman" w:hAnsi="Times New Roman" w:cs="Times New Roman"/>
        </w:rPr>
      </w:pPr>
      <w:r w:rsidRPr="00865EB0">
        <w:rPr>
          <w:rFonts w:ascii="Times New Roman" w:hAnsi="Times New Roman" w:cs="Times New Roman"/>
        </w:rPr>
        <w:t>De los demás impuestos, en abril destaca que los impuestos no administrados por SAT y el de tabacos no alcanzaron la meta de presupuesto generando una brecha en conjunto de Q6.2 millones, los demás impuestos superaron la meta siendo el impuesto a las bebidas el que mayor aporte tuvo generando una brecha positiva de Q35.8 millones respecto a la meta de presupuesto.</w:t>
      </w:r>
    </w:p>
    <w:p w:rsidR="00865EB0" w:rsidRPr="00865EB0" w:rsidRDefault="00865EB0" w:rsidP="00865EB0">
      <w:pPr>
        <w:spacing w:after="0" w:line="240" w:lineRule="auto"/>
        <w:jc w:val="both"/>
        <w:rPr>
          <w:rFonts w:ascii="Times New Roman" w:hAnsi="Times New Roman" w:cs="Times New Roman"/>
        </w:rPr>
      </w:pPr>
    </w:p>
    <w:p w:rsidR="00865EB0" w:rsidRPr="00865EB0" w:rsidRDefault="00865EB0" w:rsidP="00865EB0">
      <w:pPr>
        <w:spacing w:after="0" w:line="240" w:lineRule="auto"/>
        <w:jc w:val="both"/>
        <w:rPr>
          <w:rFonts w:ascii="Times New Roman" w:hAnsi="Times New Roman" w:cs="Times New Roman"/>
          <w:noProof/>
        </w:rPr>
      </w:pPr>
      <w:r w:rsidRPr="00865EB0">
        <w:rPr>
          <w:rFonts w:ascii="Times New Roman" w:hAnsi="Times New Roman" w:cs="Times New Roman"/>
        </w:rPr>
        <w:t>De manera acumulada el impuesto a los tabacos genera brecha negativa de Q30.2 millones y el impuesto de salidas del país Q56.8 millones.</w:t>
      </w:r>
      <w:r w:rsidRPr="00865EB0">
        <w:rPr>
          <w:rFonts w:ascii="Times New Roman" w:hAnsi="Times New Roman" w:cs="Times New Roman"/>
          <w:noProof/>
        </w:rPr>
        <w:t xml:space="preserve"> </w:t>
      </w:r>
    </w:p>
    <w:p w:rsidR="00DC711C" w:rsidRPr="00865EB0" w:rsidRDefault="00DC711C" w:rsidP="00DC711C">
      <w:pPr>
        <w:spacing w:after="0" w:line="240" w:lineRule="auto"/>
        <w:jc w:val="both"/>
        <w:rPr>
          <w:rFonts w:ascii="Times New Roman" w:hAnsi="Times New Roman" w:cs="Times New Roman"/>
          <w:noProof/>
        </w:rPr>
      </w:pPr>
    </w:p>
    <w:p w:rsidR="008D6C33" w:rsidRPr="00865EB0" w:rsidRDefault="008D6C33" w:rsidP="008D6C33">
      <w:pPr>
        <w:spacing w:after="0" w:line="240" w:lineRule="auto"/>
        <w:jc w:val="both"/>
        <w:rPr>
          <w:rFonts w:ascii="Times New Roman" w:hAnsi="Times New Roman" w:cs="Times New Roman"/>
          <w:b/>
          <w:bCs/>
        </w:rPr>
      </w:pPr>
      <w:r w:rsidRPr="00865EB0">
        <w:rPr>
          <w:rFonts w:ascii="Times New Roman" w:hAnsi="Times New Roman" w:cs="Times New Roman"/>
          <w:b/>
          <w:bCs/>
        </w:rPr>
        <w:t>Expectativas de cierre 2021</w:t>
      </w:r>
    </w:p>
    <w:p w:rsidR="008D6C33" w:rsidRPr="00062433" w:rsidRDefault="008D6C33" w:rsidP="00DC711C">
      <w:pPr>
        <w:spacing w:after="0" w:line="240" w:lineRule="auto"/>
        <w:jc w:val="both"/>
        <w:rPr>
          <w:rFonts w:ascii="Times New Roman" w:hAnsi="Times New Roman" w:cs="Times New Roman"/>
          <w:noProof/>
          <w:color w:val="FF0000"/>
        </w:rPr>
      </w:pPr>
    </w:p>
    <w:p w:rsidR="00865EB0" w:rsidRPr="002F6BAB" w:rsidRDefault="00865EB0" w:rsidP="00865EB0">
      <w:pPr>
        <w:spacing w:after="0" w:line="240" w:lineRule="auto"/>
        <w:jc w:val="both"/>
        <w:rPr>
          <w:rFonts w:ascii="Times New Roman" w:hAnsi="Times New Roman" w:cs="Times New Roman"/>
          <w:noProof/>
        </w:rPr>
        <w:sectPr w:rsidR="00865EB0" w:rsidRPr="002F6BAB" w:rsidSect="0092653C">
          <w:type w:val="continuous"/>
          <w:pgSz w:w="12240" w:h="15840"/>
          <w:pgMar w:top="1417" w:right="1701" w:bottom="1417" w:left="1701" w:header="720" w:footer="720" w:gutter="0"/>
          <w:cols w:num="2" w:space="720"/>
          <w:docGrid w:linePitch="360"/>
        </w:sectPr>
      </w:pPr>
      <w:r w:rsidRPr="002F6BAB">
        <w:rPr>
          <w:rFonts w:ascii="Times New Roman" w:hAnsi="Times New Roman" w:cs="Times New Roman"/>
          <w:noProof/>
        </w:rPr>
        <w:t>Al primer cuatrimestre la brecha es positiva respecto a la meta de presupuesto en Q2,7</w:t>
      </w:r>
      <w:r>
        <w:rPr>
          <w:rFonts w:ascii="Times New Roman" w:hAnsi="Times New Roman" w:cs="Times New Roman"/>
          <w:noProof/>
        </w:rPr>
        <w:t xml:space="preserve">10.9 </w:t>
      </w:r>
      <w:r w:rsidRPr="002F6BAB">
        <w:rPr>
          <w:rFonts w:ascii="Times New Roman" w:hAnsi="Times New Roman" w:cs="Times New Roman"/>
          <w:noProof/>
        </w:rPr>
        <w:t>millones, de mantenerse este ritmo en la recaudación el cierre del ejercicio 2021 como minimo se esperaria que la carga tribut</w:t>
      </w:r>
      <w:r>
        <w:rPr>
          <w:rFonts w:ascii="Times New Roman" w:hAnsi="Times New Roman" w:cs="Times New Roman"/>
          <w:noProof/>
        </w:rPr>
        <w:t>aria se ubique en torno a 10.2%, equivalente a Q65,300 millones aproximadamente.</w:t>
      </w:r>
    </w:p>
    <w:p w:rsidR="00B807A2" w:rsidRPr="00865EB0" w:rsidRDefault="00B807A2" w:rsidP="00674EAE">
      <w:pPr>
        <w:pStyle w:val="Sinespaciado"/>
        <w:jc w:val="both"/>
        <w:rPr>
          <w:rFonts w:ascii="Times New Roman" w:hAnsi="Times New Roman" w:cs="Times New Roman"/>
          <w:color w:val="FF0000"/>
          <w:szCs w:val="18"/>
        </w:rPr>
        <w:sectPr w:rsidR="00B807A2" w:rsidRPr="00865EB0" w:rsidSect="005A03A9">
          <w:headerReference w:type="default" r:id="rId16"/>
          <w:footerReference w:type="default" r:id="rId17"/>
          <w:type w:val="continuous"/>
          <w:pgSz w:w="12240" w:h="15840"/>
          <w:pgMar w:top="1417" w:right="1701" w:bottom="1417" w:left="1701" w:header="708" w:footer="708" w:gutter="0"/>
          <w:cols w:num="2" w:space="708"/>
          <w:docGrid w:linePitch="360"/>
        </w:sectPr>
      </w:pPr>
    </w:p>
    <w:p w:rsidR="00FA3B81" w:rsidRPr="00C32263" w:rsidRDefault="00924740"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C32263" w:rsidSect="00FA3B81">
          <w:headerReference w:type="default" r:id="rId18"/>
          <w:footerReference w:type="default" r:id="rId19"/>
          <w:type w:val="continuous"/>
          <w:pgSz w:w="12240" w:h="15840" w:code="1"/>
          <w:pgMar w:top="1418" w:right="1418" w:bottom="1418" w:left="1418" w:header="709" w:footer="709" w:gutter="0"/>
          <w:cols w:space="708"/>
          <w:docGrid w:linePitch="360"/>
        </w:sectPr>
      </w:pPr>
      <w:r w:rsidRPr="00C32263">
        <w:rPr>
          <w:rFonts w:ascii="Times New Roman" w:hAnsi="Times New Roman" w:cs="Times New Roman"/>
          <w:b/>
          <w:lang w:val="es-MX"/>
        </w:rPr>
        <w:lastRenderedPageBreak/>
        <w:t xml:space="preserve">Se observa </w:t>
      </w:r>
      <w:r w:rsidR="002F0EAF" w:rsidRPr="00C32263">
        <w:rPr>
          <w:rFonts w:ascii="Times New Roman" w:hAnsi="Times New Roman" w:cs="Times New Roman"/>
          <w:b/>
          <w:lang w:val="es-MX"/>
        </w:rPr>
        <w:t xml:space="preserve">un </w:t>
      </w:r>
      <w:r w:rsidR="004C2A11" w:rsidRPr="00C32263">
        <w:rPr>
          <w:rFonts w:ascii="Times New Roman" w:hAnsi="Times New Roman" w:cs="Times New Roman"/>
          <w:b/>
          <w:lang w:val="es-MX"/>
        </w:rPr>
        <w:t>alto</w:t>
      </w:r>
      <w:r w:rsidRPr="00C32263">
        <w:rPr>
          <w:rFonts w:ascii="Times New Roman" w:hAnsi="Times New Roman" w:cs="Times New Roman"/>
          <w:b/>
          <w:lang w:val="es-MX"/>
        </w:rPr>
        <w:t xml:space="preserve"> dinamismo en el </w:t>
      </w:r>
      <w:r w:rsidR="00E37543" w:rsidRPr="00C32263">
        <w:rPr>
          <w:rFonts w:ascii="Times New Roman" w:hAnsi="Times New Roman" w:cs="Times New Roman"/>
          <w:b/>
          <w:lang w:val="es-MX"/>
        </w:rPr>
        <w:t xml:space="preserve">gasto </w:t>
      </w:r>
      <w:r w:rsidR="0041262B" w:rsidRPr="00C32263">
        <w:rPr>
          <w:rFonts w:ascii="Times New Roman" w:hAnsi="Times New Roman" w:cs="Times New Roman"/>
          <w:b/>
          <w:lang w:val="es-MX"/>
        </w:rPr>
        <w:t>público</w:t>
      </w:r>
    </w:p>
    <w:p w:rsidR="00FA3B81" w:rsidRPr="00062433" w:rsidRDefault="00FA3B81" w:rsidP="00FA3B81">
      <w:pPr>
        <w:pStyle w:val="Sinespaciado"/>
        <w:rPr>
          <w:rFonts w:ascii="Times New Roman" w:hAnsi="Times New Roman" w:cs="Times New Roman"/>
          <w:b/>
          <w:color w:val="FF0000"/>
          <w:sz w:val="18"/>
          <w:lang w:val="es-MX"/>
        </w:rPr>
      </w:pPr>
    </w:p>
    <w:p w:rsidR="00FA3B81" w:rsidRPr="00062433" w:rsidRDefault="00FA3B81" w:rsidP="0041262B">
      <w:pPr>
        <w:pStyle w:val="Sinespaciado"/>
        <w:rPr>
          <w:rFonts w:ascii="Times New Roman" w:hAnsi="Times New Roman" w:cs="Times New Roman"/>
          <w:b/>
          <w:color w:val="FF0000"/>
          <w:lang w:val="es-MX"/>
        </w:rPr>
        <w:sectPr w:rsidR="00FA3B81" w:rsidRPr="00062433" w:rsidSect="004E358C">
          <w:type w:val="continuous"/>
          <w:pgSz w:w="12240" w:h="15840"/>
          <w:pgMar w:top="1417" w:right="1701" w:bottom="1417" w:left="1701" w:header="708" w:footer="708" w:gutter="0"/>
          <w:cols w:space="708"/>
          <w:docGrid w:linePitch="360"/>
        </w:sectPr>
      </w:pPr>
    </w:p>
    <w:p w:rsidR="004C2A11" w:rsidRDefault="00C33A88" w:rsidP="004C2A11">
      <w:pPr>
        <w:pStyle w:val="Sinespaciado"/>
        <w:jc w:val="both"/>
        <w:rPr>
          <w:rFonts w:ascii="Times New Roman" w:hAnsi="Times New Roman" w:cs="Times New Roman"/>
          <w:lang w:val="es-MX"/>
        </w:rPr>
      </w:pPr>
      <w:r w:rsidRPr="001E2D24">
        <w:rPr>
          <w:rFonts w:ascii="Times New Roman" w:hAnsi="Times New Roman" w:cs="Times New Roman"/>
          <w:lang w:val="es-MX"/>
        </w:rPr>
        <w:lastRenderedPageBreak/>
        <w:t xml:space="preserve">La ejecución del gasto público </w:t>
      </w:r>
      <w:r>
        <w:rPr>
          <w:rFonts w:ascii="Times New Roman" w:hAnsi="Times New Roman" w:cs="Times New Roman"/>
          <w:lang w:val="es-MX"/>
        </w:rPr>
        <w:t xml:space="preserve">a abril </w:t>
      </w:r>
      <w:r w:rsidRPr="001E2D24">
        <w:rPr>
          <w:rFonts w:ascii="Times New Roman" w:hAnsi="Times New Roman" w:cs="Times New Roman"/>
          <w:lang w:val="es-MX"/>
        </w:rPr>
        <w:t>sin incluir las amortizaciones de</w:t>
      </w:r>
      <w:r>
        <w:rPr>
          <w:rFonts w:ascii="Times New Roman" w:hAnsi="Times New Roman" w:cs="Times New Roman"/>
          <w:lang w:val="es-MX"/>
        </w:rPr>
        <w:t xml:space="preserve"> la deuda pública se ubicó en Q25</w:t>
      </w:r>
      <w:r w:rsidRPr="001E2D24">
        <w:rPr>
          <w:rFonts w:ascii="Times New Roman" w:hAnsi="Times New Roman" w:cs="Times New Roman"/>
          <w:lang w:val="es-MX"/>
        </w:rPr>
        <w:t>,</w:t>
      </w:r>
      <w:r>
        <w:rPr>
          <w:rFonts w:ascii="Times New Roman" w:hAnsi="Times New Roman" w:cs="Times New Roman"/>
          <w:lang w:val="es-MX"/>
        </w:rPr>
        <w:t>954.1 millones</w:t>
      </w:r>
      <w:r w:rsidRPr="001E2D24">
        <w:rPr>
          <w:rFonts w:ascii="Times New Roman" w:hAnsi="Times New Roman" w:cs="Times New Roman"/>
          <w:lang w:val="es-MX"/>
        </w:rPr>
        <w:t xml:space="preserve"> con un crecimiento interanual</w:t>
      </w:r>
      <w:r>
        <w:rPr>
          <w:rFonts w:ascii="Times New Roman" w:hAnsi="Times New Roman" w:cs="Times New Roman"/>
          <w:lang w:val="es-MX"/>
        </w:rPr>
        <w:t xml:space="preserve"> de 11.3% (equivalente a Q2,637.2 millones), mostrando un fuerte dinamismo respecto al observado en los meses previos. El </w:t>
      </w:r>
      <w:r>
        <w:rPr>
          <w:rFonts w:ascii="Times New Roman" w:hAnsi="Times New Roman" w:cs="Times New Roman"/>
          <w:lang w:val="es-MX"/>
        </w:rPr>
        <w:lastRenderedPageBreak/>
        <w:t>crecimiento observado es ampliamente superior al reportado en 2020, cuando el gasto se estaba contrayendo en 2.0%, dado que estaba en proceso la arquitectura de los programas que darían atención al COVID-19.</w:t>
      </w:r>
    </w:p>
    <w:p w:rsidR="00C33A88" w:rsidRPr="00C32263" w:rsidRDefault="00C33A88" w:rsidP="004C2A11">
      <w:pPr>
        <w:pStyle w:val="Sinespaciado"/>
        <w:jc w:val="both"/>
        <w:rPr>
          <w:rFonts w:ascii="Times New Roman" w:hAnsi="Times New Roman" w:cs="Times New Roman"/>
          <w:lang w:val="es-MX"/>
        </w:rPr>
      </w:pPr>
    </w:p>
    <w:p w:rsidR="004C2A11" w:rsidRPr="00C32263" w:rsidRDefault="004C2A11" w:rsidP="004C2A11">
      <w:pPr>
        <w:pStyle w:val="Sinespaciado"/>
        <w:jc w:val="center"/>
        <w:rPr>
          <w:rFonts w:ascii="Times New Roman" w:hAnsi="Times New Roman" w:cs="Times New Roman"/>
          <w:b/>
          <w:lang w:val="es-MX"/>
        </w:rPr>
      </w:pPr>
      <w:r w:rsidRPr="00C32263">
        <w:rPr>
          <w:rFonts w:ascii="Times New Roman" w:hAnsi="Times New Roman" w:cs="Times New Roman"/>
          <w:b/>
          <w:lang w:val="es-MX"/>
        </w:rPr>
        <w:lastRenderedPageBreak/>
        <w:t>Ritmo de Ejecución del Gasto</w:t>
      </w:r>
    </w:p>
    <w:p w:rsidR="004C2A11" w:rsidRPr="00C32263" w:rsidRDefault="004C2A11" w:rsidP="004C2A11">
      <w:pPr>
        <w:pStyle w:val="Sinespaciado"/>
        <w:jc w:val="center"/>
        <w:rPr>
          <w:rFonts w:ascii="Times New Roman" w:hAnsi="Times New Roman" w:cs="Times New Roman"/>
          <w:sz w:val="18"/>
          <w:lang w:val="es-MX"/>
        </w:rPr>
      </w:pPr>
      <w:r w:rsidRPr="00C32263">
        <w:rPr>
          <w:rFonts w:ascii="Times New Roman" w:hAnsi="Times New Roman" w:cs="Times New Roman"/>
          <w:noProof/>
          <w:sz w:val="18"/>
          <w:lang w:eastAsia="es-GT"/>
        </w:rPr>
        <w:drawing>
          <wp:anchor distT="0" distB="0" distL="114300" distR="114300" simplePos="0" relativeHeight="251785216" behindDoc="0" locked="0" layoutInCell="1" allowOverlap="1" wp14:anchorId="318BB834" wp14:editId="58266C18">
            <wp:simplePos x="0" y="0"/>
            <wp:positionH relativeFrom="column">
              <wp:posOffset>-182245</wp:posOffset>
            </wp:positionH>
            <wp:positionV relativeFrom="paragraph">
              <wp:posOffset>153670</wp:posOffset>
            </wp:positionV>
            <wp:extent cx="2949575" cy="2218055"/>
            <wp:effectExtent l="0" t="0" r="3175" b="0"/>
            <wp:wrapSquare wrapText="bothSides"/>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C32263">
        <w:rPr>
          <w:rFonts w:ascii="Times New Roman" w:hAnsi="Times New Roman" w:cs="Times New Roman"/>
          <w:sz w:val="18"/>
          <w:lang w:val="es-MX"/>
        </w:rPr>
        <w:t>Variación Interanual*</w:t>
      </w:r>
    </w:p>
    <w:p w:rsidR="004C2A11" w:rsidRPr="00C32263" w:rsidRDefault="004C2A11" w:rsidP="004C2A11">
      <w:pPr>
        <w:pStyle w:val="Sinespaciado"/>
        <w:rPr>
          <w:rFonts w:ascii="Times New Roman" w:hAnsi="Times New Roman" w:cs="Times New Roman"/>
          <w:sz w:val="16"/>
          <w:lang w:val="es-MX"/>
        </w:rPr>
      </w:pPr>
      <w:r w:rsidRPr="00C32263">
        <w:rPr>
          <w:rFonts w:ascii="Times New Roman" w:hAnsi="Times New Roman" w:cs="Times New Roman"/>
          <w:sz w:val="16"/>
          <w:lang w:val="es-MX"/>
        </w:rPr>
        <w:t>*No incluye amortizaciones de la deuda pública</w:t>
      </w:r>
    </w:p>
    <w:p w:rsidR="004C2A11" w:rsidRPr="00C32263" w:rsidRDefault="004C2A11" w:rsidP="004C2A11">
      <w:pPr>
        <w:spacing w:after="0" w:line="240" w:lineRule="auto"/>
        <w:jc w:val="both"/>
        <w:rPr>
          <w:rFonts w:ascii="Times New Roman" w:hAnsi="Times New Roman" w:cs="Times New Roman"/>
          <w:sz w:val="16"/>
        </w:rPr>
      </w:pPr>
      <w:r w:rsidRPr="00C32263">
        <w:rPr>
          <w:rFonts w:ascii="Times New Roman" w:hAnsi="Times New Roman" w:cs="Times New Roman"/>
          <w:sz w:val="16"/>
        </w:rPr>
        <w:t>Fuente: Dirección de Análisis y Política Fiscal</w:t>
      </w:r>
    </w:p>
    <w:p w:rsidR="004C2A11" w:rsidRPr="00062433" w:rsidRDefault="004C2A11" w:rsidP="004C2A11">
      <w:pPr>
        <w:pStyle w:val="Sinespaciado"/>
        <w:jc w:val="both"/>
        <w:rPr>
          <w:rFonts w:ascii="Times New Roman" w:hAnsi="Times New Roman" w:cs="Times New Roman"/>
          <w:color w:val="FF0000"/>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absoluto se reporta en los bienes y servicios con una ejecución mayor en Q1,412.0 millones (equivalente a un crecimiento interanual de 70.0%), explicado principalmente por un aumento de Q945.6 millones en el Ministerio de Salud Pública y Asistencia Social por un mayor gasto en los productos medicinales y farmacéuticos por Q626.8 millones, siendo en este renglón donde se registra la compra de la vacuna contra el COVID-19, abril fue el mes en el cual se realizó el mayor desembolso de recursos por este concepto. Asimismo, los servicios médico-sanitarios reportan un aumento de Q157.0 millones que además de las retribuciones por servicios profesionales y técnicos incluye pruebas de laboratorio, que contiene las asociadas al COVID-19.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Por su parte, en el Ministerio de Comunicaciones, Infraestructura y Vivienda se reporta un crecimiento absoluto en el rubro de bienes y servicios por Q122.9 millones </w:t>
      </w:r>
      <w:r w:rsidRPr="00BC1A2D">
        <w:rPr>
          <w:rFonts w:ascii="Times New Roman" w:hAnsi="Times New Roman" w:cs="Times New Roman"/>
          <w:lang w:val="es-MX"/>
        </w:rPr>
        <w:t xml:space="preserve">(equivalente a </w:t>
      </w:r>
      <w:r>
        <w:rPr>
          <w:rFonts w:ascii="Times New Roman" w:hAnsi="Times New Roman" w:cs="Times New Roman"/>
          <w:lang w:val="es-MX"/>
        </w:rPr>
        <w:t>39</w:t>
      </w:r>
      <w:r w:rsidRPr="00BC1A2D">
        <w:rPr>
          <w:rFonts w:ascii="Times New Roman" w:hAnsi="Times New Roman" w:cs="Times New Roman"/>
          <w:lang w:val="es-MX"/>
        </w:rPr>
        <w:t>.</w:t>
      </w:r>
      <w:r>
        <w:rPr>
          <w:rFonts w:ascii="Times New Roman" w:hAnsi="Times New Roman" w:cs="Times New Roman"/>
          <w:lang w:val="es-MX"/>
        </w:rPr>
        <w:t>6</w:t>
      </w:r>
      <w:r w:rsidRPr="00BC1A2D">
        <w:rPr>
          <w:rFonts w:ascii="Times New Roman" w:hAnsi="Times New Roman" w:cs="Times New Roman"/>
          <w:lang w:val="es-MX"/>
        </w:rPr>
        <w:t>%</w:t>
      </w:r>
      <w:r>
        <w:rPr>
          <w:rFonts w:ascii="Times New Roman" w:hAnsi="Times New Roman" w:cs="Times New Roman"/>
          <w:lang w:val="es-MX"/>
        </w:rPr>
        <w:t xml:space="preserve">) como resultado de una mayor ejecución en el mantenimiento y reparación de edificios (Q52.16 millones) y </w:t>
      </w:r>
      <w:r>
        <w:rPr>
          <w:rFonts w:ascii="Times New Roman" w:hAnsi="Times New Roman" w:cs="Times New Roman"/>
          <w:lang w:val="es-MX"/>
        </w:rPr>
        <w:lastRenderedPageBreak/>
        <w:t xml:space="preserve">mantenimiento y reparación de bienes nacionales de uso común (Q67.4 millones).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En el Ministerio de Desarrollo Social, también se reporta un aumento importante en el rubro de bienes y servicios, el cual responde a alimentos para personas por Q95.4 millones y en el Ministerio de Agricultura, Ganadería y Alimentación el aumento en el renglón de alimentos para personas es por Q61.6 millones, esto es relevante ya que corresponde a la regularización del anticipo de recursos dado en 2020 como parte del programa social dotación alimentaria por la coyuntura del COVID-19.</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 los intereses de la deuda interna y externa se dio un aumento de Q777.2 millones (equivalente a un crecimiento de 27.8%). En la deuda interna se encuentra concentrado la mayor parte de dicho incremento con Q755.5 millones, mientras que, en la deuda externa, los intereses de préstamos con organismos internacionales reportan una menor ejecución por Q84.1 millones, no obstante, se espera que este comportamiento se regularice en los próximos meses. Por su parte, los intereses de bonos externos correspondiente a la colocación de Eurobonos, reportan una mayor ejecución de Q105.8 millones. </w:t>
      </w:r>
    </w:p>
    <w:p w:rsidR="00865EB0" w:rsidRDefault="00865EB0"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En el rubro de las remuneraciones se reporta una ejecución mayor en Q428.0 millones a la reportada en 2020, equivalente a un crecimiento de 5.0%. El Ministerio de Educación reporta el mayor aumento absoluto, siendo de Q305.5 millones (equivalente a 7.7%), esto se debe principalmente al crecimiento del </w:t>
      </w:r>
      <w:r w:rsidRPr="00B9632A">
        <w:rPr>
          <w:rFonts w:ascii="Times New Roman" w:hAnsi="Times New Roman" w:cs="Times New Roman"/>
          <w:lang w:val="es-MX"/>
        </w:rPr>
        <w:t>renglón 017 “derechos escalafonarios” en Q148.8 millones</w:t>
      </w:r>
      <w:r>
        <w:rPr>
          <w:rFonts w:ascii="Times New Roman" w:hAnsi="Times New Roman" w:cs="Times New Roman"/>
          <w:lang w:val="es-MX"/>
        </w:rPr>
        <w:t xml:space="preserve"> y el renglón 011 “personal permanente” en Q139.7 millones, considerando que los reajustes salariales negociados en el último pacto colectivo suscrito consideraban un incremento de 10% sobre el salario base vigente a partir de 2019 y un incremento adicional del 5% a partir de 2020, el aumento en el renglón de personal </w:t>
      </w:r>
      <w:r>
        <w:rPr>
          <w:rFonts w:ascii="Times New Roman" w:hAnsi="Times New Roman" w:cs="Times New Roman"/>
          <w:lang w:val="es-MX"/>
        </w:rPr>
        <w:lastRenderedPageBreak/>
        <w:t xml:space="preserve">permanente se debe a una mayor contratación personal, ya que el efecto del incremento por pacto colectivo ya se encuentra descontado en el presente ejercicio fiscal.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Otra entidad con aumento importante es el Ministerio de Salud Pública y Asistencia Social con Q183.9 millones, estando concentrado el aumento en el complemento por antigüedad al personal permanente (incremento de Q177.4 millones). Por su parte, las secretarias y otras dependencias del ejecutivo reportan una caída de 13.6% (equivalente a Q35.5 millones), como resultado especialmente de una menor ejecución del renglón 029 “otras remuneraciones del personal temporal”, con una variación interanual negativa de 35.4%.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Respecto al rubro de la inversión real directa, este reporta una mayor ejecución en Q282.3 millones respecto a lo reportado en 2020 (equivalente a 44.4%), es importante considerar que durante 2020 la inversión real fue el rubro de gasto que más se ajustó por las </w:t>
      </w:r>
      <w:r w:rsidRPr="004E6E5D">
        <w:rPr>
          <w:rFonts w:ascii="Times New Roman" w:hAnsi="Times New Roman" w:cs="Times New Roman"/>
          <w:lang w:val="es-MX"/>
        </w:rPr>
        <w:t xml:space="preserve">medidas de confinamiento y distanciamiento social que se establecieron en varios meses </w:t>
      </w:r>
      <w:r>
        <w:rPr>
          <w:rFonts w:ascii="Times New Roman" w:hAnsi="Times New Roman" w:cs="Times New Roman"/>
          <w:lang w:val="es-MX"/>
        </w:rPr>
        <w:t>y por el</w:t>
      </w:r>
      <w:r w:rsidRPr="004E6E5D">
        <w:rPr>
          <w:rFonts w:ascii="Times New Roman" w:hAnsi="Times New Roman" w:cs="Times New Roman"/>
          <w:lang w:val="es-MX"/>
        </w:rPr>
        <w:t xml:space="preserve"> bajo nivel de recaudación tributaria que afecto varios rubros de g</w:t>
      </w:r>
      <w:r>
        <w:rPr>
          <w:rFonts w:ascii="Times New Roman" w:hAnsi="Times New Roman" w:cs="Times New Roman"/>
          <w:lang w:val="es-MX"/>
        </w:rPr>
        <w:t xml:space="preserve">asto especialmente la inversión, por lo que se espera que en este ejercicio fiscal este rubro crezca de forma importante, considerando también el buen desempeño mostrado en la recaudación tributaria. El crecimiento esta explicado por un aumento de Q234.4 millones en el Ministerio de Comunicaciones, Infraestructura y Vivienda explicado en su mayoría por la construcción de bienes nacionales de uso común. </w:t>
      </w:r>
    </w:p>
    <w:p w:rsidR="00CF4D18" w:rsidRDefault="00CF4D1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estás reportan un crecimiento interanual de 2.4%, equivalente a Q38.5 millones.</w:t>
      </w:r>
    </w:p>
    <w:p w:rsidR="00C33A88" w:rsidRDefault="00C33A88" w:rsidP="00C33A88">
      <w:pPr>
        <w:pStyle w:val="Sinespaciado"/>
        <w:jc w:val="both"/>
        <w:rPr>
          <w:rFonts w:ascii="Times New Roman" w:hAnsi="Times New Roman" w:cs="Times New Roman"/>
          <w:lang w:val="es-MX"/>
        </w:rPr>
      </w:pPr>
    </w:p>
    <w:p w:rsidR="00C33A88" w:rsidRPr="00956D7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Por su parte, las transferencias corrientes y las transferencias de capital son los únicos rubros de gasto que reportan variaciones interanuales </w:t>
      </w:r>
      <w:r>
        <w:rPr>
          <w:rFonts w:ascii="Times New Roman" w:hAnsi="Times New Roman" w:cs="Times New Roman"/>
          <w:lang w:val="es-MX"/>
        </w:rPr>
        <w:lastRenderedPageBreak/>
        <w:t>negativas. E</w:t>
      </w:r>
      <w:r w:rsidRPr="00584C93">
        <w:rPr>
          <w:rFonts w:ascii="Times New Roman" w:hAnsi="Times New Roman" w:cs="Times New Roman"/>
          <w:lang w:val="es-MX"/>
        </w:rPr>
        <w:t>n el caso de las transferencias corrientes</w:t>
      </w:r>
      <w:r>
        <w:rPr>
          <w:rFonts w:ascii="Times New Roman" w:hAnsi="Times New Roman" w:cs="Times New Roman"/>
          <w:lang w:val="es-MX"/>
        </w:rPr>
        <w:t xml:space="preserve"> la contracción del gasto es de 5.9% (equivalente a Q279.0 millones), explicado en su mayoría por las transferencias al sector privado, </w:t>
      </w:r>
      <w:r w:rsidRPr="00956D78">
        <w:rPr>
          <w:rFonts w:ascii="Times New Roman" w:hAnsi="Times New Roman" w:cs="Times New Roman"/>
          <w:lang w:val="es-MX"/>
        </w:rPr>
        <w:t>por una menor ejecución en</w:t>
      </w:r>
      <w:r>
        <w:rPr>
          <w:rFonts w:ascii="Times New Roman" w:hAnsi="Times New Roman" w:cs="Times New Roman"/>
          <w:lang w:val="es-MX"/>
        </w:rPr>
        <w:t xml:space="preserve"> el Ministerio de Educación </w:t>
      </w:r>
      <w:r w:rsidRPr="00956D78">
        <w:rPr>
          <w:rFonts w:ascii="Times New Roman" w:hAnsi="Times New Roman" w:cs="Times New Roman"/>
          <w:lang w:val="es-MX"/>
        </w:rPr>
        <w:t>debido a una caída</w:t>
      </w:r>
      <w:r>
        <w:rPr>
          <w:rFonts w:ascii="Times New Roman" w:hAnsi="Times New Roman" w:cs="Times New Roman"/>
          <w:lang w:val="es-MX"/>
        </w:rPr>
        <w:t xml:space="preserve"> en Q181.8 millones</w:t>
      </w:r>
      <w:r w:rsidRPr="00956D78">
        <w:rPr>
          <w:rFonts w:ascii="Times New Roman" w:hAnsi="Times New Roman" w:cs="Times New Roman"/>
          <w:lang w:val="es-MX"/>
        </w:rPr>
        <w:t xml:space="preserve"> en las transferencias que se realizan a las instituciones sin fines de lucro que corresponde a Organizaciones de Padres Familia, Juntas Escolares, Consejos Educativos e Institutos por Cooperativas, entre otras.</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Así mismo, en el Ministerio de Desarrollo Social también hay una caída de 82.6% (equivalente a Q142.6 millones) en las transferencias a personas individuales, explicado por una menor ejecución en las transferencias monetarias condicionadas en salud y educación. </w:t>
      </w:r>
    </w:p>
    <w:p w:rsidR="00C33A88" w:rsidRDefault="00C33A88" w:rsidP="00C33A88">
      <w:pPr>
        <w:pStyle w:val="Sinespaciado"/>
        <w:jc w:val="both"/>
        <w:rPr>
          <w:rFonts w:ascii="Times New Roman" w:hAnsi="Times New Roman" w:cs="Times New Roman"/>
          <w:lang w:val="es-MX"/>
        </w:rPr>
      </w:pPr>
    </w:p>
    <w:p w:rsidR="00C33A88" w:rsidRPr="00584C93"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corrientes </w:t>
      </w:r>
      <w:r w:rsidRPr="00584C93">
        <w:rPr>
          <w:rFonts w:ascii="Times New Roman" w:hAnsi="Times New Roman" w:cs="Times New Roman"/>
          <w:lang w:val="es-MX"/>
        </w:rPr>
        <w:t>al sector público</w:t>
      </w:r>
      <w:r>
        <w:rPr>
          <w:rFonts w:ascii="Times New Roman" w:hAnsi="Times New Roman" w:cs="Times New Roman"/>
          <w:lang w:val="es-MX"/>
        </w:rPr>
        <w:t>, estas</w:t>
      </w:r>
      <w:r w:rsidRPr="00584C93">
        <w:rPr>
          <w:rFonts w:ascii="Times New Roman" w:hAnsi="Times New Roman" w:cs="Times New Roman"/>
          <w:lang w:val="es-MX"/>
        </w:rPr>
        <w:t xml:space="preserve"> reportan una caída de Q6</w:t>
      </w:r>
      <w:r>
        <w:rPr>
          <w:rFonts w:ascii="Times New Roman" w:hAnsi="Times New Roman" w:cs="Times New Roman"/>
          <w:lang w:val="es-MX"/>
        </w:rPr>
        <w:t>6</w:t>
      </w:r>
      <w:r w:rsidRPr="00584C93">
        <w:rPr>
          <w:rFonts w:ascii="Times New Roman" w:hAnsi="Times New Roman" w:cs="Times New Roman"/>
          <w:lang w:val="es-MX"/>
        </w:rPr>
        <w:t>.</w:t>
      </w:r>
      <w:r>
        <w:rPr>
          <w:rFonts w:ascii="Times New Roman" w:hAnsi="Times New Roman" w:cs="Times New Roman"/>
          <w:lang w:val="es-MX"/>
        </w:rPr>
        <w:t>5</w:t>
      </w:r>
      <w:r w:rsidRPr="00584C93">
        <w:rPr>
          <w:rFonts w:ascii="Times New Roman" w:hAnsi="Times New Roman" w:cs="Times New Roman"/>
          <w:lang w:val="es-MX"/>
        </w:rPr>
        <w:t xml:space="preserve"> millones,</w:t>
      </w:r>
      <w:r>
        <w:rPr>
          <w:rFonts w:ascii="Times New Roman" w:hAnsi="Times New Roman" w:cs="Times New Roman"/>
          <w:lang w:val="es-MX"/>
        </w:rPr>
        <w:t xml:space="preserve"> </w:t>
      </w:r>
      <w:r w:rsidRPr="00584C93">
        <w:rPr>
          <w:rFonts w:ascii="Times New Roman" w:hAnsi="Times New Roman" w:cs="Times New Roman"/>
          <w:lang w:val="es-MX"/>
        </w:rPr>
        <w:t>como resultado de un menor desembolso de recursos para el</w:t>
      </w:r>
      <w:r w:rsidRPr="00584C93">
        <w:t xml:space="preserve"> </w:t>
      </w:r>
      <w:r w:rsidRPr="00584C93">
        <w:rPr>
          <w:rFonts w:ascii="Times New Roman" w:hAnsi="Times New Roman" w:cs="Times New Roman"/>
          <w:lang w:val="es-MX"/>
        </w:rPr>
        <w:t>Organismo Judicial (Q249.5 millones)</w:t>
      </w:r>
      <w:r>
        <w:rPr>
          <w:rFonts w:ascii="Times New Roman" w:hAnsi="Times New Roman" w:cs="Times New Roman"/>
          <w:lang w:val="es-MX"/>
        </w:rPr>
        <w:t xml:space="preserve">, la Universidad de San Carlos (Q40.2 millones), las transferencias de entidades descentralizadas y autónomas no financieras (Q31.3 millones), </w:t>
      </w:r>
      <w:r w:rsidRPr="00584C93">
        <w:rPr>
          <w:rFonts w:ascii="Times New Roman" w:hAnsi="Times New Roman" w:cs="Times New Roman"/>
          <w:lang w:val="es-MX"/>
        </w:rPr>
        <w:t>el Ministerio Público (Q</w:t>
      </w:r>
      <w:r>
        <w:rPr>
          <w:rFonts w:ascii="Times New Roman" w:hAnsi="Times New Roman" w:cs="Times New Roman"/>
          <w:lang w:val="es-MX"/>
        </w:rPr>
        <w:t>20</w:t>
      </w:r>
      <w:r w:rsidRPr="00584C93">
        <w:rPr>
          <w:rFonts w:ascii="Times New Roman" w:hAnsi="Times New Roman" w:cs="Times New Roman"/>
          <w:lang w:val="es-MX"/>
        </w:rPr>
        <w:t>.</w:t>
      </w:r>
      <w:r>
        <w:rPr>
          <w:rFonts w:ascii="Times New Roman" w:hAnsi="Times New Roman" w:cs="Times New Roman"/>
          <w:lang w:val="es-MX"/>
        </w:rPr>
        <w:t>0</w:t>
      </w:r>
      <w:r w:rsidRPr="00584C93">
        <w:rPr>
          <w:rFonts w:ascii="Times New Roman" w:hAnsi="Times New Roman" w:cs="Times New Roman"/>
          <w:lang w:val="es-MX"/>
        </w:rPr>
        <w:t xml:space="preserve"> millones),</w:t>
      </w:r>
      <w:r>
        <w:rPr>
          <w:rFonts w:ascii="Times New Roman" w:hAnsi="Times New Roman" w:cs="Times New Roman"/>
          <w:lang w:val="es-MX"/>
        </w:rPr>
        <w:t xml:space="preserve"> transferencias al deporte (Q9.8 millones) y transferencia a la Corte de Constitucionalidad (Q4.0 millones).</w:t>
      </w:r>
      <w:r w:rsidRPr="00584C93">
        <w:rPr>
          <w:rFonts w:ascii="Times New Roman" w:hAnsi="Times New Roman" w:cs="Times New Roman"/>
          <w:lang w:val="es-MX"/>
        </w:rPr>
        <w:t xml:space="preserve"> Mientras que el Ministerio de Gobernación realizó una transferencia hacia el Instituto Guatemalteco de Migración por Q191.9 millones, que compensa en alguna medida la caída reportada en las transferencias al sector público. </w:t>
      </w:r>
    </w:p>
    <w:p w:rsidR="00C33A88" w:rsidRPr="00584C93"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sidRPr="002B0411">
        <w:rPr>
          <w:rFonts w:ascii="Times New Roman" w:hAnsi="Times New Roman" w:cs="Times New Roman"/>
          <w:lang w:val="es-MX"/>
        </w:rPr>
        <w:t xml:space="preserve">En el caso de las transferencias de capital, </w:t>
      </w:r>
      <w:r w:rsidRPr="008A4CFA">
        <w:rPr>
          <w:rFonts w:ascii="Times New Roman" w:hAnsi="Times New Roman" w:cs="Times New Roman"/>
          <w:lang w:val="es-MX"/>
        </w:rPr>
        <w:t xml:space="preserve">la contracción del gasto es de </w:t>
      </w:r>
      <w:r>
        <w:rPr>
          <w:rFonts w:ascii="Times New Roman" w:hAnsi="Times New Roman" w:cs="Times New Roman"/>
          <w:lang w:val="es-MX"/>
        </w:rPr>
        <w:t>1</w:t>
      </w:r>
      <w:r w:rsidRPr="008A4CFA">
        <w:rPr>
          <w:rFonts w:ascii="Times New Roman" w:hAnsi="Times New Roman" w:cs="Times New Roman"/>
          <w:lang w:val="es-MX"/>
        </w:rPr>
        <w:t>.</w:t>
      </w:r>
      <w:r>
        <w:rPr>
          <w:rFonts w:ascii="Times New Roman" w:hAnsi="Times New Roman" w:cs="Times New Roman"/>
          <w:lang w:val="es-MX"/>
        </w:rPr>
        <w:t>5</w:t>
      </w:r>
      <w:r w:rsidRPr="008A4CFA">
        <w:rPr>
          <w:rFonts w:ascii="Times New Roman" w:hAnsi="Times New Roman" w:cs="Times New Roman"/>
          <w:lang w:val="es-MX"/>
        </w:rPr>
        <w:t>% (equivalente a Q</w:t>
      </w:r>
      <w:r>
        <w:rPr>
          <w:rFonts w:ascii="Times New Roman" w:hAnsi="Times New Roman" w:cs="Times New Roman"/>
          <w:lang w:val="es-MX"/>
        </w:rPr>
        <w:t>45</w:t>
      </w:r>
      <w:r w:rsidRPr="008A4CFA">
        <w:rPr>
          <w:rFonts w:ascii="Times New Roman" w:hAnsi="Times New Roman" w:cs="Times New Roman"/>
          <w:lang w:val="es-MX"/>
        </w:rPr>
        <w:t>.</w:t>
      </w:r>
      <w:r>
        <w:rPr>
          <w:rFonts w:ascii="Times New Roman" w:hAnsi="Times New Roman" w:cs="Times New Roman"/>
          <w:lang w:val="es-MX"/>
        </w:rPr>
        <w:t>2</w:t>
      </w:r>
      <w:r w:rsidRPr="008A4CFA">
        <w:rPr>
          <w:rFonts w:ascii="Times New Roman" w:hAnsi="Times New Roman" w:cs="Times New Roman"/>
          <w:lang w:val="es-MX"/>
        </w:rPr>
        <w:t xml:space="preserve"> millones), </w:t>
      </w:r>
      <w:r>
        <w:rPr>
          <w:rFonts w:ascii="Times New Roman" w:hAnsi="Times New Roman" w:cs="Times New Roman"/>
          <w:lang w:val="es-MX"/>
        </w:rPr>
        <w:t xml:space="preserve">siendo la disminución </w:t>
      </w:r>
      <w:r w:rsidRPr="008A4CFA">
        <w:rPr>
          <w:rFonts w:ascii="Times New Roman" w:hAnsi="Times New Roman" w:cs="Times New Roman"/>
          <w:lang w:val="es-MX"/>
        </w:rPr>
        <w:t>explicad</w:t>
      </w:r>
      <w:r>
        <w:rPr>
          <w:rFonts w:ascii="Times New Roman" w:hAnsi="Times New Roman" w:cs="Times New Roman"/>
          <w:lang w:val="es-MX"/>
        </w:rPr>
        <w:t xml:space="preserve">a por las transferencias al sector público que caen en Q128.8 millones, </w:t>
      </w:r>
      <w:r w:rsidRPr="00A93F27">
        <w:rPr>
          <w:rFonts w:ascii="Times New Roman" w:hAnsi="Times New Roman" w:cs="Times New Roman"/>
          <w:lang w:val="es-MX"/>
        </w:rPr>
        <w:t>como resultado de un men</w:t>
      </w:r>
      <w:r>
        <w:rPr>
          <w:rFonts w:ascii="Times New Roman" w:hAnsi="Times New Roman" w:cs="Times New Roman"/>
          <w:lang w:val="es-MX"/>
        </w:rPr>
        <w:t xml:space="preserve">or desembolso de recursos para </w:t>
      </w:r>
      <w:r w:rsidRPr="00A93F27">
        <w:rPr>
          <w:rFonts w:ascii="Times New Roman" w:hAnsi="Times New Roman" w:cs="Times New Roman"/>
          <w:lang w:val="es-MX"/>
        </w:rPr>
        <w:t>l</w:t>
      </w:r>
      <w:r>
        <w:rPr>
          <w:rFonts w:ascii="Times New Roman" w:hAnsi="Times New Roman" w:cs="Times New Roman"/>
          <w:lang w:val="es-MX"/>
        </w:rPr>
        <w:t xml:space="preserve">as Municipalidades </w:t>
      </w:r>
      <w:r w:rsidRPr="00A93F27">
        <w:rPr>
          <w:rFonts w:ascii="Times New Roman" w:hAnsi="Times New Roman" w:cs="Times New Roman"/>
          <w:lang w:val="es-MX"/>
        </w:rPr>
        <w:t>(Q</w:t>
      </w:r>
      <w:r>
        <w:rPr>
          <w:rFonts w:ascii="Times New Roman" w:hAnsi="Times New Roman" w:cs="Times New Roman"/>
          <w:lang w:val="es-MX"/>
        </w:rPr>
        <w:t>67</w:t>
      </w:r>
      <w:r w:rsidR="00CF4D18">
        <w:rPr>
          <w:rFonts w:ascii="Times New Roman" w:hAnsi="Times New Roman" w:cs="Times New Roman"/>
          <w:lang w:val="es-MX"/>
        </w:rPr>
        <w:t xml:space="preserve">.5 millones), </w:t>
      </w:r>
      <w:r>
        <w:rPr>
          <w:rFonts w:ascii="Times New Roman" w:hAnsi="Times New Roman" w:cs="Times New Roman"/>
          <w:lang w:val="es-MX"/>
        </w:rPr>
        <w:t xml:space="preserve">la </w:t>
      </w:r>
      <w:r>
        <w:rPr>
          <w:rFonts w:ascii="Times New Roman" w:hAnsi="Times New Roman" w:cs="Times New Roman"/>
          <w:lang w:val="es-MX"/>
        </w:rPr>
        <w:lastRenderedPageBreak/>
        <w:t>Universidad de San Carlos (Q58</w:t>
      </w:r>
      <w:r w:rsidRPr="00A93F27">
        <w:rPr>
          <w:rFonts w:ascii="Times New Roman" w:hAnsi="Times New Roman" w:cs="Times New Roman"/>
          <w:lang w:val="es-MX"/>
        </w:rPr>
        <w:t>.</w:t>
      </w:r>
      <w:r>
        <w:rPr>
          <w:rFonts w:ascii="Times New Roman" w:hAnsi="Times New Roman" w:cs="Times New Roman"/>
          <w:lang w:val="es-MX"/>
        </w:rPr>
        <w:t>3</w:t>
      </w:r>
      <w:r w:rsidRPr="00A93F27">
        <w:rPr>
          <w:rFonts w:ascii="Times New Roman" w:hAnsi="Times New Roman" w:cs="Times New Roman"/>
          <w:lang w:val="es-MX"/>
        </w:rPr>
        <w:t xml:space="preserve"> millones), transferencias</w:t>
      </w:r>
      <w:r>
        <w:rPr>
          <w:rFonts w:ascii="Times New Roman" w:hAnsi="Times New Roman" w:cs="Times New Roman"/>
          <w:lang w:val="es-MX"/>
        </w:rPr>
        <w:t xml:space="preserve"> a empresas públicas municipales financieras (Q16.0 millones), al Ministerio Público (Q8.9 millones), entre otras. </w:t>
      </w:r>
    </w:p>
    <w:p w:rsidR="00C33A88" w:rsidRDefault="00C33A88" w:rsidP="00C33A88">
      <w:pPr>
        <w:pStyle w:val="Sinespaciado"/>
        <w:jc w:val="both"/>
        <w:rPr>
          <w:rFonts w:ascii="Times New Roman" w:hAnsi="Times New Roman" w:cs="Times New Roman"/>
          <w:lang w:val="es-MX"/>
        </w:rPr>
      </w:pPr>
    </w:p>
    <w:p w:rsidR="004C2A11" w:rsidRPr="00062433" w:rsidRDefault="00C33A88" w:rsidP="00C33A88">
      <w:pPr>
        <w:pStyle w:val="Sinespaciado"/>
        <w:jc w:val="both"/>
        <w:rPr>
          <w:rFonts w:ascii="Times New Roman" w:hAnsi="Times New Roman" w:cs="Times New Roman"/>
          <w:color w:val="FF0000"/>
          <w:lang w:val="es-MX"/>
        </w:rPr>
      </w:pPr>
      <w:r>
        <w:rPr>
          <w:rFonts w:ascii="Times New Roman" w:hAnsi="Times New Roman" w:cs="Times New Roman"/>
          <w:lang w:val="es-MX"/>
        </w:rPr>
        <w:t>Por su parte, las transferencias de capital al sector privado y externo dan cuenta de un aumento de Q83.6 millones, de esa cuenta, las transferencias de capital en su conjunto caen de forma moderada.</w:t>
      </w:r>
      <w:r w:rsidR="004C2A11" w:rsidRPr="00062433">
        <w:rPr>
          <w:rFonts w:ascii="Times New Roman" w:hAnsi="Times New Roman" w:cs="Times New Roman"/>
          <w:color w:val="FF0000"/>
          <w:lang w:val="es-MX"/>
        </w:rPr>
        <w:t xml:space="preserve"> </w:t>
      </w:r>
    </w:p>
    <w:p w:rsidR="004C2A11" w:rsidRPr="00062433" w:rsidRDefault="004C2A11" w:rsidP="004C2A11">
      <w:pPr>
        <w:pStyle w:val="Sinespaciado"/>
        <w:jc w:val="both"/>
        <w:rPr>
          <w:rFonts w:ascii="Times New Roman" w:hAnsi="Times New Roman" w:cs="Times New Roman"/>
          <w:color w:val="FF0000"/>
          <w:lang w:val="es-MX"/>
        </w:rPr>
      </w:pPr>
    </w:p>
    <w:p w:rsidR="004C2A11" w:rsidRPr="00C33A88" w:rsidRDefault="004C2A11" w:rsidP="004C2A11">
      <w:pPr>
        <w:pStyle w:val="Sinespaciado"/>
        <w:jc w:val="center"/>
        <w:rPr>
          <w:rFonts w:ascii="Times New Roman" w:hAnsi="Times New Roman" w:cs="Times New Roman"/>
          <w:sz w:val="18"/>
          <w:lang w:val="es-MX"/>
        </w:rPr>
      </w:pPr>
      <w:r w:rsidRPr="00C33A88">
        <w:rPr>
          <w:rFonts w:ascii="Times New Roman" w:hAnsi="Times New Roman" w:cs="Times New Roman"/>
          <w:b/>
          <w:lang w:val="es-MX"/>
        </w:rPr>
        <w:t>Ejecución por rubro de Cuenta Económica</w:t>
      </w:r>
      <w:r w:rsidRPr="00C33A88">
        <w:t xml:space="preserve"> </w:t>
      </w:r>
      <w:proofErr w:type="gramStart"/>
      <w:r w:rsidR="00943253" w:rsidRPr="00C33A88">
        <w:rPr>
          <w:rFonts w:ascii="Times New Roman" w:hAnsi="Times New Roman" w:cs="Times New Roman"/>
          <w:sz w:val="18"/>
          <w:szCs w:val="18"/>
        </w:rPr>
        <w:t>Abril</w:t>
      </w:r>
      <w:proofErr w:type="gramEnd"/>
      <w:r w:rsidR="00943253" w:rsidRPr="00C33A88">
        <w:rPr>
          <w:rFonts w:ascii="Times New Roman" w:hAnsi="Times New Roman" w:cs="Times New Roman"/>
          <w:sz w:val="18"/>
          <w:szCs w:val="18"/>
        </w:rPr>
        <w:t xml:space="preserve"> </w:t>
      </w:r>
      <w:r w:rsidRPr="00C33A88">
        <w:rPr>
          <w:rFonts w:ascii="Times New Roman" w:hAnsi="Times New Roman" w:cs="Times New Roman"/>
          <w:sz w:val="18"/>
          <w:szCs w:val="18"/>
          <w:lang w:val="es-MX"/>
        </w:rPr>
        <w:t>2021 – 2020</w:t>
      </w:r>
    </w:p>
    <w:p w:rsidR="004C2A11" w:rsidRPr="00C33A88" w:rsidRDefault="00865EB0" w:rsidP="004C2A11">
      <w:pPr>
        <w:pStyle w:val="Sinespaciado"/>
        <w:jc w:val="center"/>
        <w:rPr>
          <w:rFonts w:ascii="Times New Roman" w:hAnsi="Times New Roman" w:cs="Times New Roman"/>
          <w:sz w:val="18"/>
          <w:lang w:val="es-MX"/>
        </w:rPr>
      </w:pPr>
      <w:r w:rsidRPr="00C33A88">
        <w:rPr>
          <w:rFonts w:ascii="Times New Roman" w:hAnsi="Times New Roman" w:cs="Times New Roman"/>
          <w:noProof/>
          <w:sz w:val="18"/>
          <w:lang w:eastAsia="es-GT"/>
        </w:rPr>
        <w:drawing>
          <wp:anchor distT="0" distB="0" distL="114300" distR="114300" simplePos="0" relativeHeight="251797504" behindDoc="0" locked="0" layoutInCell="1" allowOverlap="1" wp14:anchorId="432DE752" wp14:editId="531007A9">
            <wp:simplePos x="0" y="0"/>
            <wp:positionH relativeFrom="column">
              <wp:posOffset>5715</wp:posOffset>
            </wp:positionH>
            <wp:positionV relativeFrom="paragraph">
              <wp:posOffset>177165</wp:posOffset>
            </wp:positionV>
            <wp:extent cx="2790190" cy="3067050"/>
            <wp:effectExtent l="0" t="0" r="0" b="0"/>
            <wp:wrapSquare wrapText="bothSides"/>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C2A11" w:rsidRPr="00C33A88">
        <w:rPr>
          <w:rFonts w:ascii="Times New Roman" w:hAnsi="Times New Roman" w:cs="Times New Roman"/>
          <w:sz w:val="18"/>
          <w:lang w:val="es-MX"/>
        </w:rPr>
        <w:t>Variación absoluta interanual</w:t>
      </w:r>
    </w:p>
    <w:p w:rsidR="004C2A11" w:rsidRPr="00062433" w:rsidRDefault="004C2A11" w:rsidP="004C2A11">
      <w:pPr>
        <w:spacing w:after="0" w:line="240" w:lineRule="auto"/>
        <w:jc w:val="both"/>
        <w:rPr>
          <w:rFonts w:ascii="Times New Roman" w:hAnsi="Times New Roman" w:cs="Times New Roman"/>
          <w:color w:val="FF0000"/>
          <w:sz w:val="16"/>
        </w:rPr>
      </w:pPr>
      <w:r w:rsidRPr="00C33A88">
        <w:rPr>
          <w:rFonts w:ascii="Times New Roman" w:hAnsi="Times New Roman" w:cs="Times New Roman"/>
          <w:sz w:val="16"/>
        </w:rPr>
        <w:t>Fuente: Dirección de Análisis y Política Fiscal</w:t>
      </w:r>
    </w:p>
    <w:p w:rsidR="00865EB0" w:rsidRDefault="00865EB0"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27</w:t>
      </w:r>
      <w:r w:rsidRPr="006220B2">
        <w:rPr>
          <w:rFonts w:ascii="Times New Roman" w:hAnsi="Times New Roman" w:cs="Times New Roman"/>
          <w:lang w:val="es-MX"/>
        </w:rPr>
        <w:t>,</w:t>
      </w:r>
      <w:r>
        <w:rPr>
          <w:rFonts w:ascii="Times New Roman" w:hAnsi="Times New Roman" w:cs="Times New Roman"/>
          <w:lang w:val="es-MX"/>
        </w:rPr>
        <w:t xml:space="preserve">235.5 </w:t>
      </w:r>
      <w:r w:rsidRPr="006220B2">
        <w:rPr>
          <w:rFonts w:ascii="Times New Roman" w:hAnsi="Times New Roman" w:cs="Times New Roman"/>
          <w:lang w:val="es-MX"/>
        </w:rPr>
        <w:t>millones</w:t>
      </w:r>
      <w:r>
        <w:rPr>
          <w:rFonts w:ascii="Times New Roman" w:hAnsi="Times New Roman" w:cs="Times New Roman"/>
          <w:lang w:val="es-MX"/>
        </w:rPr>
        <w:t>, con un grado de ejecución de 25.3% y una variación interanual de 10.8%.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26.3</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a excepción del 2020, cuando el grado de ejecución fue de 24.0%. </w:t>
      </w:r>
    </w:p>
    <w:p w:rsidR="00C33A88" w:rsidRDefault="00C33A88" w:rsidP="00C33A88">
      <w:pPr>
        <w:pStyle w:val="Sinespaciado"/>
        <w:jc w:val="both"/>
        <w:rPr>
          <w:rFonts w:ascii="Times New Roman" w:hAnsi="Times New Roman" w:cs="Times New Roman"/>
          <w:lang w:val="es-MX"/>
        </w:rPr>
      </w:pPr>
    </w:p>
    <w:p w:rsidR="004C2A11" w:rsidRPr="00062433" w:rsidRDefault="00C33A88" w:rsidP="00C33A88">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El grado de ejecución se percibe bajo por el efecto de contar con un presupuesto vigente de Q107,521.5 millones, el cual responde a la coyuntura del COVID-19 del año 2020. E</w:t>
      </w:r>
      <w:r w:rsidRPr="00034070">
        <w:rPr>
          <w:rFonts w:ascii="Times New Roman" w:hAnsi="Times New Roman" w:cs="Times New Roman"/>
          <w:lang w:val="es-MX"/>
        </w:rPr>
        <w:t xml:space="preserve">l Ejecutivo comunicó que el gasto máximo en el </w:t>
      </w:r>
      <w:r>
        <w:rPr>
          <w:rFonts w:ascii="Times New Roman" w:hAnsi="Times New Roman" w:cs="Times New Roman"/>
          <w:lang w:val="es-MX"/>
        </w:rPr>
        <w:t>que se puede incurrir durante este</w:t>
      </w:r>
      <w:r w:rsidRPr="00034070">
        <w:rPr>
          <w:rFonts w:ascii="Times New Roman" w:hAnsi="Times New Roman" w:cs="Times New Roman"/>
          <w:lang w:val="es-MX"/>
        </w:rPr>
        <w:t xml:space="preserve"> presente ejercicio fiscal asciende a Q94,354.0 millones, </w:t>
      </w:r>
      <w:r>
        <w:rPr>
          <w:rFonts w:ascii="Times New Roman" w:hAnsi="Times New Roman" w:cs="Times New Roman"/>
          <w:lang w:val="es-MX"/>
        </w:rPr>
        <w:t>tomando en consideración este escenario, una ejecución más realista podría ubicarse en 28.9%, siendo superior al promedio de los últimos 5 años y a cada uno de los años anteriores.</w:t>
      </w:r>
      <w:r w:rsidR="004C2A11" w:rsidRPr="00062433">
        <w:rPr>
          <w:rFonts w:ascii="Times New Roman" w:hAnsi="Times New Roman" w:cs="Times New Roman"/>
          <w:color w:val="FF0000"/>
          <w:lang w:val="es-MX"/>
        </w:rPr>
        <w:t xml:space="preserve"> </w:t>
      </w:r>
    </w:p>
    <w:p w:rsidR="004C2A11" w:rsidRPr="00062433" w:rsidRDefault="004C2A11" w:rsidP="004C2A11">
      <w:pPr>
        <w:pStyle w:val="Sinespaciado"/>
        <w:jc w:val="both"/>
        <w:rPr>
          <w:rFonts w:ascii="Times New Roman" w:hAnsi="Times New Roman" w:cs="Times New Roman"/>
          <w:color w:val="FF0000"/>
          <w:lang w:val="es-MX"/>
        </w:rPr>
      </w:pPr>
    </w:p>
    <w:p w:rsidR="004C2A11" w:rsidRPr="00C33A88" w:rsidRDefault="004C2A11" w:rsidP="004C2A11">
      <w:pPr>
        <w:spacing w:after="0" w:line="240" w:lineRule="auto"/>
        <w:jc w:val="center"/>
        <w:rPr>
          <w:rFonts w:ascii="Times New Roman" w:hAnsi="Times New Roman" w:cs="Times New Roman"/>
          <w:b/>
          <w:lang w:val="es-MX"/>
        </w:rPr>
      </w:pPr>
      <w:r w:rsidRPr="00C33A88">
        <w:rPr>
          <w:rFonts w:ascii="Times New Roman" w:hAnsi="Times New Roman" w:cs="Times New Roman"/>
          <w:b/>
          <w:lang w:val="es-MX"/>
        </w:rPr>
        <w:t>Grado de Ejecución de los últimos 5 años</w:t>
      </w:r>
    </w:p>
    <w:p w:rsidR="004C2A11" w:rsidRPr="00C33A88" w:rsidRDefault="004C2A11" w:rsidP="004C2A11">
      <w:pPr>
        <w:pStyle w:val="Sinespaciado"/>
        <w:jc w:val="center"/>
        <w:rPr>
          <w:rFonts w:ascii="Times New Roman" w:hAnsi="Times New Roman" w:cs="Times New Roman"/>
          <w:sz w:val="18"/>
          <w:szCs w:val="18"/>
          <w:lang w:val="es-MX"/>
        </w:rPr>
      </w:pPr>
      <w:r w:rsidRPr="00C33A88">
        <w:rPr>
          <w:rFonts w:ascii="Times New Roman" w:hAnsi="Times New Roman" w:cs="Times New Roman"/>
          <w:sz w:val="18"/>
          <w:szCs w:val="18"/>
          <w:lang w:val="es-MX"/>
        </w:rPr>
        <w:t>Al 30 de abril de cada año</w:t>
      </w:r>
    </w:p>
    <w:p w:rsidR="004C2A11" w:rsidRPr="00C33A88" w:rsidRDefault="00865EB0" w:rsidP="004C2A11">
      <w:pPr>
        <w:pStyle w:val="Sinespaciado"/>
        <w:jc w:val="center"/>
        <w:rPr>
          <w:rFonts w:ascii="Times New Roman" w:hAnsi="Times New Roman" w:cs="Times New Roman"/>
          <w:sz w:val="18"/>
          <w:szCs w:val="18"/>
          <w:lang w:val="es-MX"/>
        </w:rPr>
      </w:pPr>
      <w:r w:rsidRPr="00C33A88">
        <w:rPr>
          <w:rFonts w:ascii="Times New Roman" w:hAnsi="Times New Roman" w:cs="Times New Roman"/>
          <w:noProof/>
          <w:sz w:val="18"/>
          <w:szCs w:val="18"/>
          <w:lang w:eastAsia="es-GT"/>
        </w:rPr>
        <w:drawing>
          <wp:anchor distT="0" distB="0" distL="114300" distR="114300" simplePos="0" relativeHeight="251799552" behindDoc="0" locked="0" layoutInCell="1" allowOverlap="1" wp14:anchorId="71470EB8" wp14:editId="4E0C9830">
            <wp:simplePos x="0" y="0"/>
            <wp:positionH relativeFrom="column">
              <wp:posOffset>0</wp:posOffset>
            </wp:positionH>
            <wp:positionV relativeFrom="paragraph">
              <wp:posOffset>177165</wp:posOffset>
            </wp:positionV>
            <wp:extent cx="2830195" cy="1990725"/>
            <wp:effectExtent l="0" t="0" r="8255" b="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4C2A11" w:rsidRPr="00C33A88">
        <w:rPr>
          <w:rFonts w:ascii="Times New Roman" w:hAnsi="Times New Roman" w:cs="Times New Roman"/>
          <w:sz w:val="18"/>
          <w:szCs w:val="18"/>
          <w:lang w:val="es-MX"/>
        </w:rPr>
        <w:t>Cifras en porcentajes</w:t>
      </w:r>
    </w:p>
    <w:p w:rsidR="004C2A11" w:rsidRPr="00C33A88" w:rsidRDefault="004C2A11" w:rsidP="004C2A11">
      <w:pPr>
        <w:spacing w:after="0" w:line="240" w:lineRule="auto"/>
        <w:jc w:val="both"/>
        <w:rPr>
          <w:rFonts w:ascii="Times New Roman" w:hAnsi="Times New Roman" w:cs="Times New Roman"/>
          <w:b/>
          <w:i/>
          <w:sz w:val="16"/>
        </w:rPr>
      </w:pPr>
      <w:r w:rsidRPr="00C33A88">
        <w:rPr>
          <w:rFonts w:ascii="Times New Roman" w:hAnsi="Times New Roman" w:cs="Times New Roman"/>
          <w:b/>
          <w:i/>
          <w:sz w:val="16"/>
        </w:rPr>
        <w:t>*Con presupuesto 2021 ajustado Q94,354.0 millones</w:t>
      </w:r>
    </w:p>
    <w:p w:rsidR="004C2A11" w:rsidRPr="00C33A88" w:rsidRDefault="004C2A11" w:rsidP="004C2A11">
      <w:pPr>
        <w:spacing w:after="0" w:line="240" w:lineRule="auto"/>
        <w:jc w:val="both"/>
        <w:rPr>
          <w:rFonts w:ascii="Times New Roman" w:hAnsi="Times New Roman" w:cs="Times New Roman"/>
          <w:sz w:val="16"/>
        </w:rPr>
      </w:pPr>
      <w:r w:rsidRPr="00C33A88">
        <w:rPr>
          <w:rFonts w:ascii="Times New Roman" w:hAnsi="Times New Roman" w:cs="Times New Roman"/>
          <w:sz w:val="16"/>
        </w:rPr>
        <w:t>Fuente: Dirección de Análisis y Política Fiscal</w:t>
      </w:r>
    </w:p>
    <w:p w:rsidR="004C2A11" w:rsidRPr="00062433" w:rsidRDefault="004C2A11" w:rsidP="004C2A11">
      <w:pPr>
        <w:pStyle w:val="Sinespaciado"/>
        <w:jc w:val="both"/>
        <w:rPr>
          <w:rFonts w:ascii="Times New Roman" w:hAnsi="Times New Roman" w:cs="Times New Roman"/>
          <w:color w:val="FF0000"/>
        </w:rPr>
      </w:pPr>
    </w:p>
    <w:p w:rsidR="00C33A88" w:rsidRDefault="00C33A88" w:rsidP="00C33A88">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(37.2%),</w:t>
      </w:r>
      <w:r w:rsidRPr="00904449">
        <w:t xml:space="preserve"> </w:t>
      </w:r>
      <w:r w:rsidRPr="004523BC">
        <w:rPr>
          <w:rFonts w:ascii="Times New Roman" w:hAnsi="Times New Roman" w:cs="Times New Roman"/>
        </w:rPr>
        <w:t xml:space="preserve">Deuda Pública </w:t>
      </w:r>
      <w:r>
        <w:rPr>
          <w:rFonts w:ascii="Times New Roman" w:hAnsi="Times New Roman" w:cs="Times New Roman"/>
        </w:rPr>
        <w:t xml:space="preserve">(33.2%), Ambiente (32.9%), </w:t>
      </w:r>
      <w:r w:rsidRPr="00904449">
        <w:rPr>
          <w:rFonts w:ascii="Times New Roman" w:hAnsi="Times New Roman" w:cs="Times New Roman"/>
        </w:rPr>
        <w:t>Educación (</w:t>
      </w:r>
      <w:r>
        <w:rPr>
          <w:rFonts w:ascii="Times New Roman" w:hAnsi="Times New Roman" w:cs="Times New Roman"/>
        </w:rPr>
        <w:t>31</w:t>
      </w:r>
      <w:r w:rsidRPr="00904449">
        <w:rPr>
          <w:rFonts w:ascii="Times New Roman" w:hAnsi="Times New Roman" w:cs="Times New Roman"/>
        </w:rPr>
        <w:t>.</w:t>
      </w:r>
      <w:r>
        <w:rPr>
          <w:rFonts w:ascii="Times New Roman" w:hAnsi="Times New Roman" w:cs="Times New Roman"/>
        </w:rPr>
        <w:t>5%), Gobernación (</w:t>
      </w:r>
      <w:r w:rsidRPr="00904449">
        <w:rPr>
          <w:rFonts w:ascii="Times New Roman" w:hAnsi="Times New Roman" w:cs="Times New Roman"/>
        </w:rPr>
        <w:t>3</w:t>
      </w:r>
      <w:r>
        <w:rPr>
          <w:rFonts w:ascii="Times New Roman" w:hAnsi="Times New Roman" w:cs="Times New Roman"/>
        </w:rPr>
        <w:t>0.0</w:t>
      </w:r>
      <w:r w:rsidRPr="00904449">
        <w:rPr>
          <w:rFonts w:ascii="Times New Roman" w:hAnsi="Times New Roman" w:cs="Times New Roman"/>
        </w:rPr>
        <w:t>%),</w:t>
      </w:r>
      <w:r>
        <w:rPr>
          <w:rFonts w:ascii="Times New Roman" w:hAnsi="Times New Roman" w:cs="Times New Roman"/>
        </w:rPr>
        <w:t xml:space="preserve"> Salud Pública (29.9%), Trabajo (27.2%), MINREX (26.3%), Energía (26.0%), Defensa (25.4%), todas estas entidades se encuentran por arriba de la ejecución institucional total. </w:t>
      </w:r>
    </w:p>
    <w:p w:rsidR="00C33A88" w:rsidRDefault="00C33A88" w:rsidP="00C33A88">
      <w:pPr>
        <w:pStyle w:val="Sinespaciado"/>
        <w:jc w:val="both"/>
        <w:rPr>
          <w:rFonts w:ascii="Times New Roman" w:hAnsi="Times New Roman" w:cs="Times New Roman"/>
        </w:rPr>
      </w:pPr>
    </w:p>
    <w:p w:rsidR="00C33A88" w:rsidRDefault="00C33A88" w:rsidP="00C33A88">
      <w:pPr>
        <w:pStyle w:val="Sinespaciado"/>
        <w:jc w:val="both"/>
        <w:rPr>
          <w:rFonts w:ascii="Times New Roman" w:hAnsi="Times New Roman" w:cs="Times New Roman"/>
        </w:rPr>
      </w:pPr>
      <w:r>
        <w:rPr>
          <w:rFonts w:ascii="Times New Roman" w:hAnsi="Times New Roman" w:cs="Times New Roman"/>
        </w:rPr>
        <w:t>Por su parte, el resto de las entidades se encuentran por debajo de la ejecución total, resalta el caso de dos entidades, siendo Desarrollo Social (3.9%) y Economía (2.7%).</w:t>
      </w:r>
    </w:p>
    <w:p w:rsidR="00C33A88" w:rsidRDefault="00C33A88" w:rsidP="00C33A88">
      <w:pPr>
        <w:pStyle w:val="Sinespaciado"/>
        <w:jc w:val="both"/>
        <w:rPr>
          <w:rFonts w:ascii="Times New Roman" w:hAnsi="Times New Roman" w:cs="Times New Roman"/>
        </w:rPr>
      </w:pPr>
    </w:p>
    <w:p w:rsidR="004C2A11" w:rsidRPr="00062433" w:rsidRDefault="00C33A88" w:rsidP="00C33A88">
      <w:pPr>
        <w:pStyle w:val="Sinespaciado"/>
        <w:jc w:val="both"/>
        <w:rPr>
          <w:rFonts w:ascii="Times New Roman" w:hAnsi="Times New Roman" w:cs="Times New Roman"/>
          <w:color w:val="FF0000"/>
        </w:rPr>
      </w:pPr>
      <w:r>
        <w:rPr>
          <w:rFonts w:ascii="Times New Roman" w:hAnsi="Times New Roman" w:cs="Times New Roman"/>
        </w:rPr>
        <w:lastRenderedPageBreak/>
        <w:t>En el caso de ambas entidades, la baja ejecución se debe a un presupuesto que responde a los programas asociados a la atención de la crisis ocasionada por el COVID-19 y por ello el presupuesto vigente supera ampliamente al presupuesto histórico de dichas entidades.</w:t>
      </w:r>
      <w:r w:rsidR="004C2A11" w:rsidRPr="00062433">
        <w:rPr>
          <w:rFonts w:ascii="Times New Roman" w:hAnsi="Times New Roman" w:cs="Times New Roman"/>
          <w:color w:val="FF0000"/>
        </w:rPr>
        <w:t xml:space="preserve"> </w:t>
      </w:r>
    </w:p>
    <w:p w:rsidR="004C2A11" w:rsidRPr="00C33A88" w:rsidRDefault="004C2A11" w:rsidP="004C2A11">
      <w:pPr>
        <w:spacing w:after="0" w:line="240" w:lineRule="auto"/>
        <w:rPr>
          <w:rFonts w:ascii="Times New Roman" w:hAnsi="Times New Roman" w:cs="Times New Roman"/>
          <w:b/>
          <w:lang w:val="es-MX"/>
        </w:rPr>
      </w:pPr>
    </w:p>
    <w:p w:rsidR="004C2A11" w:rsidRPr="00C33A88" w:rsidRDefault="004C2A11" w:rsidP="004C2A11">
      <w:pPr>
        <w:spacing w:after="0" w:line="240" w:lineRule="auto"/>
        <w:jc w:val="center"/>
        <w:rPr>
          <w:rFonts w:ascii="Times New Roman" w:hAnsi="Times New Roman" w:cs="Times New Roman"/>
          <w:b/>
          <w:lang w:val="es-MX"/>
        </w:rPr>
      </w:pPr>
      <w:r w:rsidRPr="00C33A88">
        <w:rPr>
          <w:rFonts w:ascii="Times New Roman" w:hAnsi="Times New Roman" w:cs="Times New Roman"/>
          <w:b/>
          <w:lang w:val="es-MX"/>
        </w:rPr>
        <w:t>Grado de Ejecución por Entidad</w:t>
      </w:r>
    </w:p>
    <w:p w:rsidR="004C2A11" w:rsidRPr="00C33A88" w:rsidRDefault="00865EB0" w:rsidP="004C2A11">
      <w:pPr>
        <w:spacing w:after="0" w:line="240" w:lineRule="auto"/>
        <w:jc w:val="center"/>
        <w:rPr>
          <w:rFonts w:ascii="Times New Roman" w:hAnsi="Times New Roman" w:cs="Times New Roman"/>
          <w:sz w:val="18"/>
          <w:szCs w:val="18"/>
          <w:lang w:val="es-MX"/>
        </w:rPr>
      </w:pPr>
      <w:r w:rsidRPr="00C33A88">
        <w:rPr>
          <w:rFonts w:ascii="Times New Roman" w:hAnsi="Times New Roman" w:cs="Times New Roman"/>
          <w:noProof/>
          <w:sz w:val="18"/>
          <w:szCs w:val="18"/>
          <w:lang w:eastAsia="es-GT"/>
        </w:rPr>
        <w:drawing>
          <wp:anchor distT="0" distB="0" distL="114300" distR="114300" simplePos="0" relativeHeight="251801600" behindDoc="0" locked="0" layoutInCell="1" allowOverlap="1" wp14:anchorId="551E45F0" wp14:editId="056DFD61">
            <wp:simplePos x="0" y="0"/>
            <wp:positionH relativeFrom="column">
              <wp:posOffset>-3810</wp:posOffset>
            </wp:positionH>
            <wp:positionV relativeFrom="paragraph">
              <wp:posOffset>262255</wp:posOffset>
            </wp:positionV>
            <wp:extent cx="2766695" cy="3419475"/>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C2A11" w:rsidRPr="00C33A88">
        <w:rPr>
          <w:rFonts w:ascii="Times New Roman" w:hAnsi="Times New Roman" w:cs="Times New Roman"/>
          <w:sz w:val="18"/>
          <w:szCs w:val="18"/>
          <w:lang w:val="es-MX"/>
        </w:rPr>
        <w:t>Al 30 de abril del 2021</w:t>
      </w:r>
    </w:p>
    <w:p w:rsidR="004C2A11" w:rsidRPr="00C33A88" w:rsidRDefault="004C2A11" w:rsidP="004C2A11">
      <w:pPr>
        <w:spacing w:after="0" w:line="240" w:lineRule="auto"/>
        <w:jc w:val="center"/>
        <w:rPr>
          <w:rFonts w:ascii="Times New Roman" w:hAnsi="Times New Roman" w:cs="Times New Roman"/>
          <w:sz w:val="18"/>
          <w:szCs w:val="18"/>
          <w:lang w:val="es-MX"/>
        </w:rPr>
      </w:pPr>
      <w:r w:rsidRPr="00C33A88">
        <w:rPr>
          <w:rFonts w:ascii="Times New Roman" w:hAnsi="Times New Roman" w:cs="Times New Roman"/>
          <w:sz w:val="18"/>
          <w:szCs w:val="18"/>
          <w:lang w:val="es-MX"/>
        </w:rPr>
        <w:t>Millones de quetzales</w:t>
      </w:r>
    </w:p>
    <w:p w:rsidR="004C2A11" w:rsidRPr="00C33A88" w:rsidRDefault="004C2A11" w:rsidP="004C2A11">
      <w:pPr>
        <w:spacing w:after="0" w:line="240" w:lineRule="auto"/>
        <w:jc w:val="both"/>
        <w:rPr>
          <w:rFonts w:ascii="Times New Roman" w:hAnsi="Times New Roman" w:cs="Times New Roman"/>
          <w:sz w:val="16"/>
        </w:rPr>
      </w:pPr>
      <w:r w:rsidRPr="00C33A88">
        <w:rPr>
          <w:rFonts w:ascii="Times New Roman" w:hAnsi="Times New Roman" w:cs="Times New Roman"/>
          <w:sz w:val="16"/>
        </w:rPr>
        <w:t>Fuente: Dirección de Análisis y Política Fiscal</w:t>
      </w:r>
    </w:p>
    <w:p w:rsidR="004C2A11" w:rsidRPr="00062433" w:rsidRDefault="004C2A11" w:rsidP="004C2A11">
      <w:pPr>
        <w:pStyle w:val="Sinespaciado"/>
        <w:jc w:val="both"/>
        <w:rPr>
          <w:rFonts w:ascii="Times New Roman" w:hAnsi="Times New Roman" w:cs="Times New Roman"/>
          <w:color w:val="FF0000"/>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este reporta un mayor dinamismo respecto al año previo, con un crecimiento </w:t>
      </w:r>
      <w:r w:rsidRPr="00321A9C">
        <w:rPr>
          <w:rFonts w:ascii="Times New Roman" w:hAnsi="Times New Roman" w:cs="Times New Roman"/>
          <w:lang w:val="es-MX"/>
        </w:rPr>
        <w:t xml:space="preserve">interanual de </w:t>
      </w:r>
      <w:r>
        <w:rPr>
          <w:rFonts w:ascii="Times New Roman" w:hAnsi="Times New Roman" w:cs="Times New Roman"/>
          <w:lang w:val="es-MX"/>
        </w:rPr>
        <w:t>7.3</w:t>
      </w:r>
      <w:r w:rsidRPr="00321A9C">
        <w:rPr>
          <w:rFonts w:ascii="Times New Roman" w:hAnsi="Times New Roman" w:cs="Times New Roman"/>
          <w:lang w:val="es-MX"/>
        </w:rPr>
        <w:t>%</w:t>
      </w:r>
      <w:r>
        <w:rPr>
          <w:rFonts w:ascii="Times New Roman" w:hAnsi="Times New Roman" w:cs="Times New Roman"/>
          <w:lang w:val="es-MX"/>
        </w:rPr>
        <w:t>, equivalente a Q917.5 millones</w:t>
      </w:r>
      <w:r w:rsidRPr="00321A9C">
        <w:rPr>
          <w:rFonts w:ascii="Times New Roman" w:hAnsi="Times New Roman" w:cs="Times New Roman"/>
          <w:lang w:val="es-MX"/>
        </w:rPr>
        <w:t xml:space="preserve">.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Del gasto social asociado a los compromisos de los Acuerdos de Paz, el aporte al Organismo Judicial y a la Corte de Constitucionalidad se encuentra cayendo en Q253.5 millones, que se ve reflejado en un menor desempeño de las transferencias corrientes al sector público. Por su parte, el aporte al Ministerio Público sufrió una contracción de 8.0%. </w:t>
      </w:r>
    </w:p>
    <w:p w:rsidR="00C33A88" w:rsidRDefault="00C33A88" w:rsidP="00C33A88">
      <w:pPr>
        <w:pStyle w:val="Sinespaciado"/>
        <w:jc w:val="both"/>
        <w:rPr>
          <w:rFonts w:ascii="Times New Roman" w:hAnsi="Times New Roman" w:cs="Times New Roman"/>
          <w:lang w:val="es-MX"/>
        </w:rPr>
      </w:pPr>
    </w:p>
    <w:p w:rsidR="00C33A88" w:rsidRDefault="00C33A88" w:rsidP="00C33A88">
      <w:pPr>
        <w:pStyle w:val="Sinespaciado"/>
        <w:jc w:val="both"/>
        <w:rPr>
          <w:rFonts w:ascii="Times New Roman" w:hAnsi="Times New Roman" w:cs="Times New Roman"/>
          <w:lang w:val="es-MX"/>
        </w:rPr>
      </w:pPr>
      <w:r>
        <w:rPr>
          <w:rFonts w:ascii="Times New Roman" w:hAnsi="Times New Roman" w:cs="Times New Roman"/>
          <w:lang w:val="es-MX"/>
        </w:rPr>
        <w:t xml:space="preserve">Respecto a las finalidades del gasto social que se encuentran creciendo, el sector de Salud y Asistencia Social reporta un aumento importante de Q914.1 millones (equivalente a 31.4%), asociado a la compra de las vacunas para hacer frente a la pandemia. Mientras que en términos absolutos le sigue el sector de Seguridad Interna con un aumento de Q254.2 millones (equivalente a 15.8%). </w:t>
      </w:r>
    </w:p>
    <w:p w:rsidR="00C33A88" w:rsidRDefault="00C33A88" w:rsidP="00C33A88">
      <w:pPr>
        <w:pStyle w:val="Sinespaciado"/>
        <w:jc w:val="both"/>
        <w:rPr>
          <w:rFonts w:ascii="Times New Roman" w:hAnsi="Times New Roman" w:cs="Times New Roman"/>
          <w:lang w:val="es-MX"/>
        </w:rPr>
      </w:pPr>
    </w:p>
    <w:p w:rsidR="004C2A11" w:rsidRPr="00062433" w:rsidRDefault="00C33A88" w:rsidP="00C33A88">
      <w:pPr>
        <w:pStyle w:val="Sinespaciado"/>
        <w:jc w:val="both"/>
        <w:rPr>
          <w:rFonts w:ascii="Times New Roman" w:hAnsi="Times New Roman" w:cs="Times New Roman"/>
          <w:color w:val="FF0000"/>
          <w:lang w:val="es-MX"/>
        </w:rPr>
      </w:pPr>
      <w:r>
        <w:rPr>
          <w:rFonts w:ascii="Times New Roman" w:hAnsi="Times New Roman" w:cs="Times New Roman"/>
          <w:lang w:val="es-MX"/>
        </w:rPr>
        <w:t>El resto de los sectores que conforman el gasto social reportan una mayor ejecución respecto al año previo, aunque más modesta, siendo el caso del Sector Educación, Ciencia y Cultura con un aumento de Q26.8 millones y el sector Vivienda con un aumento de Q20.7 millones.</w:t>
      </w:r>
      <w:r w:rsidR="004C2A11" w:rsidRPr="00062433">
        <w:rPr>
          <w:rFonts w:ascii="Times New Roman" w:hAnsi="Times New Roman" w:cs="Times New Roman"/>
          <w:color w:val="FF0000"/>
          <w:lang w:val="es-MX"/>
        </w:rPr>
        <w:t xml:space="preserve">  </w:t>
      </w:r>
    </w:p>
    <w:p w:rsidR="004C2A11" w:rsidRPr="00C33A88" w:rsidRDefault="004C2A11" w:rsidP="00C33A88">
      <w:pPr>
        <w:pStyle w:val="Sinespaciado"/>
        <w:jc w:val="both"/>
        <w:rPr>
          <w:rFonts w:ascii="Times New Roman" w:hAnsi="Times New Roman" w:cs="Times New Roman"/>
          <w:color w:val="FF0000"/>
          <w:lang w:val="es-MX"/>
        </w:rPr>
      </w:pPr>
      <w:r w:rsidRPr="00062433">
        <w:rPr>
          <w:rFonts w:ascii="Times New Roman" w:hAnsi="Times New Roman" w:cs="Times New Roman"/>
          <w:color w:val="FF0000"/>
          <w:lang w:val="es-MX"/>
        </w:rPr>
        <w:t xml:space="preserve"> </w:t>
      </w:r>
    </w:p>
    <w:p w:rsidR="004C2A11" w:rsidRPr="00C33A88" w:rsidRDefault="004C2A11" w:rsidP="004C2A11">
      <w:pPr>
        <w:pStyle w:val="Sinespaciado"/>
        <w:jc w:val="center"/>
        <w:rPr>
          <w:rFonts w:ascii="Times New Roman" w:hAnsi="Times New Roman" w:cs="Times New Roman"/>
          <w:b/>
          <w:lang w:val="es-MX"/>
        </w:rPr>
      </w:pPr>
      <w:r w:rsidRPr="00C33A88">
        <w:rPr>
          <w:rFonts w:ascii="Times New Roman" w:hAnsi="Times New Roman" w:cs="Times New Roman"/>
          <w:b/>
          <w:lang w:val="es-MX"/>
        </w:rPr>
        <w:t xml:space="preserve">Ejecución y crecimiento del Gasto Social </w:t>
      </w:r>
    </w:p>
    <w:p w:rsidR="004C2A11" w:rsidRPr="00C33A88" w:rsidRDefault="004C2A11" w:rsidP="004C2A11">
      <w:pPr>
        <w:pStyle w:val="Sinespaciado"/>
        <w:jc w:val="center"/>
        <w:rPr>
          <w:rFonts w:ascii="Times New Roman" w:hAnsi="Times New Roman" w:cs="Times New Roman"/>
          <w:sz w:val="18"/>
          <w:szCs w:val="18"/>
          <w:lang w:val="es-MX"/>
        </w:rPr>
      </w:pPr>
      <w:r w:rsidRPr="00C33A88">
        <w:rPr>
          <w:rFonts w:ascii="Times New Roman" w:hAnsi="Times New Roman" w:cs="Times New Roman"/>
          <w:sz w:val="18"/>
          <w:szCs w:val="18"/>
          <w:lang w:val="es-MX"/>
        </w:rPr>
        <w:t>Al 30 de abril 2021</w:t>
      </w:r>
    </w:p>
    <w:p w:rsidR="004C2A11" w:rsidRPr="00C33A88" w:rsidRDefault="00CF4D18" w:rsidP="004C2A11">
      <w:pPr>
        <w:pStyle w:val="Sinespaciado"/>
        <w:jc w:val="center"/>
        <w:rPr>
          <w:rFonts w:ascii="Times New Roman" w:hAnsi="Times New Roman" w:cs="Times New Roman"/>
          <w:sz w:val="18"/>
          <w:szCs w:val="18"/>
          <w:lang w:val="es-MX"/>
        </w:rPr>
      </w:pPr>
      <w:r w:rsidRPr="00C33A88">
        <w:rPr>
          <w:noProof/>
          <w:lang w:eastAsia="es-GT"/>
        </w:rPr>
        <w:drawing>
          <wp:anchor distT="0" distB="0" distL="114300" distR="114300" simplePos="0" relativeHeight="251803648" behindDoc="0" locked="0" layoutInCell="1" allowOverlap="1" wp14:anchorId="0D45693E" wp14:editId="3AE31CA2">
            <wp:simplePos x="0" y="0"/>
            <wp:positionH relativeFrom="column">
              <wp:posOffset>-60325</wp:posOffset>
            </wp:positionH>
            <wp:positionV relativeFrom="paragraph">
              <wp:posOffset>149225</wp:posOffset>
            </wp:positionV>
            <wp:extent cx="2852420" cy="1475105"/>
            <wp:effectExtent l="0" t="0" r="5080" b="0"/>
            <wp:wrapSquare wrapText="bothSides"/>
            <wp:docPr id="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242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11" w:rsidRPr="00C33A88">
        <w:rPr>
          <w:rFonts w:ascii="Times New Roman" w:hAnsi="Times New Roman" w:cs="Times New Roman"/>
          <w:sz w:val="18"/>
          <w:szCs w:val="18"/>
          <w:lang w:val="es-MX"/>
        </w:rPr>
        <w:t>Cifras en porcentajes y en millones de quetzales</w:t>
      </w:r>
    </w:p>
    <w:p w:rsidR="00865EB0" w:rsidRPr="00CF4D18" w:rsidRDefault="004C2A11" w:rsidP="00CF4D18">
      <w:pPr>
        <w:pStyle w:val="Sinespaciado"/>
        <w:rPr>
          <w:rFonts w:ascii="Times New Roman" w:hAnsi="Times New Roman" w:cs="Times New Roman"/>
          <w:sz w:val="16"/>
        </w:rPr>
      </w:pPr>
      <w:r w:rsidRPr="00C33A88">
        <w:rPr>
          <w:rFonts w:ascii="Times New Roman" w:hAnsi="Times New Roman" w:cs="Times New Roman"/>
          <w:sz w:val="16"/>
        </w:rPr>
        <w:t>Fuente: Dirección de Análisis y Política Fiscal</w:t>
      </w:r>
    </w:p>
    <w:p w:rsidR="00945C92" w:rsidRPr="00062433" w:rsidRDefault="00945C92" w:rsidP="00BA782D">
      <w:pPr>
        <w:pStyle w:val="Sinespaciado"/>
        <w:jc w:val="both"/>
        <w:rPr>
          <w:rFonts w:ascii="Times New Roman" w:hAnsi="Times New Roman" w:cs="Times New Roman"/>
          <w:color w:val="FF0000"/>
          <w:sz w:val="16"/>
        </w:rPr>
      </w:pPr>
    </w:p>
    <w:p w:rsidR="00945C92" w:rsidRPr="00062433" w:rsidRDefault="00945C92" w:rsidP="00BA782D">
      <w:pPr>
        <w:pStyle w:val="Sinespaciado"/>
        <w:jc w:val="both"/>
        <w:rPr>
          <w:rFonts w:ascii="Times New Roman" w:hAnsi="Times New Roman" w:cs="Times New Roman"/>
          <w:color w:val="FF0000"/>
          <w:sz w:val="16"/>
        </w:rPr>
        <w:sectPr w:rsidR="00945C92" w:rsidRPr="00062433" w:rsidSect="00040C99">
          <w:headerReference w:type="default" r:id="rId25"/>
          <w:footerReference w:type="default" r:id="rId26"/>
          <w:type w:val="continuous"/>
          <w:pgSz w:w="12240" w:h="15840" w:code="1"/>
          <w:pgMar w:top="1418" w:right="1418" w:bottom="1418" w:left="1701" w:header="709" w:footer="709" w:gutter="0"/>
          <w:cols w:num="2" w:space="708"/>
          <w:docGrid w:linePitch="360"/>
        </w:sectPr>
      </w:pPr>
    </w:p>
    <w:p w:rsidR="00BA782D" w:rsidRPr="00062433" w:rsidRDefault="00BA782D" w:rsidP="00216605">
      <w:pPr>
        <w:pStyle w:val="Sinespaciado"/>
        <w:jc w:val="both"/>
        <w:rPr>
          <w:rFonts w:ascii="Times New Roman" w:hAnsi="Times New Roman" w:cs="Times New Roman"/>
          <w:color w:val="FF0000"/>
          <w:sz w:val="2"/>
          <w:lang w:val="es-MX"/>
        </w:rPr>
      </w:pPr>
    </w:p>
    <w:p w:rsidR="00216605" w:rsidRPr="001D719C" w:rsidRDefault="00AD7F64"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1D719C" w:rsidSect="00FA3B81">
          <w:type w:val="continuous"/>
          <w:pgSz w:w="12240" w:h="15840" w:code="1"/>
          <w:pgMar w:top="1418" w:right="1418" w:bottom="1418" w:left="1418" w:header="709" w:footer="709" w:gutter="0"/>
          <w:cols w:space="708"/>
          <w:docGrid w:linePitch="360"/>
        </w:sectPr>
      </w:pPr>
      <w:r w:rsidRPr="001D719C">
        <w:rPr>
          <w:rFonts w:ascii="Times New Roman" w:hAnsi="Times New Roman" w:cs="Times New Roman"/>
          <w:b/>
          <w:lang w:val="es-MX"/>
        </w:rPr>
        <w:t>Colocación de Bonos en el mercado interno</w:t>
      </w:r>
    </w:p>
    <w:p w:rsidR="00216605" w:rsidRPr="00062433" w:rsidRDefault="00216605" w:rsidP="00216605">
      <w:pPr>
        <w:pStyle w:val="Sinespaciado"/>
        <w:rPr>
          <w:rFonts w:ascii="Times New Roman" w:hAnsi="Times New Roman" w:cs="Times New Roman"/>
          <w:b/>
          <w:color w:val="FF0000"/>
          <w:sz w:val="18"/>
          <w:lang w:val="es-MX"/>
        </w:rPr>
      </w:pPr>
    </w:p>
    <w:p w:rsidR="00216605" w:rsidRPr="00062433" w:rsidRDefault="00216605" w:rsidP="00216605">
      <w:pPr>
        <w:pStyle w:val="Sinespaciado"/>
        <w:rPr>
          <w:rFonts w:ascii="Times New Roman" w:hAnsi="Times New Roman" w:cs="Times New Roman"/>
          <w:b/>
          <w:color w:val="FF0000"/>
          <w:lang w:val="es-MX"/>
        </w:rPr>
        <w:sectPr w:rsidR="00216605" w:rsidRPr="00062433" w:rsidSect="004E358C">
          <w:type w:val="continuous"/>
          <w:pgSz w:w="12240" w:h="15840"/>
          <w:pgMar w:top="1417" w:right="1701" w:bottom="1417" w:left="1701" w:header="708" w:footer="708" w:gutter="0"/>
          <w:cols w:space="708"/>
          <w:docGrid w:linePitch="360"/>
        </w:sectPr>
      </w:pPr>
    </w:p>
    <w:p w:rsidR="00C33A88" w:rsidRPr="00785A8B" w:rsidRDefault="00C33A88" w:rsidP="00C33A88">
      <w:pPr>
        <w:pStyle w:val="Sinespaciado"/>
        <w:jc w:val="both"/>
        <w:rPr>
          <w:rFonts w:ascii="Times New Roman" w:hAnsi="Times New Roman" w:cs="Times New Roman"/>
        </w:rPr>
      </w:pPr>
      <w:r>
        <w:rPr>
          <w:rFonts w:ascii="Times New Roman" w:hAnsi="Times New Roman" w:cs="Times New Roman"/>
        </w:rPr>
        <w:lastRenderedPageBreak/>
        <w:t xml:space="preserve">Respecto al financiamiento del gasto público, </w:t>
      </w:r>
      <w:r w:rsidRPr="00785A8B">
        <w:rPr>
          <w:rFonts w:ascii="Times New Roman" w:hAnsi="Times New Roman" w:cs="Times New Roman"/>
        </w:rPr>
        <w:t>los desembolsos de préstamos</w:t>
      </w:r>
      <w:r>
        <w:rPr>
          <w:rFonts w:ascii="Times New Roman" w:hAnsi="Times New Roman" w:cs="Times New Roman"/>
        </w:rPr>
        <w:t xml:space="preserve"> aumentaron en abril alcanzando un nivel </w:t>
      </w:r>
      <w:r w:rsidRPr="00785A8B">
        <w:rPr>
          <w:rFonts w:ascii="Times New Roman" w:hAnsi="Times New Roman" w:cs="Times New Roman"/>
        </w:rPr>
        <w:t>de Q</w:t>
      </w:r>
      <w:r>
        <w:rPr>
          <w:rFonts w:ascii="Times New Roman" w:hAnsi="Times New Roman" w:cs="Times New Roman"/>
        </w:rPr>
        <w:t>265</w:t>
      </w:r>
      <w:r w:rsidRPr="00785A8B">
        <w:rPr>
          <w:rFonts w:ascii="Times New Roman" w:hAnsi="Times New Roman" w:cs="Times New Roman"/>
        </w:rPr>
        <w:t>.</w:t>
      </w:r>
      <w:r>
        <w:rPr>
          <w:rFonts w:ascii="Times New Roman" w:hAnsi="Times New Roman" w:cs="Times New Roman"/>
        </w:rPr>
        <w:t>2</w:t>
      </w:r>
      <w:r w:rsidRPr="00785A8B">
        <w:rPr>
          <w:rFonts w:ascii="Times New Roman" w:hAnsi="Times New Roman" w:cs="Times New Roman"/>
        </w:rPr>
        <w:t xml:space="preserve"> millones, mientras las amortizaciones alcanzaron los </w:t>
      </w:r>
      <w:r w:rsidRPr="00785A8B">
        <w:rPr>
          <w:rFonts w:ascii="Times New Roman" w:hAnsi="Times New Roman" w:cs="Times New Roman"/>
        </w:rPr>
        <w:lastRenderedPageBreak/>
        <w:t>Q</w:t>
      </w:r>
      <w:r>
        <w:rPr>
          <w:rFonts w:ascii="Times New Roman" w:hAnsi="Times New Roman" w:cs="Times New Roman"/>
        </w:rPr>
        <w:t>1,281</w:t>
      </w:r>
      <w:r w:rsidRPr="00785A8B">
        <w:rPr>
          <w:rFonts w:ascii="Times New Roman" w:hAnsi="Times New Roman" w:cs="Times New Roman"/>
        </w:rPr>
        <w:t>.</w:t>
      </w:r>
      <w:r>
        <w:rPr>
          <w:rFonts w:ascii="Times New Roman" w:hAnsi="Times New Roman" w:cs="Times New Roman"/>
        </w:rPr>
        <w:t>4</w:t>
      </w:r>
      <w:r w:rsidRPr="00785A8B">
        <w:rPr>
          <w:rFonts w:ascii="Times New Roman" w:hAnsi="Times New Roman" w:cs="Times New Roman"/>
        </w:rPr>
        <w:t xml:space="preserve"> millones y de esa cuenta el financiamiento externo neto es negativo en Q</w:t>
      </w:r>
      <w:r>
        <w:rPr>
          <w:rFonts w:ascii="Times New Roman" w:hAnsi="Times New Roman" w:cs="Times New Roman"/>
        </w:rPr>
        <w:t>1,013</w:t>
      </w:r>
      <w:r w:rsidRPr="00785A8B">
        <w:rPr>
          <w:rFonts w:ascii="Times New Roman" w:hAnsi="Times New Roman" w:cs="Times New Roman"/>
        </w:rPr>
        <w:t>.</w:t>
      </w:r>
      <w:r>
        <w:rPr>
          <w:rFonts w:ascii="Times New Roman" w:hAnsi="Times New Roman" w:cs="Times New Roman"/>
        </w:rPr>
        <w:t>4</w:t>
      </w:r>
      <w:r w:rsidRPr="00785A8B">
        <w:rPr>
          <w:rFonts w:ascii="Times New Roman" w:hAnsi="Times New Roman" w:cs="Times New Roman"/>
        </w:rPr>
        <w:t xml:space="preserve"> millones.</w:t>
      </w:r>
    </w:p>
    <w:p w:rsidR="00C33A88" w:rsidRDefault="00C33A88" w:rsidP="00C33A88">
      <w:pPr>
        <w:pStyle w:val="Sinespaciado"/>
        <w:jc w:val="both"/>
        <w:rPr>
          <w:rFonts w:ascii="Times New Roman" w:hAnsi="Times New Roman" w:cs="Times New Roman"/>
        </w:rPr>
      </w:pPr>
    </w:p>
    <w:p w:rsidR="00B807A2" w:rsidRPr="00062433" w:rsidRDefault="00C33A88" w:rsidP="00C33A88">
      <w:pPr>
        <w:pStyle w:val="Sinespaciado"/>
        <w:jc w:val="both"/>
        <w:rPr>
          <w:rFonts w:ascii="Times New Roman" w:hAnsi="Times New Roman" w:cs="Times New Roman"/>
          <w:color w:val="FF0000"/>
          <w:sz w:val="6"/>
        </w:rPr>
      </w:pPr>
      <w:r>
        <w:rPr>
          <w:rFonts w:ascii="Times New Roman" w:hAnsi="Times New Roman" w:cs="Times New Roman"/>
        </w:rPr>
        <w:lastRenderedPageBreak/>
        <w:t>En cuanto al financiamiento interno, durante marzo iniciaron las colocaciones de bonos del tesoro, en abril se desaceleraron por monto de colocación, hasta la fecha se han colocado Q7,983.6 millones, correspondiente al 32.6% del total autorizado, donde el 93.4% corresponde a nuevo endeudamiento y 6.6% roll over.</w:t>
      </w:r>
    </w:p>
    <w:p w:rsidR="00D60160" w:rsidRDefault="00D60160" w:rsidP="00C33A88">
      <w:pPr>
        <w:pStyle w:val="Sinespaciado"/>
        <w:jc w:val="both"/>
        <w:rPr>
          <w:rFonts w:ascii="Times New Roman" w:hAnsi="Times New Roman" w:cs="Times New Roman"/>
          <w:color w:val="FF0000"/>
          <w:sz w:val="16"/>
          <w:szCs w:val="16"/>
        </w:rPr>
      </w:pPr>
    </w:p>
    <w:p w:rsidR="00865EB0" w:rsidRDefault="00865EB0" w:rsidP="00C33A88">
      <w:pPr>
        <w:pStyle w:val="Sinespaciado"/>
        <w:jc w:val="both"/>
        <w:rPr>
          <w:rFonts w:ascii="Times New Roman" w:hAnsi="Times New Roman" w:cs="Times New Roman"/>
          <w:color w:val="FF0000"/>
          <w:sz w:val="16"/>
          <w:szCs w:val="16"/>
        </w:rPr>
      </w:pPr>
    </w:p>
    <w:p w:rsidR="00865EB0" w:rsidRDefault="00865EB0" w:rsidP="00C33A88">
      <w:pPr>
        <w:pStyle w:val="Sinespaciado"/>
        <w:jc w:val="both"/>
        <w:rPr>
          <w:rFonts w:ascii="Times New Roman" w:hAnsi="Times New Roman" w:cs="Times New Roman"/>
          <w:color w:val="FF0000"/>
          <w:sz w:val="16"/>
          <w:szCs w:val="16"/>
        </w:rPr>
      </w:pPr>
    </w:p>
    <w:p w:rsidR="00865EB0" w:rsidRDefault="00865EB0" w:rsidP="00C33A88">
      <w:pPr>
        <w:pStyle w:val="Sinespaciado"/>
        <w:jc w:val="both"/>
        <w:rPr>
          <w:rFonts w:ascii="Times New Roman" w:hAnsi="Times New Roman" w:cs="Times New Roman"/>
          <w:color w:val="FF0000"/>
          <w:sz w:val="16"/>
          <w:szCs w:val="16"/>
        </w:rPr>
      </w:pPr>
    </w:p>
    <w:p w:rsidR="00865EB0" w:rsidRDefault="00865EB0" w:rsidP="00C33A88">
      <w:pPr>
        <w:pStyle w:val="Sinespaciado"/>
        <w:jc w:val="both"/>
        <w:rPr>
          <w:rFonts w:ascii="Times New Roman" w:hAnsi="Times New Roman" w:cs="Times New Roman"/>
          <w:color w:val="FF0000"/>
          <w:sz w:val="16"/>
          <w:szCs w:val="16"/>
        </w:rPr>
      </w:pPr>
    </w:p>
    <w:p w:rsidR="00865EB0" w:rsidRDefault="00865EB0" w:rsidP="00C33A88">
      <w:pPr>
        <w:pStyle w:val="Sinespaciado"/>
        <w:jc w:val="both"/>
        <w:rPr>
          <w:rFonts w:ascii="Times New Roman" w:hAnsi="Times New Roman" w:cs="Times New Roman"/>
          <w:color w:val="FF0000"/>
          <w:sz w:val="16"/>
          <w:szCs w:val="16"/>
        </w:rPr>
      </w:pPr>
    </w:p>
    <w:p w:rsidR="00865EB0" w:rsidRPr="00C33A88" w:rsidRDefault="00865EB0" w:rsidP="00C33A88">
      <w:pPr>
        <w:pStyle w:val="Sinespaciado"/>
        <w:jc w:val="both"/>
        <w:rPr>
          <w:rFonts w:ascii="Times New Roman" w:hAnsi="Times New Roman" w:cs="Times New Roman"/>
          <w:color w:val="FF0000"/>
          <w:sz w:val="16"/>
          <w:szCs w:val="16"/>
        </w:rPr>
      </w:pPr>
    </w:p>
    <w:p w:rsidR="00AD7F64" w:rsidRPr="00C33A88" w:rsidRDefault="00AD7F64" w:rsidP="00AD7F64">
      <w:pPr>
        <w:spacing w:after="0" w:line="240" w:lineRule="auto"/>
        <w:jc w:val="center"/>
        <w:rPr>
          <w:rFonts w:ascii="Times New Roman" w:hAnsi="Times New Roman" w:cs="Times New Roman"/>
          <w:b/>
        </w:rPr>
      </w:pPr>
      <w:r w:rsidRPr="00C33A88">
        <w:rPr>
          <w:rFonts w:ascii="Times New Roman" w:hAnsi="Times New Roman" w:cs="Times New Roman"/>
          <w:b/>
        </w:rPr>
        <w:lastRenderedPageBreak/>
        <w:t>Colocación de Bonos del Tesoro</w:t>
      </w:r>
    </w:p>
    <w:p w:rsidR="00AD7F64" w:rsidRPr="00C33A88" w:rsidRDefault="00D60160" w:rsidP="00AD7F64">
      <w:pPr>
        <w:pStyle w:val="Sinespaciado"/>
        <w:jc w:val="center"/>
        <w:rPr>
          <w:rFonts w:ascii="Times New Roman" w:hAnsi="Times New Roman" w:cs="Times New Roman"/>
          <w:sz w:val="18"/>
        </w:rPr>
      </w:pPr>
      <w:r w:rsidRPr="00C33A88">
        <w:rPr>
          <w:rFonts w:ascii="Times New Roman" w:hAnsi="Times New Roman" w:cs="Times New Roman"/>
          <w:sz w:val="18"/>
        </w:rPr>
        <w:t>A abril</w:t>
      </w:r>
      <w:r w:rsidR="00AD7F64" w:rsidRPr="00C33A88">
        <w:rPr>
          <w:rFonts w:ascii="Times New Roman" w:hAnsi="Times New Roman" w:cs="Times New Roman"/>
          <w:sz w:val="18"/>
        </w:rPr>
        <w:t xml:space="preserve"> 2021</w:t>
      </w:r>
    </w:p>
    <w:p w:rsidR="00AD7F64" w:rsidRPr="00C33A88" w:rsidRDefault="00C33A88" w:rsidP="00AD7F64">
      <w:pPr>
        <w:pStyle w:val="Sinespaciado"/>
        <w:jc w:val="center"/>
        <w:rPr>
          <w:rFonts w:ascii="Times New Roman" w:hAnsi="Times New Roman" w:cs="Times New Roman"/>
          <w:sz w:val="18"/>
        </w:rPr>
      </w:pPr>
      <w:r w:rsidRPr="00C33A88">
        <w:rPr>
          <w:noProof/>
          <w:lang w:eastAsia="es-GT"/>
        </w:rPr>
        <w:drawing>
          <wp:anchor distT="0" distB="0" distL="114300" distR="114300" simplePos="0" relativeHeight="251805696" behindDoc="0" locked="0" layoutInCell="1" allowOverlap="1" wp14:anchorId="1208EEEC" wp14:editId="7BC28782">
            <wp:simplePos x="0" y="0"/>
            <wp:positionH relativeFrom="column">
              <wp:posOffset>-146050</wp:posOffset>
            </wp:positionH>
            <wp:positionV relativeFrom="paragraph">
              <wp:posOffset>207645</wp:posOffset>
            </wp:positionV>
            <wp:extent cx="2782570" cy="1351722"/>
            <wp:effectExtent l="0" t="0" r="0" b="1270"/>
            <wp:wrapSquare wrapText="bothSides"/>
            <wp:docPr id="235" name="Chart 11">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AD7F64" w:rsidRPr="00C33A88">
        <w:rPr>
          <w:rFonts w:ascii="Times New Roman" w:hAnsi="Times New Roman" w:cs="Times New Roman"/>
          <w:sz w:val="18"/>
        </w:rPr>
        <w:t>Millones de quetzales y porcentajes</w:t>
      </w:r>
    </w:p>
    <w:p w:rsidR="00996BA4" w:rsidRPr="00C33A88" w:rsidRDefault="00996BA4" w:rsidP="00996BA4">
      <w:pPr>
        <w:pStyle w:val="Sinespaciado"/>
        <w:rPr>
          <w:rFonts w:ascii="Times New Roman" w:hAnsi="Times New Roman" w:cs="Times New Roman"/>
          <w:sz w:val="16"/>
        </w:rPr>
      </w:pPr>
      <w:r w:rsidRPr="00C33A88">
        <w:rPr>
          <w:rFonts w:ascii="Times New Roman" w:hAnsi="Times New Roman" w:cs="Times New Roman"/>
          <w:sz w:val="16"/>
        </w:rPr>
        <w:t>Fuente: Dirección de Análisis y Política Fiscal</w:t>
      </w:r>
    </w:p>
    <w:p w:rsidR="00943253" w:rsidRDefault="00943253" w:rsidP="000C65AB">
      <w:pPr>
        <w:pStyle w:val="Sinespaciado"/>
        <w:jc w:val="both"/>
        <w:rPr>
          <w:rFonts w:ascii="Times New Roman" w:hAnsi="Times New Roman" w:cs="Times New Roman"/>
          <w:color w:val="FF0000"/>
        </w:rPr>
      </w:pPr>
    </w:p>
    <w:p w:rsidR="00C33A88" w:rsidRPr="00062433" w:rsidRDefault="00C33A88" w:rsidP="000C65AB">
      <w:pPr>
        <w:pStyle w:val="Sinespaciado"/>
        <w:jc w:val="both"/>
        <w:rPr>
          <w:rFonts w:ascii="Times New Roman" w:hAnsi="Times New Roman" w:cs="Times New Roman"/>
          <w:color w:val="FF0000"/>
        </w:rPr>
        <w:sectPr w:rsidR="00C33A88" w:rsidRPr="00062433" w:rsidSect="00040C99">
          <w:headerReference w:type="default" r:id="rId28"/>
          <w:footerReference w:type="default" r:id="rId29"/>
          <w:type w:val="continuous"/>
          <w:pgSz w:w="12240" w:h="15840" w:code="1"/>
          <w:pgMar w:top="1418" w:right="1418" w:bottom="1418" w:left="1701" w:header="709" w:footer="709" w:gutter="0"/>
          <w:cols w:num="2" w:space="708"/>
          <w:docGrid w:linePitch="360"/>
        </w:sectPr>
      </w:pPr>
    </w:p>
    <w:p w:rsidR="000B20DC" w:rsidRPr="00865EB0" w:rsidRDefault="000B20DC" w:rsidP="000B20DC">
      <w:pPr>
        <w:pStyle w:val="Sinespaciado"/>
        <w:jc w:val="both"/>
        <w:rPr>
          <w:rFonts w:ascii="Times New Roman" w:hAnsi="Times New Roman" w:cs="Times New Roman"/>
          <w:color w:val="FF0000"/>
          <w:sz w:val="12"/>
        </w:rPr>
      </w:pPr>
    </w:p>
    <w:p w:rsidR="000B20DC" w:rsidRPr="001D719C" w:rsidRDefault="000B20DC" w:rsidP="000B20D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0B20DC" w:rsidRPr="001D719C" w:rsidSect="00FA3B81">
          <w:type w:val="continuous"/>
          <w:pgSz w:w="12240" w:h="15840" w:code="1"/>
          <w:pgMar w:top="1418" w:right="1418" w:bottom="1418" w:left="1418" w:header="709" w:footer="709" w:gutter="0"/>
          <w:cols w:space="708"/>
          <w:docGrid w:linePitch="360"/>
        </w:sectPr>
      </w:pPr>
      <w:r w:rsidRPr="001D719C">
        <w:rPr>
          <w:rFonts w:ascii="Times New Roman" w:hAnsi="Times New Roman" w:cs="Times New Roman"/>
          <w:b/>
        </w:rPr>
        <w:t xml:space="preserve">Seguimiento de la ejecución de gastos relacionados al COVID-19 </w:t>
      </w:r>
    </w:p>
    <w:p w:rsidR="000B20DC" w:rsidRPr="00062433" w:rsidRDefault="000B20DC" w:rsidP="000B20DC">
      <w:pPr>
        <w:pStyle w:val="Sinespaciado"/>
        <w:rPr>
          <w:rFonts w:ascii="Times New Roman" w:hAnsi="Times New Roman" w:cs="Times New Roman"/>
          <w:b/>
          <w:color w:val="FF0000"/>
          <w:sz w:val="20"/>
          <w:lang w:val="es-MX"/>
        </w:rPr>
      </w:pPr>
    </w:p>
    <w:p w:rsidR="000B20DC" w:rsidRPr="00062433" w:rsidRDefault="000B20DC" w:rsidP="000B20DC">
      <w:pPr>
        <w:pStyle w:val="Sinespaciado"/>
        <w:rPr>
          <w:rFonts w:ascii="Times New Roman" w:hAnsi="Times New Roman" w:cs="Times New Roman"/>
          <w:b/>
          <w:color w:val="FF0000"/>
          <w:sz w:val="18"/>
          <w:lang w:val="es-MX"/>
        </w:rPr>
        <w:sectPr w:rsidR="000B20DC" w:rsidRPr="00062433" w:rsidSect="004E358C">
          <w:type w:val="continuous"/>
          <w:pgSz w:w="12240" w:h="15840"/>
          <w:pgMar w:top="1417" w:right="1701" w:bottom="1417" w:left="1701" w:header="708" w:footer="708" w:gutter="0"/>
          <w:cols w:space="708"/>
          <w:docGrid w:linePitch="360"/>
        </w:sectPr>
      </w:pPr>
    </w:p>
    <w:p w:rsidR="00C33A88" w:rsidRPr="000B20DC" w:rsidRDefault="00C33A88" w:rsidP="00C33A88">
      <w:pPr>
        <w:pStyle w:val="Sinespaciado"/>
        <w:jc w:val="both"/>
        <w:rPr>
          <w:rFonts w:ascii="Times New Roman" w:hAnsi="Times New Roman" w:cs="Times New Roman"/>
        </w:rPr>
      </w:pPr>
      <w:r w:rsidRPr="000B20DC">
        <w:rPr>
          <w:rFonts w:ascii="Times New Roman" w:hAnsi="Times New Roman" w:cs="Times New Roman"/>
        </w:rPr>
        <w:lastRenderedPageBreak/>
        <w:t>En el seguimiento de la ejecución del gasto relacionado a la pandemia COVID-19, durante el año se han dado gastos importantes a nivel de tres ministerios, siendo el caso de Ministerio de Salud Pública y Asistencia Social por Q854.6 millones, Ministerio de Desarrollo Social por Q92.4 millones y Ministerio de Agricultura, Ganadería y Alimentación por Q63.3 millones que totalizan Q1,010.3 millones. Durante el mes de abril se dieron los gastos más importantes.</w:t>
      </w:r>
    </w:p>
    <w:p w:rsidR="00C33A88" w:rsidRPr="000B20DC" w:rsidRDefault="00C33A88" w:rsidP="00C33A88">
      <w:pPr>
        <w:pStyle w:val="Sinespaciado"/>
        <w:jc w:val="both"/>
        <w:rPr>
          <w:rFonts w:ascii="Times New Roman" w:hAnsi="Times New Roman" w:cs="Times New Roman"/>
        </w:rPr>
      </w:pPr>
    </w:p>
    <w:p w:rsidR="00C33A88" w:rsidRPr="000B20DC" w:rsidRDefault="00C33A88" w:rsidP="00C33A88">
      <w:pPr>
        <w:pStyle w:val="Sinespaciado"/>
        <w:jc w:val="both"/>
        <w:rPr>
          <w:rFonts w:ascii="Times New Roman" w:hAnsi="Times New Roman" w:cs="Times New Roman"/>
        </w:rPr>
      </w:pPr>
      <w:r w:rsidRPr="000B20DC">
        <w:rPr>
          <w:rFonts w:ascii="Times New Roman" w:hAnsi="Times New Roman" w:cs="Times New Roman"/>
        </w:rPr>
        <w:t xml:space="preserve">Dentro de los gastos, resalta la ejecución del gasto relacionada al esquema de vacunación contra el COVID-19, con una ejecución de Q627.8 millones, así mismo existen otras intervenciones importantes por parte del Ministerio de Salud Pública, tal es el caso de Q218.7 millones por intervenciones diversas para la atención de la emergencia y Q8.0 millones de laboratorios beneficiados con materiales y equipo de atención de la emergencia COVID-19.  </w:t>
      </w:r>
    </w:p>
    <w:p w:rsidR="00C33A88" w:rsidRPr="004456FD" w:rsidRDefault="00C33A88" w:rsidP="00C33A88">
      <w:pPr>
        <w:pStyle w:val="Sinespaciado"/>
        <w:jc w:val="both"/>
        <w:rPr>
          <w:rFonts w:ascii="Times New Roman" w:hAnsi="Times New Roman" w:cs="Times New Roman"/>
          <w:sz w:val="14"/>
        </w:rPr>
      </w:pPr>
    </w:p>
    <w:p w:rsidR="000B20DC" w:rsidRPr="00062433" w:rsidRDefault="00C33A88" w:rsidP="00C33A88">
      <w:pPr>
        <w:pStyle w:val="Sinespaciado"/>
        <w:jc w:val="both"/>
        <w:rPr>
          <w:rFonts w:ascii="Times New Roman" w:hAnsi="Times New Roman" w:cs="Times New Roman"/>
          <w:color w:val="FF0000"/>
        </w:rPr>
      </w:pPr>
      <w:r w:rsidRPr="000B20DC">
        <w:rPr>
          <w:rFonts w:ascii="Times New Roman" w:hAnsi="Times New Roman" w:cs="Times New Roman"/>
        </w:rPr>
        <w:t xml:space="preserve">En el caso del Ministerio de Desarrollo Social y Ministerio de Agricultura, Ganadería y </w:t>
      </w:r>
      <w:r w:rsidRPr="000B20DC">
        <w:rPr>
          <w:rFonts w:ascii="Times New Roman" w:hAnsi="Times New Roman" w:cs="Times New Roman"/>
        </w:rPr>
        <w:lastRenderedPageBreak/>
        <w:t>Alimentación la ejecución corresponde a la regularización del anticipo dado en 2020 al Programa Mundial de Alimentos, que consiste en cupones canjeables y entregas en especie de la actividad dotación alimentaria.</w:t>
      </w:r>
      <w:r w:rsidR="000B20DC" w:rsidRPr="00062433">
        <w:rPr>
          <w:rFonts w:ascii="Times New Roman" w:hAnsi="Times New Roman" w:cs="Times New Roman"/>
          <w:color w:val="FF0000"/>
        </w:rPr>
        <w:t xml:space="preserve"> </w:t>
      </w:r>
    </w:p>
    <w:p w:rsidR="000B20DC" w:rsidRPr="00062433" w:rsidRDefault="000B20DC" w:rsidP="000B20DC">
      <w:pPr>
        <w:pStyle w:val="Sinespaciado"/>
        <w:jc w:val="both"/>
        <w:rPr>
          <w:rFonts w:ascii="Times New Roman" w:hAnsi="Times New Roman" w:cs="Times New Roman"/>
          <w:color w:val="FF0000"/>
        </w:rPr>
      </w:pPr>
    </w:p>
    <w:p w:rsidR="000B20DC" w:rsidRPr="00C33A88" w:rsidRDefault="000B20DC" w:rsidP="000B20DC">
      <w:pPr>
        <w:pStyle w:val="Sinespaciado"/>
        <w:jc w:val="center"/>
        <w:rPr>
          <w:rFonts w:ascii="Times New Roman" w:hAnsi="Times New Roman" w:cs="Times New Roman"/>
          <w:b/>
        </w:rPr>
      </w:pPr>
      <w:r w:rsidRPr="00C33A88">
        <w:rPr>
          <w:rFonts w:ascii="Times New Roman" w:hAnsi="Times New Roman" w:cs="Times New Roman"/>
          <w:b/>
        </w:rPr>
        <w:t>Ejecución acumulada de los programas en atención al COVID-19</w:t>
      </w:r>
    </w:p>
    <w:p w:rsidR="000B20DC" w:rsidRPr="00C33A88" w:rsidRDefault="00945C92" w:rsidP="000B20DC">
      <w:pPr>
        <w:pStyle w:val="Sinespaciado"/>
        <w:jc w:val="center"/>
        <w:rPr>
          <w:rFonts w:ascii="Times New Roman" w:hAnsi="Times New Roman" w:cs="Times New Roman"/>
          <w:sz w:val="18"/>
        </w:rPr>
      </w:pPr>
      <w:r w:rsidRPr="00C33A88">
        <w:rPr>
          <w:rFonts w:ascii="Times New Roman" w:hAnsi="Times New Roman" w:cs="Times New Roman"/>
          <w:noProof/>
          <w:lang w:eastAsia="es-GT"/>
        </w:rPr>
        <w:drawing>
          <wp:anchor distT="0" distB="0" distL="114300" distR="114300" simplePos="0" relativeHeight="251792384" behindDoc="0" locked="0" layoutInCell="1" allowOverlap="1" wp14:anchorId="21FB65B2" wp14:editId="44793435">
            <wp:simplePos x="0" y="0"/>
            <wp:positionH relativeFrom="column">
              <wp:posOffset>-1270</wp:posOffset>
            </wp:positionH>
            <wp:positionV relativeFrom="paragraph">
              <wp:posOffset>146685</wp:posOffset>
            </wp:positionV>
            <wp:extent cx="2679065" cy="2135505"/>
            <wp:effectExtent l="0" t="0" r="6985" b="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0B20DC" w:rsidRPr="00C33A88">
        <w:rPr>
          <w:rFonts w:ascii="Times New Roman" w:hAnsi="Times New Roman" w:cs="Times New Roman"/>
          <w:sz w:val="18"/>
        </w:rPr>
        <w:t>Millones de quetzales y porcentajes</w:t>
      </w:r>
    </w:p>
    <w:p w:rsidR="00945C92" w:rsidRPr="00C33A88" w:rsidRDefault="000B20DC" w:rsidP="004456FD">
      <w:pPr>
        <w:pStyle w:val="Sinespaciado"/>
        <w:rPr>
          <w:rFonts w:ascii="Times New Roman" w:hAnsi="Times New Roman" w:cs="Times New Roman"/>
          <w:sz w:val="16"/>
        </w:rPr>
      </w:pPr>
      <w:r w:rsidRPr="00C33A88">
        <w:rPr>
          <w:rFonts w:ascii="Times New Roman" w:hAnsi="Times New Roman" w:cs="Times New Roman"/>
          <w:sz w:val="16"/>
        </w:rPr>
        <w:t>Fuente: Dirección de Análisis y Política Fiscal</w:t>
      </w:r>
    </w:p>
    <w:p w:rsidR="00945C92" w:rsidRPr="00C33A88" w:rsidRDefault="00945C92" w:rsidP="004456FD">
      <w:pPr>
        <w:pStyle w:val="Sinespaciado"/>
        <w:rPr>
          <w:rFonts w:ascii="Times New Roman" w:hAnsi="Times New Roman" w:cs="Times New Roman"/>
          <w:sz w:val="16"/>
        </w:rPr>
      </w:pPr>
    </w:p>
    <w:p w:rsidR="00945C92" w:rsidRPr="00062433" w:rsidRDefault="00945C92" w:rsidP="004456FD">
      <w:pPr>
        <w:pStyle w:val="Sinespaciado"/>
        <w:rPr>
          <w:rFonts w:ascii="Times New Roman" w:hAnsi="Times New Roman" w:cs="Times New Roman"/>
          <w:color w:val="FF0000"/>
          <w:sz w:val="16"/>
        </w:rPr>
        <w:sectPr w:rsidR="00945C92" w:rsidRPr="00062433" w:rsidSect="008E66C1">
          <w:type w:val="continuous"/>
          <w:pgSz w:w="12240" w:h="15840"/>
          <w:pgMar w:top="1417" w:right="1467" w:bottom="1417" w:left="1701" w:header="708" w:footer="708" w:gutter="0"/>
          <w:cols w:num="2" w:space="708"/>
          <w:docGrid w:linePitch="360"/>
        </w:sectPr>
      </w:pPr>
    </w:p>
    <w:p w:rsidR="000B20DC" w:rsidRPr="00062433" w:rsidRDefault="000B20DC" w:rsidP="000B20DC">
      <w:pPr>
        <w:spacing w:after="0"/>
        <w:rPr>
          <w:rFonts w:ascii="Times New Roman" w:hAnsi="Times New Roman" w:cs="Times New Roman"/>
          <w:color w:val="FF0000"/>
          <w:sz w:val="2"/>
          <w:lang w:val="es-MX"/>
        </w:rPr>
      </w:pPr>
    </w:p>
    <w:p w:rsidR="004456FD" w:rsidRPr="00062433" w:rsidRDefault="004456FD"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945C92" w:rsidRPr="00062433" w:rsidRDefault="00945C92" w:rsidP="000B20DC">
      <w:pPr>
        <w:spacing w:after="0"/>
        <w:rPr>
          <w:rFonts w:ascii="Times New Roman" w:hAnsi="Times New Roman" w:cs="Times New Roman"/>
          <w:color w:val="FF0000"/>
          <w:sz w:val="2"/>
          <w:lang w:val="es-MX"/>
        </w:rPr>
      </w:pPr>
    </w:p>
    <w:p w:rsidR="004456FD" w:rsidRPr="00062433" w:rsidRDefault="004456FD" w:rsidP="000B20DC">
      <w:pPr>
        <w:spacing w:after="0"/>
        <w:rPr>
          <w:rFonts w:ascii="Times New Roman" w:hAnsi="Times New Roman" w:cs="Times New Roman"/>
          <w:color w:val="FF0000"/>
          <w:sz w:val="2"/>
          <w:lang w:val="es-MX"/>
        </w:rPr>
      </w:pPr>
    </w:p>
    <w:p w:rsidR="004456FD" w:rsidRPr="00062433" w:rsidRDefault="004456FD" w:rsidP="000B20DC">
      <w:pPr>
        <w:spacing w:after="0"/>
        <w:rPr>
          <w:rFonts w:ascii="Times New Roman" w:hAnsi="Times New Roman" w:cs="Times New Roman"/>
          <w:color w:val="FF0000"/>
          <w:sz w:val="2"/>
          <w:lang w:val="es-MX"/>
        </w:rPr>
        <w:sectPr w:rsidR="004456FD" w:rsidRPr="00062433" w:rsidSect="004E358C">
          <w:type w:val="continuous"/>
          <w:pgSz w:w="12240" w:h="15840"/>
          <w:pgMar w:top="1417" w:right="1701" w:bottom="1417" w:left="1701" w:header="708" w:footer="708" w:gutter="0"/>
          <w:cols w:num="2" w:space="708"/>
          <w:docGrid w:linePitch="360"/>
        </w:sectPr>
      </w:pPr>
    </w:p>
    <w:p w:rsidR="009B76D6" w:rsidRPr="00062433" w:rsidRDefault="009B76D6" w:rsidP="00D4202F">
      <w:pPr>
        <w:spacing w:after="0"/>
        <w:rPr>
          <w:rFonts w:ascii="Times New Roman" w:hAnsi="Times New Roman" w:cs="Times New Roman"/>
          <w:color w:val="FF0000"/>
          <w:sz w:val="8"/>
          <w:lang w:val="es-MX"/>
        </w:rPr>
        <w:sectPr w:rsidR="009B76D6" w:rsidRPr="00062433" w:rsidSect="004E358C">
          <w:type w:val="continuous"/>
          <w:pgSz w:w="12240" w:h="15840"/>
          <w:pgMar w:top="1417" w:right="1701" w:bottom="1417" w:left="1701" w:header="708" w:footer="708" w:gutter="0"/>
          <w:cols w:num="2" w:space="708"/>
          <w:docGrid w:linePitch="360"/>
        </w:sectPr>
      </w:pPr>
    </w:p>
    <w:p w:rsidR="00494D1D" w:rsidRPr="001D719C"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1D719C" w:rsidSect="00FA3B81">
          <w:headerReference w:type="default" r:id="rId31"/>
          <w:footerReference w:type="default" r:id="rId32"/>
          <w:type w:val="continuous"/>
          <w:pgSz w:w="12240" w:h="15840" w:code="1"/>
          <w:pgMar w:top="1418" w:right="1418" w:bottom="1418" w:left="1418" w:header="709" w:footer="709" w:gutter="0"/>
          <w:cols w:space="708"/>
          <w:docGrid w:linePitch="360"/>
        </w:sectPr>
      </w:pPr>
      <w:r w:rsidRPr="001D719C">
        <w:rPr>
          <w:rFonts w:ascii="Times New Roman" w:hAnsi="Times New Roman" w:cs="Times New Roman"/>
          <w:b/>
          <w:lang w:val="es-MX"/>
        </w:rPr>
        <w:lastRenderedPageBreak/>
        <w:t>Ambientes macroeconómicos (externo e interno)</w:t>
      </w:r>
    </w:p>
    <w:p w:rsidR="00494D1D" w:rsidRPr="00062433" w:rsidRDefault="00494D1D" w:rsidP="00BD6CCD">
      <w:pPr>
        <w:pStyle w:val="Sinespaciado"/>
        <w:jc w:val="both"/>
        <w:rPr>
          <w:rFonts w:ascii="Times New Roman" w:hAnsi="Times New Roman" w:cs="Times New Roman"/>
          <w:b/>
          <w:color w:val="FF0000"/>
          <w:sz w:val="28"/>
          <w:lang w:val="es-MX"/>
        </w:rPr>
        <w:sectPr w:rsidR="00494D1D" w:rsidRPr="00062433" w:rsidSect="004E358C">
          <w:type w:val="continuous"/>
          <w:pgSz w:w="12240" w:h="15840"/>
          <w:pgMar w:top="1417" w:right="1701" w:bottom="1417" w:left="1701" w:header="708" w:footer="708" w:gutter="0"/>
          <w:cols w:space="708"/>
          <w:docGrid w:linePitch="360"/>
        </w:sectPr>
      </w:pPr>
    </w:p>
    <w:p w:rsidR="001A790A" w:rsidRPr="001D719C" w:rsidRDefault="001A790A" w:rsidP="001A790A">
      <w:pPr>
        <w:pStyle w:val="Textodeglobo"/>
        <w:jc w:val="both"/>
        <w:rPr>
          <w:rFonts w:ascii="Times New Roman" w:hAnsi="Times New Roman" w:cs="Times New Roman"/>
          <w:sz w:val="22"/>
          <w:szCs w:val="22"/>
        </w:rPr>
      </w:pPr>
      <w:r w:rsidRPr="001D719C">
        <w:rPr>
          <w:rFonts w:ascii="Times New Roman" w:hAnsi="Times New Roman" w:cs="Times New Roman"/>
          <w:sz w:val="22"/>
          <w:szCs w:val="22"/>
        </w:rPr>
        <w:lastRenderedPageBreak/>
        <w:t xml:space="preserve">Entre lo más relevante acontecido en </w:t>
      </w:r>
      <w:r w:rsidR="00336F5B" w:rsidRPr="001D719C">
        <w:rPr>
          <w:rFonts w:ascii="Times New Roman" w:hAnsi="Times New Roman" w:cs="Times New Roman"/>
          <w:sz w:val="22"/>
          <w:szCs w:val="22"/>
        </w:rPr>
        <w:t>abril</w:t>
      </w:r>
      <w:r w:rsidRPr="001D719C">
        <w:rPr>
          <w:rFonts w:ascii="Times New Roman" w:hAnsi="Times New Roman" w:cs="Times New Roman"/>
          <w:sz w:val="22"/>
          <w:szCs w:val="22"/>
        </w:rPr>
        <w:t xml:space="preserve"> se destaca </w:t>
      </w:r>
      <w:r w:rsidR="00336F5B" w:rsidRPr="001D719C">
        <w:rPr>
          <w:rFonts w:ascii="Times New Roman" w:hAnsi="Times New Roman" w:cs="Times New Roman"/>
          <w:sz w:val="22"/>
          <w:szCs w:val="22"/>
        </w:rPr>
        <w:t>el crecimiento económico de Estados Unidos en el primer trimestre del año, mostrando una tasa anual de</w:t>
      </w:r>
      <w:r w:rsidR="00CA4AD0" w:rsidRPr="001D719C">
        <w:rPr>
          <w:rFonts w:ascii="Times New Roman" w:hAnsi="Times New Roman" w:cs="Times New Roman"/>
          <w:sz w:val="22"/>
          <w:szCs w:val="22"/>
        </w:rPr>
        <w:t>l PIB de</w:t>
      </w:r>
      <w:r w:rsidR="00336F5B" w:rsidRPr="001D719C">
        <w:rPr>
          <w:rFonts w:ascii="Times New Roman" w:hAnsi="Times New Roman" w:cs="Times New Roman"/>
          <w:sz w:val="22"/>
          <w:szCs w:val="22"/>
        </w:rPr>
        <w:t xml:space="preserve"> 6.4%; dicha aceleración se da a medida que más personas recibieron la vacuna contra el covid-19. Los estados y las ciudades levantaron las restricciones comerciales, mientras los pagos de estímulo llegaron a las cuentas bancarias. </w:t>
      </w:r>
    </w:p>
    <w:p w:rsidR="001A790A" w:rsidRPr="001D719C" w:rsidRDefault="001A790A" w:rsidP="001A790A">
      <w:pPr>
        <w:pStyle w:val="Textodeglobo"/>
        <w:ind w:left="-142"/>
        <w:jc w:val="both"/>
        <w:rPr>
          <w:rFonts w:ascii="Times New Roman" w:hAnsi="Times New Roman" w:cs="Times New Roman"/>
          <w:sz w:val="22"/>
          <w:szCs w:val="22"/>
        </w:rPr>
      </w:pPr>
    </w:p>
    <w:p w:rsidR="00336F5B" w:rsidRPr="001D719C" w:rsidRDefault="00336F5B" w:rsidP="001A790A">
      <w:pPr>
        <w:pStyle w:val="Textodeglobo"/>
        <w:jc w:val="both"/>
        <w:rPr>
          <w:rFonts w:ascii="Times New Roman" w:hAnsi="Times New Roman" w:cs="Times New Roman"/>
          <w:sz w:val="22"/>
          <w:szCs w:val="22"/>
        </w:rPr>
      </w:pPr>
      <w:r w:rsidRPr="001D719C">
        <w:rPr>
          <w:rFonts w:ascii="Times New Roman" w:hAnsi="Times New Roman" w:cs="Times New Roman"/>
          <w:sz w:val="22"/>
          <w:szCs w:val="22"/>
        </w:rPr>
        <w:t>La Reserva Federal de Estados Unidos mantuvo las tasas de interés actuales (entre el 0% y el 0.25%) y sus programas mensuales de compra de bonos, reconociendo la creciente fortaleza de la economía, pero sin dar señales de que esté dispuesta a comenzar a reducir su apoyo a la recuperación.</w:t>
      </w:r>
      <w:r w:rsidR="00491F92" w:rsidRPr="001D719C">
        <w:rPr>
          <w:rFonts w:ascii="Times New Roman" w:hAnsi="Times New Roman" w:cs="Times New Roman"/>
          <w:sz w:val="22"/>
          <w:szCs w:val="22"/>
        </w:rPr>
        <w:t xml:space="preserve">  La entidad resaltó que el crecimiento del empleo se ha acelerado y que espera que la inflación aumente hasta su objetivo del 2% con el tiempo, lo que permitiría al banco central recortar sus US$120,000 millones de dólares en compras mensuales de bonos y, finalmente, elevar la tasa de interés interbancaria desde el nivel actual cercano a cero.</w:t>
      </w:r>
    </w:p>
    <w:p w:rsidR="00491F92" w:rsidRPr="001D719C" w:rsidRDefault="00491F92" w:rsidP="001A790A">
      <w:pPr>
        <w:pStyle w:val="Textodeglobo"/>
        <w:jc w:val="both"/>
        <w:rPr>
          <w:rFonts w:ascii="Times New Roman" w:hAnsi="Times New Roman" w:cs="Times New Roman"/>
          <w:sz w:val="22"/>
          <w:szCs w:val="22"/>
        </w:rPr>
      </w:pPr>
    </w:p>
    <w:p w:rsidR="001A790A" w:rsidRPr="001D719C" w:rsidRDefault="009B4C07" w:rsidP="001A790A">
      <w:pPr>
        <w:pStyle w:val="Textodeglobo"/>
        <w:jc w:val="both"/>
        <w:rPr>
          <w:rFonts w:ascii="Times New Roman" w:hAnsi="Times New Roman" w:cs="Times New Roman"/>
          <w:sz w:val="22"/>
          <w:szCs w:val="22"/>
        </w:rPr>
      </w:pPr>
      <w:r w:rsidRPr="001D719C">
        <w:rPr>
          <w:rFonts w:ascii="Times New Roman" w:hAnsi="Times New Roman" w:cs="Times New Roman"/>
          <w:sz w:val="22"/>
          <w:szCs w:val="22"/>
        </w:rPr>
        <w:t xml:space="preserve">Por su parte, la Unión Europea durante el primer trimestre del año entró en recesión debido a las duras medidas de restricción impuestas para frenar la oleada de contagios de invierno, con una caída de 0.4% y han arrastrado también </w:t>
      </w:r>
      <w:r w:rsidR="00CA4AD0" w:rsidRPr="001D719C">
        <w:rPr>
          <w:rFonts w:ascii="Times New Roman" w:hAnsi="Times New Roman" w:cs="Times New Roman"/>
          <w:sz w:val="22"/>
          <w:szCs w:val="22"/>
        </w:rPr>
        <w:t>a la economía</w:t>
      </w:r>
      <w:r w:rsidRPr="001D719C">
        <w:rPr>
          <w:rFonts w:ascii="Times New Roman" w:hAnsi="Times New Roman" w:cs="Times New Roman"/>
          <w:sz w:val="22"/>
          <w:szCs w:val="22"/>
        </w:rPr>
        <w:t xml:space="preserve"> de la zona euro, marcando un retroceso en el PIB del 0.6% respecto al trimestre anterior, según el dato avanzado </w:t>
      </w:r>
      <w:r w:rsidR="00CA4AD0" w:rsidRPr="001D719C">
        <w:rPr>
          <w:rFonts w:ascii="Times New Roman" w:hAnsi="Times New Roman" w:cs="Times New Roman"/>
          <w:sz w:val="22"/>
          <w:szCs w:val="22"/>
        </w:rPr>
        <w:t xml:space="preserve">de </w:t>
      </w:r>
      <w:r w:rsidRPr="001D719C">
        <w:rPr>
          <w:rFonts w:ascii="Times New Roman" w:hAnsi="Times New Roman" w:cs="Times New Roman"/>
          <w:sz w:val="22"/>
          <w:szCs w:val="22"/>
        </w:rPr>
        <w:t>la oficina estadística Eurostat. Con el plan de recuperación todavía por ejecutar, la Unión Europea pierde impulso y encadena dos trimestres de caídas del PIB, frente a Estados Unidos y China, cuyo crecimiento se aceleró durante el arranque del año. El nuevo derrumbe, además, adiciona más presión a los países para dejar suspendidas las reglas fiscales en 2022.</w:t>
      </w:r>
    </w:p>
    <w:p w:rsidR="009B4C07" w:rsidRPr="001D719C" w:rsidRDefault="009B4C07" w:rsidP="009B4C07">
      <w:pPr>
        <w:pStyle w:val="Textodeglobo"/>
        <w:jc w:val="both"/>
        <w:rPr>
          <w:rFonts w:ascii="Times New Roman" w:hAnsi="Times New Roman" w:cs="Times New Roman"/>
          <w:sz w:val="22"/>
          <w:szCs w:val="22"/>
        </w:rPr>
      </w:pPr>
      <w:r w:rsidRPr="001D719C">
        <w:rPr>
          <w:rFonts w:ascii="Times New Roman" w:hAnsi="Times New Roman" w:cs="Times New Roman"/>
          <w:sz w:val="22"/>
          <w:szCs w:val="22"/>
        </w:rPr>
        <w:lastRenderedPageBreak/>
        <w:t xml:space="preserve">La economía de China mostró un crecimiento en el PIB de 18.3% en el primer trimestre respecto al mismo periodo del año anterior. Es el mayor salto en un trimestre desde que comenzaron los registros en 1992 y, aunque la cifra se debe a la comparación con el periodo en el que el coronavirus se abatió con más fuerza, supone una </w:t>
      </w:r>
      <w:r w:rsidR="002955BE" w:rsidRPr="001D719C">
        <w:rPr>
          <w:rFonts w:ascii="Times New Roman" w:hAnsi="Times New Roman" w:cs="Times New Roman"/>
          <w:sz w:val="22"/>
          <w:szCs w:val="22"/>
        </w:rPr>
        <w:t>premisa</w:t>
      </w:r>
      <w:r w:rsidRPr="001D719C">
        <w:rPr>
          <w:rFonts w:ascii="Times New Roman" w:hAnsi="Times New Roman" w:cs="Times New Roman"/>
          <w:sz w:val="22"/>
          <w:szCs w:val="22"/>
        </w:rPr>
        <w:t xml:space="preserve"> de la fuerza de la recuperación después de la pandemia</w:t>
      </w:r>
      <w:r w:rsidR="002955BE" w:rsidRPr="001D719C">
        <w:rPr>
          <w:rFonts w:ascii="Times New Roman" w:hAnsi="Times New Roman" w:cs="Times New Roman"/>
          <w:sz w:val="22"/>
          <w:szCs w:val="22"/>
        </w:rPr>
        <w:t xml:space="preserve"> cuando se contrajo 6.8%</w:t>
      </w:r>
      <w:r w:rsidRPr="001D719C">
        <w:rPr>
          <w:rFonts w:ascii="Times New Roman" w:hAnsi="Times New Roman" w:cs="Times New Roman"/>
          <w:sz w:val="22"/>
          <w:szCs w:val="22"/>
        </w:rPr>
        <w:t>. La subida está impulsada por un aumento de la producción in</w:t>
      </w:r>
      <w:r w:rsidR="002955BE" w:rsidRPr="001D719C">
        <w:rPr>
          <w:rFonts w:ascii="Times New Roman" w:hAnsi="Times New Roman" w:cs="Times New Roman"/>
          <w:sz w:val="22"/>
          <w:szCs w:val="22"/>
        </w:rPr>
        <w:t xml:space="preserve">dustrial y del consumo interno.  </w:t>
      </w:r>
      <w:r w:rsidRPr="001D719C">
        <w:rPr>
          <w:rFonts w:ascii="Times New Roman" w:hAnsi="Times New Roman" w:cs="Times New Roman"/>
          <w:sz w:val="22"/>
          <w:szCs w:val="22"/>
        </w:rPr>
        <w:t xml:space="preserve">El aumento, no obstante, se encuentra ligeramente por debajo de las expectativas de los analistas, que calculaban hasta un 22% de subida. </w:t>
      </w:r>
    </w:p>
    <w:p w:rsidR="001A790A" w:rsidRPr="001D719C" w:rsidRDefault="001A790A" w:rsidP="002955BE">
      <w:pPr>
        <w:pStyle w:val="Textodeglobo"/>
        <w:jc w:val="both"/>
        <w:rPr>
          <w:rFonts w:ascii="Times New Roman" w:hAnsi="Times New Roman" w:cs="Times New Roman"/>
          <w:sz w:val="22"/>
          <w:szCs w:val="22"/>
        </w:rPr>
      </w:pPr>
    </w:p>
    <w:p w:rsidR="001A790A" w:rsidRPr="001D719C" w:rsidRDefault="00CA4AD0" w:rsidP="00CA4AD0">
      <w:pPr>
        <w:spacing w:after="0" w:line="240" w:lineRule="auto"/>
        <w:jc w:val="both"/>
        <w:rPr>
          <w:rFonts w:ascii="Times New Roman" w:hAnsi="Times New Roman" w:cs="Times New Roman"/>
        </w:rPr>
      </w:pPr>
      <w:r w:rsidRPr="001D719C">
        <w:rPr>
          <w:rFonts w:ascii="Times New Roman" w:hAnsi="Times New Roman" w:cs="Times New Roman"/>
        </w:rPr>
        <w:t>El Banco Mundial dio a conocer sus perspectivas sobre América Latina y el Caribe, indicando un repunte de 4.4% para 2021, haciendo la salvedad de que puede entrar en un proceso acelerado que incremente la desigualdad dentro y entre los países.  Panamá y Perú son las naciones que experimentarán un mayor crecimiento económico este año, con una expansión del 9.9 y 8.1%, respectivamente. A continuación, Argentina, Chile y Colombia entre 6 y 5%, por encima de la media regional, mientras que Brasil y México, las dos mayores economías, lo harán entre 3 y 4.5%, respectivamente.</w:t>
      </w:r>
    </w:p>
    <w:p w:rsidR="00CA4AD0" w:rsidRPr="001D719C" w:rsidRDefault="00CA4AD0" w:rsidP="001A790A">
      <w:pPr>
        <w:spacing w:after="0" w:line="240" w:lineRule="auto"/>
        <w:jc w:val="both"/>
        <w:rPr>
          <w:rFonts w:ascii="Times New Roman" w:hAnsi="Times New Roman" w:cs="Times New Roman"/>
          <w:lang w:val="es-MX"/>
        </w:rPr>
      </w:pPr>
    </w:p>
    <w:p w:rsidR="001A790A" w:rsidRPr="001D719C" w:rsidRDefault="001A790A" w:rsidP="001A790A">
      <w:pPr>
        <w:pStyle w:val="Sinespaciado"/>
        <w:jc w:val="both"/>
        <w:rPr>
          <w:rFonts w:ascii="Times New Roman" w:eastAsia="Times New Roman" w:hAnsi="Times New Roman" w:cs="Times New Roman"/>
          <w:lang w:val="es-MX"/>
        </w:rPr>
      </w:pPr>
      <w:r w:rsidRPr="001D719C">
        <w:rPr>
          <w:rFonts w:ascii="Times New Roman" w:eastAsia="Times New Roman" w:hAnsi="Times New Roman" w:cs="Times New Roman"/>
          <w:lang w:val="es-MX"/>
        </w:rPr>
        <w:t xml:space="preserve">En el entorno interno, la actividad económica medida por la estimación del IMAE en marzo de 2021, registró una tasa de variación de 6.9% (-3.7% en marzo de 2020). Dicho resultado estuvo influenciado, principalmente, por el crecimiento en las actividades de: Comercio y reparación de vehículos; Industrias manufactureras; Enseñanza; Agricultura, ganadería, silvicultura y pesca; y, Construcción. </w:t>
      </w:r>
    </w:p>
    <w:p w:rsidR="001A790A" w:rsidRPr="001D719C" w:rsidRDefault="001A790A" w:rsidP="001A790A">
      <w:pPr>
        <w:pStyle w:val="Sinespaciado"/>
        <w:jc w:val="both"/>
        <w:rPr>
          <w:rFonts w:ascii="Times New Roman" w:eastAsia="Times New Roman" w:hAnsi="Times New Roman" w:cs="Times New Roman"/>
          <w:lang w:val="es-MX"/>
        </w:rPr>
      </w:pPr>
    </w:p>
    <w:p w:rsidR="00865EB0" w:rsidRPr="00865EB0" w:rsidRDefault="003A37AC" w:rsidP="00865EB0">
      <w:pPr>
        <w:pStyle w:val="Sinespaciado"/>
        <w:jc w:val="both"/>
        <w:rPr>
          <w:rFonts w:ascii="Times New Roman" w:eastAsia="Times New Roman" w:hAnsi="Times New Roman" w:cs="Times New Roman"/>
          <w:lang w:val="es-MX"/>
        </w:rPr>
      </w:pPr>
      <w:r w:rsidRPr="001D719C">
        <w:rPr>
          <w:rFonts w:ascii="Times New Roman" w:eastAsia="Times New Roman" w:hAnsi="Times New Roman" w:cs="Times New Roman"/>
          <w:lang w:val="es-MX"/>
        </w:rPr>
        <w:lastRenderedPageBreak/>
        <w:t xml:space="preserve">La percepción sobre la situación económica actual y el ambiente para los negocios comienza ya muestra mejoría con respecto a los meses del año anterior más afectados por la pandemia; el nivel del Índice de Confianza de la Actividad Económica se situó en 72.76 puntos, superior en 26.76% con respecto al </w:t>
      </w:r>
      <w:r w:rsidRPr="001D719C">
        <w:rPr>
          <w:rFonts w:ascii="Times New Roman" w:eastAsia="Times New Roman" w:hAnsi="Times New Roman" w:cs="Times New Roman"/>
          <w:lang w:val="es-MX"/>
        </w:rPr>
        <w:lastRenderedPageBreak/>
        <w:t>registrado en marzo 2021, y aumentó 122.92% respeto al registrado en abril de 2020.   Así mismo, se espera un ritmo inflacionario de 5.66% para abril, 5.57% para mayo y 5.38% para junio 2021; en un horizonte de 12 y 24 meses se esperaría un ritmo de 4.54% y 4.39% respectivamente.</w:t>
      </w:r>
    </w:p>
    <w:p w:rsidR="00B807A2" w:rsidRPr="001D719C" w:rsidRDefault="00B807A2" w:rsidP="00975E49">
      <w:pPr>
        <w:pStyle w:val="Sinespaciado"/>
        <w:ind w:right="-188"/>
        <w:jc w:val="both"/>
        <w:rPr>
          <w:rFonts w:ascii="Times New Roman" w:hAnsi="Times New Roman" w:cs="Times New Roman"/>
          <w:sz w:val="16"/>
        </w:rPr>
        <w:sectPr w:rsidR="00B807A2" w:rsidRPr="001D719C" w:rsidSect="00080B88">
          <w:headerReference w:type="default" r:id="rId33"/>
          <w:footerReference w:type="default" r:id="rId34"/>
          <w:type w:val="continuous"/>
          <w:pgSz w:w="12240" w:h="15840" w:code="1"/>
          <w:pgMar w:top="1418" w:right="1467" w:bottom="1418" w:left="1701" w:header="709" w:footer="709" w:gutter="0"/>
          <w:cols w:num="2" w:space="802"/>
          <w:docGrid w:linePitch="360"/>
        </w:sectPr>
      </w:pPr>
    </w:p>
    <w:p w:rsidR="006F1B31" w:rsidRPr="001D719C" w:rsidRDefault="006F1B31" w:rsidP="00F062BF">
      <w:pPr>
        <w:spacing w:after="0" w:line="240" w:lineRule="auto"/>
        <w:rPr>
          <w:rFonts w:ascii="Times New Roman" w:hAnsi="Times New Roman" w:cs="Times New Roman"/>
          <w:noProof/>
          <w:sz w:val="16"/>
          <w:lang w:val="es-MX" w:eastAsia="es-GT"/>
        </w:rPr>
        <w:sectPr w:rsidR="006F1B31" w:rsidRPr="001D719C" w:rsidSect="00986297">
          <w:headerReference w:type="default" r:id="rId35"/>
          <w:footerReference w:type="default" r:id="rId36"/>
          <w:type w:val="continuous"/>
          <w:pgSz w:w="12240" w:h="15840" w:code="1"/>
          <w:pgMar w:top="1418" w:right="1418" w:bottom="1418" w:left="1418" w:header="709" w:footer="709" w:gutter="0"/>
          <w:cols w:num="2" w:space="708"/>
          <w:docGrid w:linePitch="360"/>
        </w:sectPr>
      </w:pPr>
    </w:p>
    <w:p w:rsidR="00865EB0" w:rsidRPr="00865EB0" w:rsidRDefault="00865EB0" w:rsidP="00AD5816">
      <w:pPr>
        <w:spacing w:after="0" w:line="240" w:lineRule="auto"/>
        <w:rPr>
          <w:rFonts w:ascii="Times New Roman" w:hAnsi="Times New Roman" w:cs="Times New Roman"/>
          <w:noProof/>
          <w:sz w:val="16"/>
          <w:lang w:val="es-MX" w:eastAsia="es-GT"/>
        </w:rPr>
      </w:pPr>
    </w:p>
    <w:p w:rsidR="00CB675C" w:rsidRPr="00CB675C" w:rsidRDefault="00865EB0" w:rsidP="00CB675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Pr>
          <w:rFonts w:ascii="Times New Roman" w:hAnsi="Times New Roman" w:cs="Times New Roman"/>
          <w:b/>
          <w:lang w:val="es-MX"/>
        </w:rPr>
        <w:t>Anex</w:t>
      </w:r>
      <w:r w:rsidR="00CB675C">
        <w:rPr>
          <w:rFonts w:ascii="Times New Roman" w:hAnsi="Times New Roman" w:cs="Times New Roman"/>
          <w:b/>
          <w:lang w:val="es-MX"/>
        </w:rPr>
        <w:t>o</w:t>
      </w:r>
    </w:p>
    <w:p w:rsidR="00CB675C" w:rsidRPr="00CB675C" w:rsidRDefault="00281CBA" w:rsidP="00CB675C">
      <w:pPr>
        <w:rPr>
          <w:lang w:eastAsia="es-GT"/>
        </w:rPr>
      </w:pPr>
      <w:r w:rsidRPr="00BF65B4">
        <w:rPr>
          <w:noProof/>
          <w:lang w:eastAsia="es-GT"/>
        </w:rPr>
        <w:drawing>
          <wp:anchor distT="0" distB="0" distL="114300" distR="114300" simplePos="0" relativeHeight="251807744" behindDoc="0" locked="0" layoutInCell="1" allowOverlap="1" wp14:anchorId="2C40D203" wp14:editId="4DC59368">
            <wp:simplePos x="0" y="0"/>
            <wp:positionH relativeFrom="column">
              <wp:posOffset>4445</wp:posOffset>
            </wp:positionH>
            <wp:positionV relativeFrom="paragraph">
              <wp:posOffset>322580</wp:posOffset>
            </wp:positionV>
            <wp:extent cx="5953125" cy="4732655"/>
            <wp:effectExtent l="0" t="0" r="9525"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3125" cy="4732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B675C" w:rsidRPr="00CB675C" w:rsidSect="00CF4D18">
      <w:headerReference w:type="default" r:id="rId38"/>
      <w:footerReference w:type="default" r:id="rId3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0B4" w:rsidRDefault="009070B4" w:rsidP="007D4651">
      <w:pPr>
        <w:spacing w:after="0" w:line="240" w:lineRule="auto"/>
      </w:pPr>
      <w:r>
        <w:separator/>
      </w:r>
    </w:p>
  </w:endnote>
  <w:endnote w:type="continuationSeparator" w:id="0">
    <w:p w:rsidR="009070B4" w:rsidRDefault="009070B4"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78004B7E" wp14:editId="3E5D087A">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08930998"/>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22011865" wp14:editId="1F119058">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5ABB260F" wp14:editId="58AFE9C2">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5616E035" wp14:editId="46A423FA">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A8C87"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4456FD" w:rsidRPr="004456FD">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p w:rsidR="00226B35" w:rsidRDefault="00226B3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57E2F2AE" wp14:editId="3884D7BA">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65EB0" w:rsidRPr="00865EB0">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3A3FE8C8" wp14:editId="40D20FC8">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98588034"/>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2D644319" wp14:editId="7A6EF071">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38E7AD22" wp14:editId="2AE9D096">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CA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343512C5" wp14:editId="731DD4DF">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C88D4"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F423A" w:rsidRPr="008F423A">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226B35" w:rsidRDefault="00226B35">
        <w:pPr>
          <w:pStyle w:val="Piedepgina"/>
          <w:jc w:val="right"/>
          <w:rPr>
            <w:lang w:val="es-ES"/>
          </w:rPr>
        </w:pPr>
      </w:p>
      <w:p w:rsidR="00226B35" w:rsidRDefault="00226B3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76B78DA9" wp14:editId="7AC27CDC">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A17F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26B35" w:rsidRDefault="00226B3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BD6CCD">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226B35" w:rsidRDefault="00226B35" w:rsidP="007D4651">
    <w:pPr>
      <w:pStyle w:val="Piedepgina"/>
      <w:tabs>
        <w:tab w:val="clear" w:pos="4419"/>
        <w:tab w:val="clear" w:pos="8838"/>
        <w:tab w:val="left" w:pos="5777"/>
      </w:tabs>
    </w:pPr>
  </w:p>
  <w:p w:rsidR="00226B35" w:rsidRDefault="00226B3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0B4" w:rsidRDefault="009070B4" w:rsidP="007D4651">
      <w:pPr>
        <w:spacing w:after="0" w:line="240" w:lineRule="auto"/>
      </w:pPr>
      <w:r>
        <w:separator/>
      </w:r>
    </w:p>
  </w:footnote>
  <w:footnote w:type="continuationSeparator" w:id="0">
    <w:p w:rsidR="009070B4" w:rsidRDefault="009070B4"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35" w:rsidRPr="002E105E" w:rsidRDefault="00226B35"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39136" behindDoc="0" locked="0" layoutInCell="1" allowOverlap="1" wp14:anchorId="09547F2C" wp14:editId="099F797A">
          <wp:simplePos x="0" y="0"/>
          <wp:positionH relativeFrom="column">
            <wp:posOffset>-548640</wp:posOffset>
          </wp:positionH>
          <wp:positionV relativeFrom="paragraph">
            <wp:posOffset>-74930</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002E105E" w:rsidRPr="002E105E">
      <w:rPr>
        <w:noProof/>
        <w:sz w:val="20"/>
        <w:lang w:eastAsia="es-GT"/>
      </w:rPr>
      <w:drawing>
        <wp:anchor distT="0" distB="0" distL="114300" distR="114300" simplePos="0" relativeHeight="251769856" behindDoc="1" locked="1" layoutInCell="1" allowOverlap="1" wp14:anchorId="46040387" wp14:editId="23083374">
          <wp:simplePos x="0" y="0"/>
          <wp:positionH relativeFrom="column">
            <wp:posOffset>5207000</wp:posOffset>
          </wp:positionH>
          <wp:positionV relativeFrom="page">
            <wp:posOffset>166370</wp:posOffset>
          </wp:positionV>
          <wp:extent cx="1282700" cy="10229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B35" w:rsidRPr="002E105E" w:rsidRDefault="00205BF7"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w:t>
    </w:r>
    <w:r w:rsidR="00226B35" w:rsidRPr="002E105E">
      <w:rPr>
        <w:rFonts w:ascii="Times New Roman" w:hAnsi="Times New Roman" w:cs="Times New Roman"/>
        <w:color w:val="1F497D" w:themeColor="text2"/>
        <w:sz w:val="20"/>
        <w:lang w:val="es-MX"/>
      </w:rPr>
      <w:t xml:space="preserve"> 2021</w:t>
    </w:r>
  </w:p>
  <w:p w:rsidR="00226B35" w:rsidRDefault="00226B3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0CAAA1B7" wp14:editId="090AA248">
              <wp:simplePos x="0" y="0"/>
              <wp:positionH relativeFrom="column">
                <wp:posOffset>1214617</wp:posOffset>
              </wp:positionH>
              <wp:positionV relativeFrom="paragraph">
                <wp:posOffset>14357</wp:posOffset>
              </wp:positionV>
              <wp:extent cx="3991555" cy="45719"/>
              <wp:effectExtent l="38100" t="38100" r="66675" b="88265"/>
              <wp:wrapNone/>
              <wp:docPr id="11"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F90A" id="11 Rectángulo" o:spid="_x0000_s1026" style="position:absolute;margin-left:95.65pt;margin-top:1.15pt;width:314.3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26B35" w:rsidRPr="0073581B" w:rsidRDefault="00226B35"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801600" behindDoc="0" locked="0" layoutInCell="1" allowOverlap="1" wp14:anchorId="5E43D509" wp14:editId="6B50A963">
          <wp:simplePos x="0" y="0"/>
          <wp:positionH relativeFrom="column">
            <wp:posOffset>-548640</wp:posOffset>
          </wp:positionH>
          <wp:positionV relativeFrom="paragraph">
            <wp:posOffset>-8587</wp:posOffset>
          </wp:positionV>
          <wp:extent cx="1598212" cy="723976"/>
          <wp:effectExtent l="0" t="0" r="2540" b="0"/>
          <wp:wrapNone/>
          <wp:docPr id="238" name="Imagen 23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2624" behindDoc="1" locked="1" layoutInCell="1" allowOverlap="1" wp14:anchorId="107F231E" wp14:editId="7872FBF4">
          <wp:simplePos x="0" y="0"/>
          <wp:positionH relativeFrom="column">
            <wp:posOffset>7445375</wp:posOffset>
          </wp:positionH>
          <wp:positionV relativeFrom="page">
            <wp:posOffset>166370</wp:posOffset>
          </wp:positionV>
          <wp:extent cx="1282700" cy="1022985"/>
          <wp:effectExtent l="0" t="0" r="0" b="5715"/>
          <wp:wrapNone/>
          <wp:docPr id="2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r w:rsidR="008F423A" w:rsidRPr="002E105E">
      <w:rPr>
        <w:noProof/>
        <w:sz w:val="20"/>
        <w:lang w:eastAsia="es-GT"/>
      </w:rPr>
      <w:drawing>
        <wp:anchor distT="0" distB="0" distL="114300" distR="114300" simplePos="0" relativeHeight="251806720" behindDoc="1" locked="1" layoutInCell="1" allowOverlap="1" wp14:anchorId="13714CB1" wp14:editId="7C97E74E">
          <wp:simplePos x="0" y="0"/>
          <wp:positionH relativeFrom="column">
            <wp:posOffset>5294630</wp:posOffset>
          </wp:positionH>
          <wp:positionV relativeFrom="page">
            <wp:posOffset>227965</wp:posOffset>
          </wp:positionV>
          <wp:extent cx="1282700" cy="1022985"/>
          <wp:effectExtent l="0" t="0" r="0" b="5715"/>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0576" behindDoc="0" locked="0" layoutInCell="1" allowOverlap="1" wp14:anchorId="02D23C95" wp14:editId="566ACD3C">
              <wp:simplePos x="0" y="0"/>
              <wp:positionH relativeFrom="column">
                <wp:posOffset>1146734</wp:posOffset>
              </wp:positionH>
              <wp:positionV relativeFrom="paragraph">
                <wp:posOffset>61946</wp:posOffset>
              </wp:positionV>
              <wp:extent cx="4039737" cy="45719"/>
              <wp:effectExtent l="38100" t="38100" r="56515" b="88265"/>
              <wp:wrapNone/>
              <wp:docPr id="46" name="11 Rectángulo"/>
              <wp:cNvGraphicFramePr/>
              <a:graphic xmlns:a="http://schemas.openxmlformats.org/drawingml/2006/main">
                <a:graphicData uri="http://schemas.microsoft.com/office/word/2010/wordprocessingShape">
                  <wps:wsp>
                    <wps:cNvSpPr/>
                    <wps:spPr>
                      <a:xfrm>
                        <a:off x="0" y="0"/>
                        <a:ext cx="4039737"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39C9" id="11 Rectángulo" o:spid="_x0000_s1026" style="position:absolute;margin-left:90.3pt;margin-top:4.9pt;width:318.1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2E10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2928" behindDoc="0" locked="0" layoutInCell="1" allowOverlap="1" wp14:anchorId="121AF2C9" wp14:editId="2EE0C0EB">
          <wp:simplePos x="0" y="0"/>
          <wp:positionH relativeFrom="column">
            <wp:posOffset>-548640</wp:posOffset>
          </wp:positionH>
          <wp:positionV relativeFrom="paragraph">
            <wp:posOffset>-8587</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7F55BE2D" wp14:editId="176DB724">
          <wp:simplePos x="0" y="0"/>
          <wp:positionH relativeFrom="column">
            <wp:posOffset>5207000</wp:posOffset>
          </wp:positionH>
          <wp:positionV relativeFrom="page">
            <wp:posOffset>166370</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67179E0B" wp14:editId="1016EE28">
              <wp:simplePos x="0" y="0"/>
              <wp:positionH relativeFrom="column">
                <wp:posOffset>1214617</wp:posOffset>
              </wp:positionH>
              <wp:positionV relativeFrom="paragraph">
                <wp:posOffset>14357</wp:posOffset>
              </wp:positionV>
              <wp:extent cx="3991555" cy="45719"/>
              <wp:effectExtent l="38100" t="38100" r="66675" b="88265"/>
              <wp:wrapNone/>
              <wp:docPr id="17"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36B5" id="11 Rectángulo" o:spid="_x0000_s1026" style="position:absolute;margin-left:95.65pt;margin-top:1.15pt;width:314.3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2E10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35" w:rsidRPr="007D4651" w:rsidRDefault="00226B35"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6FA7AF49" wp14:editId="0EFC6E5F">
          <wp:simplePos x="0" y="0"/>
          <wp:positionH relativeFrom="column">
            <wp:posOffset>0</wp:posOffset>
          </wp:positionH>
          <wp:positionV relativeFrom="paragraph">
            <wp:posOffset>-635</wp:posOffset>
          </wp:positionV>
          <wp:extent cx="1598212" cy="723976"/>
          <wp:effectExtent l="0" t="0" r="2540" b="0"/>
          <wp:wrapNone/>
          <wp:docPr id="6" name="Imagen 6"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226B35" w:rsidRDefault="00205BF7"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Abril </w:t>
    </w:r>
    <w:r w:rsidR="00226B35">
      <w:rPr>
        <w:rFonts w:ascii="Times New Roman" w:hAnsi="Times New Roman" w:cs="Times New Roman"/>
        <w:color w:val="1F497D" w:themeColor="text2"/>
        <w:lang w:val="es-MX"/>
      </w:rPr>
      <w:t>2021</w:t>
    </w:r>
  </w:p>
  <w:p w:rsidR="00226B35" w:rsidRDefault="00226B3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0522E6E4" wp14:editId="27006B08">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8A165"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26B35" w:rsidRDefault="00226B35"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26B35" w:rsidRPr="0001624A" w:rsidRDefault="00226B35"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2204F5AE" wp14:editId="3351CF1B">
          <wp:simplePos x="0" y="0"/>
          <wp:positionH relativeFrom="column">
            <wp:posOffset>-548640</wp:posOffset>
          </wp:positionH>
          <wp:positionV relativeFrom="paragraph">
            <wp:posOffset>-8587</wp:posOffset>
          </wp:positionV>
          <wp:extent cx="1598212" cy="723976"/>
          <wp:effectExtent l="0" t="0" r="2540" b="0"/>
          <wp:wrapNone/>
          <wp:docPr id="239" name="Imagen 23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64830FCE" wp14:editId="1302393D">
          <wp:simplePos x="0" y="0"/>
          <wp:positionH relativeFrom="column">
            <wp:posOffset>5207000</wp:posOffset>
          </wp:positionH>
          <wp:positionV relativeFrom="page">
            <wp:posOffset>166370</wp:posOffset>
          </wp:positionV>
          <wp:extent cx="1282700" cy="1022985"/>
          <wp:effectExtent l="0" t="0" r="0" b="5715"/>
          <wp:wrapNone/>
          <wp:docPr id="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575AA61C" wp14:editId="4BA36EEA">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2E10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1120" behindDoc="0" locked="0" layoutInCell="1" allowOverlap="1" wp14:anchorId="5B54BE3B" wp14:editId="5D12B818">
          <wp:simplePos x="0" y="0"/>
          <wp:positionH relativeFrom="column">
            <wp:posOffset>-548640</wp:posOffset>
          </wp:positionH>
          <wp:positionV relativeFrom="paragraph">
            <wp:posOffset>-8587</wp:posOffset>
          </wp:positionV>
          <wp:extent cx="1598212" cy="723976"/>
          <wp:effectExtent l="0" t="0" r="2540" b="0"/>
          <wp:wrapNone/>
          <wp:docPr id="243" name="Imagen 24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82144" behindDoc="1" locked="1" layoutInCell="1" allowOverlap="1" wp14:anchorId="322D68AE" wp14:editId="1315ADA3">
          <wp:simplePos x="0" y="0"/>
          <wp:positionH relativeFrom="column">
            <wp:posOffset>5207000</wp:posOffset>
          </wp:positionH>
          <wp:positionV relativeFrom="page">
            <wp:posOffset>166370</wp:posOffset>
          </wp:positionV>
          <wp:extent cx="1282700" cy="1022985"/>
          <wp:effectExtent l="0" t="0" r="0" b="5715"/>
          <wp:wrapNone/>
          <wp:docPr id="2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0096" behindDoc="0" locked="0" layoutInCell="1" allowOverlap="1" wp14:anchorId="41B2F233" wp14:editId="090259E9">
              <wp:simplePos x="0" y="0"/>
              <wp:positionH relativeFrom="column">
                <wp:posOffset>1214617</wp:posOffset>
              </wp:positionH>
              <wp:positionV relativeFrom="paragraph">
                <wp:posOffset>14357</wp:posOffset>
              </wp:positionV>
              <wp:extent cx="3991555" cy="45719"/>
              <wp:effectExtent l="38100" t="38100" r="66675" b="88265"/>
              <wp:wrapNone/>
              <wp:docPr id="242"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2347A" id="11 Rectángulo" o:spid="_x0000_s1026" style="position:absolute;margin-left:95.65pt;margin-top:1.15pt;width:314.3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EBwShY/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2E10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5216" behindDoc="0" locked="0" layoutInCell="1" allowOverlap="1" wp14:anchorId="55B43E4D" wp14:editId="7EC6F738">
          <wp:simplePos x="0" y="0"/>
          <wp:positionH relativeFrom="column">
            <wp:posOffset>-548640</wp:posOffset>
          </wp:positionH>
          <wp:positionV relativeFrom="paragraph">
            <wp:posOffset>-8587</wp:posOffset>
          </wp:positionV>
          <wp:extent cx="1598212" cy="723976"/>
          <wp:effectExtent l="0" t="0" r="2540" b="0"/>
          <wp:wrapNone/>
          <wp:docPr id="248" name="Imagen 24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86240" behindDoc="1" locked="1" layoutInCell="1" allowOverlap="1" wp14:anchorId="32072B16" wp14:editId="580CBBB0">
          <wp:simplePos x="0" y="0"/>
          <wp:positionH relativeFrom="column">
            <wp:posOffset>5207000</wp:posOffset>
          </wp:positionH>
          <wp:positionV relativeFrom="page">
            <wp:posOffset>166370</wp:posOffset>
          </wp:positionV>
          <wp:extent cx="1282700" cy="1022985"/>
          <wp:effectExtent l="0" t="0" r="0" b="5715"/>
          <wp:wrapNone/>
          <wp:docPr id="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4192" behindDoc="0" locked="0" layoutInCell="1" allowOverlap="1" wp14:anchorId="7B8940D3" wp14:editId="5B88E273">
              <wp:simplePos x="0" y="0"/>
              <wp:positionH relativeFrom="column">
                <wp:posOffset>1214617</wp:posOffset>
              </wp:positionH>
              <wp:positionV relativeFrom="paragraph">
                <wp:posOffset>14357</wp:posOffset>
              </wp:positionV>
              <wp:extent cx="3991555" cy="45719"/>
              <wp:effectExtent l="38100" t="38100" r="66675" b="88265"/>
              <wp:wrapNone/>
              <wp:docPr id="24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E0AC" id="11 Rectángulo" o:spid="_x0000_s1026" style="position:absolute;margin-left:95.65pt;margin-top:1.15pt;width:314.3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F61vQU/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2E10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5E" w:rsidRPr="002E105E" w:rsidRDefault="002E10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89312" behindDoc="0" locked="0" layoutInCell="1" allowOverlap="1" wp14:anchorId="0D0B2181" wp14:editId="7F110E7A">
          <wp:simplePos x="0" y="0"/>
          <wp:positionH relativeFrom="column">
            <wp:posOffset>-548640</wp:posOffset>
          </wp:positionH>
          <wp:positionV relativeFrom="paragraph">
            <wp:posOffset>-8587</wp:posOffset>
          </wp:positionV>
          <wp:extent cx="1598212" cy="723976"/>
          <wp:effectExtent l="0" t="0" r="2540" b="0"/>
          <wp:wrapNone/>
          <wp:docPr id="252" name="Imagen 25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90336" behindDoc="1" locked="1" layoutInCell="1" allowOverlap="1" wp14:anchorId="4C655C80" wp14:editId="679A6FD7">
          <wp:simplePos x="0" y="0"/>
          <wp:positionH relativeFrom="column">
            <wp:posOffset>5207000</wp:posOffset>
          </wp:positionH>
          <wp:positionV relativeFrom="page">
            <wp:posOffset>166370</wp:posOffset>
          </wp:positionV>
          <wp:extent cx="1282700" cy="1022985"/>
          <wp:effectExtent l="0" t="0" r="0" b="5715"/>
          <wp:wrapNone/>
          <wp:docPr id="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05E" w:rsidRPr="002E105E" w:rsidRDefault="002E105E" w:rsidP="002E105E">
    <w:pPr>
      <w:pStyle w:val="Encabezado"/>
      <w:jc w:val="center"/>
      <w:rPr>
        <w:rFonts w:ascii="Times New Roman" w:hAnsi="Times New Roman" w:cs="Times New Roman"/>
        <w:color w:val="1F497D" w:themeColor="text2"/>
        <w:sz w:val="20"/>
        <w:lang w:val="es-MX"/>
      </w:rPr>
    </w:pPr>
    <w:r w:rsidRPr="002E105E">
      <w:rPr>
        <w:rFonts w:ascii="Times New Roman" w:hAnsi="Times New Roman" w:cs="Times New Roman"/>
        <w:color w:val="1F497D" w:themeColor="text2"/>
        <w:sz w:val="20"/>
        <w:lang w:val="es-MX"/>
      </w:rPr>
      <w:t>Abril 2021</w:t>
    </w:r>
  </w:p>
  <w:p w:rsidR="002E105E" w:rsidRDefault="002E10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88288" behindDoc="0" locked="0" layoutInCell="1" allowOverlap="1" wp14:anchorId="2AC1870A" wp14:editId="5D664EBE">
              <wp:simplePos x="0" y="0"/>
              <wp:positionH relativeFrom="column">
                <wp:posOffset>1214617</wp:posOffset>
              </wp:positionH>
              <wp:positionV relativeFrom="paragraph">
                <wp:posOffset>14357</wp:posOffset>
              </wp:positionV>
              <wp:extent cx="3991555" cy="45719"/>
              <wp:effectExtent l="38100" t="38100" r="66675" b="88265"/>
              <wp:wrapNone/>
              <wp:docPr id="251"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E84B" id="11 Rectángulo" o:spid="_x0000_s1026" style="position:absolute;margin-left:95.65pt;margin-top:1.15pt;width:314.3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FRyyU/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E105E" w:rsidRPr="0073581B" w:rsidRDefault="008F423A" w:rsidP="008F423A">
    <w:pPr>
      <w:pStyle w:val="Encabezado"/>
      <w:tabs>
        <w:tab w:val="center" w:pos="4702"/>
        <w:tab w:val="left" w:pos="8683"/>
      </w:tabs>
      <w:rPr>
        <w:rFonts w:ascii="Times New Roman" w:hAnsi="Times New Roman" w:cs="Times New Roman"/>
        <w:b/>
        <w:lang w:val="es-MX"/>
      </w:rPr>
    </w:pPr>
    <w:r>
      <w:rPr>
        <w:rFonts w:ascii="Times New Roman" w:hAnsi="Times New Roman" w:cs="Times New Roman"/>
        <w:b/>
        <w:color w:val="4F81BD" w:themeColor="accent1"/>
        <w:lang w:val="es-MX"/>
      </w:rPr>
      <w:tab/>
    </w:r>
    <w:r w:rsidR="002E105E" w:rsidRPr="0073581B">
      <w:rPr>
        <w:rFonts w:ascii="Times New Roman" w:hAnsi="Times New Roman" w:cs="Times New Roman"/>
        <w:b/>
        <w:color w:val="4F81BD" w:themeColor="accent1"/>
        <w:lang w:val="es-MX"/>
      </w:rPr>
      <w:t>Dirección de Análisis y Política Fiscal</w:t>
    </w:r>
    <w:r>
      <w:rPr>
        <w:rFonts w:ascii="Times New Roman" w:hAnsi="Times New Roman" w:cs="Times New Roman"/>
        <w:b/>
        <w:color w:val="4F81BD" w:themeColor="accent1"/>
        <w:lang w:val="es-MX"/>
      </w:rPr>
      <w:tab/>
    </w:r>
  </w:p>
  <w:p w:rsidR="00226B35" w:rsidRPr="007452E2" w:rsidRDefault="00226B35"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35" w:rsidRPr="007D4651" w:rsidRDefault="00226B35" w:rsidP="008F423A">
    <w:pPr>
      <w:pStyle w:val="Encabezado"/>
      <w:jc w:val="center"/>
      <w:rPr>
        <w:rFonts w:ascii="Times New Roman" w:hAnsi="Times New Roman" w:cs="Times New Roman"/>
        <w:b/>
        <w:color w:val="1F497D" w:themeColor="text2"/>
        <w:sz w:val="24"/>
        <w:lang w:val="es-MX"/>
      </w:rPr>
    </w:pPr>
    <w:r>
      <w:rPr>
        <w:noProof/>
        <w:lang w:eastAsia="es-GT"/>
      </w:rPr>
      <w:drawing>
        <wp:anchor distT="0" distB="0" distL="114300" distR="114300" simplePos="0" relativeHeight="251747328" behindDoc="0" locked="0" layoutInCell="1" allowOverlap="1" wp14:anchorId="6244B620" wp14:editId="010BCEC8">
          <wp:simplePos x="0" y="0"/>
          <wp:positionH relativeFrom="column">
            <wp:posOffset>-518615</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r w:rsidR="008F423A" w:rsidRPr="002E105E">
      <w:rPr>
        <w:noProof/>
        <w:sz w:val="20"/>
        <w:lang w:eastAsia="es-GT"/>
      </w:rPr>
      <w:drawing>
        <wp:anchor distT="0" distB="0" distL="114300" distR="114300" simplePos="0" relativeHeight="251804672" behindDoc="1" locked="1" layoutInCell="1" allowOverlap="1" wp14:anchorId="181E65C2" wp14:editId="61327634">
          <wp:simplePos x="0" y="0"/>
          <wp:positionH relativeFrom="column">
            <wp:posOffset>5061585</wp:posOffset>
          </wp:positionH>
          <wp:positionV relativeFrom="page">
            <wp:posOffset>150495</wp:posOffset>
          </wp:positionV>
          <wp:extent cx="1282700" cy="1022985"/>
          <wp:effectExtent l="0" t="0" r="0" b="5715"/>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B35" w:rsidRDefault="00205BF7" w:rsidP="008F423A">
    <w:pPr>
      <w:pStyle w:val="Encabezado"/>
      <w:jc w:val="center"/>
      <w:rPr>
        <w:rFonts w:ascii="Times New Roman" w:hAnsi="Times New Roman" w:cs="Times New Roman"/>
        <w:color w:val="1F497D" w:themeColor="text2"/>
        <w:lang w:val="es-MX"/>
      </w:rPr>
    </w:pPr>
    <w:r>
      <w:rPr>
        <w:rFonts w:ascii="Times New Roman" w:hAnsi="Times New Roman" w:cs="Times New Roman"/>
        <w:color w:val="1F497D" w:themeColor="text2"/>
        <w:lang w:val="es-MX"/>
      </w:rPr>
      <w:t>Abril</w:t>
    </w:r>
    <w:r w:rsidR="00226B35">
      <w:rPr>
        <w:rFonts w:ascii="Times New Roman" w:hAnsi="Times New Roman" w:cs="Times New Roman"/>
        <w:color w:val="1F497D" w:themeColor="text2"/>
        <w:lang w:val="es-MX"/>
      </w:rPr>
      <w:t xml:space="preserve"> 2021</w:t>
    </w:r>
  </w:p>
  <w:p w:rsidR="00226B35" w:rsidRDefault="00226B3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2D355F02" wp14:editId="738A98C7">
              <wp:simplePos x="0" y="0"/>
              <wp:positionH relativeFrom="column">
                <wp:posOffset>1267280</wp:posOffset>
              </wp:positionH>
              <wp:positionV relativeFrom="paragraph">
                <wp:posOffset>32736</wp:posOffset>
              </wp:positionV>
              <wp:extent cx="3794078" cy="45719"/>
              <wp:effectExtent l="38100" t="38100" r="54610" b="88265"/>
              <wp:wrapNone/>
              <wp:docPr id="20" name="20 Rectángulo"/>
              <wp:cNvGraphicFramePr/>
              <a:graphic xmlns:a="http://schemas.openxmlformats.org/drawingml/2006/main">
                <a:graphicData uri="http://schemas.microsoft.com/office/word/2010/wordprocessingShape">
                  <wps:wsp>
                    <wps:cNvSpPr/>
                    <wps:spPr>
                      <a:xfrm>
                        <a:off x="0" y="0"/>
                        <a:ext cx="379407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BA3E" id="20 Rectángulo" o:spid="_x0000_s1026" style="position:absolute;margin-left:99.8pt;margin-top:2.6pt;width:298.7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26B35" w:rsidRDefault="00226B35"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35" w:rsidRPr="007D4651" w:rsidRDefault="00226B35"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5A7C6FE3" wp14:editId="72DD417C">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226B35" w:rsidRDefault="00226B35"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226B35" w:rsidRDefault="00226B3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2D263313" wp14:editId="2D8231A7">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6C931"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26B35" w:rsidRDefault="00226B3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26B35" w:rsidRPr="00E16925" w:rsidRDefault="00226B35"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
  </w:num>
  <w:num w:numId="5">
    <w:abstractNumId w:val="17"/>
  </w:num>
  <w:num w:numId="6">
    <w:abstractNumId w:val="21"/>
  </w:num>
  <w:num w:numId="7">
    <w:abstractNumId w:val="20"/>
  </w:num>
  <w:num w:numId="8">
    <w:abstractNumId w:val="3"/>
  </w:num>
  <w:num w:numId="9">
    <w:abstractNumId w:val="11"/>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9"/>
  </w:num>
  <w:num w:numId="17">
    <w:abstractNumId w:val="12"/>
  </w:num>
  <w:num w:numId="18">
    <w:abstractNumId w:val="18"/>
  </w:num>
  <w:num w:numId="19">
    <w:abstractNumId w:val="13"/>
  </w:num>
  <w:num w:numId="20">
    <w:abstractNumId w:val="14"/>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14"/>
    <w:rsid w:val="00051776"/>
    <w:rsid w:val="00051A92"/>
    <w:rsid w:val="000530BD"/>
    <w:rsid w:val="00053517"/>
    <w:rsid w:val="00062433"/>
    <w:rsid w:val="0006261A"/>
    <w:rsid w:val="00063120"/>
    <w:rsid w:val="0006646A"/>
    <w:rsid w:val="00067F82"/>
    <w:rsid w:val="000704F4"/>
    <w:rsid w:val="000723B2"/>
    <w:rsid w:val="00072EEB"/>
    <w:rsid w:val="00074BC6"/>
    <w:rsid w:val="00076AB4"/>
    <w:rsid w:val="00076AD2"/>
    <w:rsid w:val="00076BF9"/>
    <w:rsid w:val="000802A8"/>
    <w:rsid w:val="00080B88"/>
    <w:rsid w:val="00080BD8"/>
    <w:rsid w:val="0008320B"/>
    <w:rsid w:val="0008348D"/>
    <w:rsid w:val="00087ADE"/>
    <w:rsid w:val="00091917"/>
    <w:rsid w:val="000A0A4F"/>
    <w:rsid w:val="000A6E8E"/>
    <w:rsid w:val="000B0279"/>
    <w:rsid w:val="000B20DC"/>
    <w:rsid w:val="000B56CE"/>
    <w:rsid w:val="000B6744"/>
    <w:rsid w:val="000C1547"/>
    <w:rsid w:val="000C1FF2"/>
    <w:rsid w:val="000C21E1"/>
    <w:rsid w:val="000C2C25"/>
    <w:rsid w:val="000C4EC0"/>
    <w:rsid w:val="000C65AB"/>
    <w:rsid w:val="000D016D"/>
    <w:rsid w:val="000D2E0C"/>
    <w:rsid w:val="000D2FA4"/>
    <w:rsid w:val="000D489E"/>
    <w:rsid w:val="000E164F"/>
    <w:rsid w:val="000E43A8"/>
    <w:rsid w:val="000E5E43"/>
    <w:rsid w:val="000F1314"/>
    <w:rsid w:val="000F3B7F"/>
    <w:rsid w:val="000F4520"/>
    <w:rsid w:val="000F509C"/>
    <w:rsid w:val="000F5A9A"/>
    <w:rsid w:val="000F5F87"/>
    <w:rsid w:val="000F7F65"/>
    <w:rsid w:val="00101BB9"/>
    <w:rsid w:val="00102939"/>
    <w:rsid w:val="00103DA9"/>
    <w:rsid w:val="001045CE"/>
    <w:rsid w:val="00106793"/>
    <w:rsid w:val="00107309"/>
    <w:rsid w:val="0011194C"/>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6DE0"/>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0A"/>
    <w:rsid w:val="001A79F4"/>
    <w:rsid w:val="001B1DBB"/>
    <w:rsid w:val="001B3984"/>
    <w:rsid w:val="001B3EEE"/>
    <w:rsid w:val="001B4A4C"/>
    <w:rsid w:val="001B5046"/>
    <w:rsid w:val="001C2FF5"/>
    <w:rsid w:val="001C3649"/>
    <w:rsid w:val="001D0065"/>
    <w:rsid w:val="001D3345"/>
    <w:rsid w:val="001D46C3"/>
    <w:rsid w:val="001D4C8E"/>
    <w:rsid w:val="001D5A5B"/>
    <w:rsid w:val="001D719C"/>
    <w:rsid w:val="001E05BE"/>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6605"/>
    <w:rsid w:val="0021693D"/>
    <w:rsid w:val="00216B0E"/>
    <w:rsid w:val="00216DA8"/>
    <w:rsid w:val="002215C9"/>
    <w:rsid w:val="00222598"/>
    <w:rsid w:val="00226B35"/>
    <w:rsid w:val="002302ED"/>
    <w:rsid w:val="002335EE"/>
    <w:rsid w:val="0023642A"/>
    <w:rsid w:val="00240D86"/>
    <w:rsid w:val="00242202"/>
    <w:rsid w:val="00242A7B"/>
    <w:rsid w:val="00244AAA"/>
    <w:rsid w:val="002512EC"/>
    <w:rsid w:val="00252B28"/>
    <w:rsid w:val="00256F02"/>
    <w:rsid w:val="002610FC"/>
    <w:rsid w:val="00261B5A"/>
    <w:rsid w:val="00261B7A"/>
    <w:rsid w:val="00262E76"/>
    <w:rsid w:val="00263007"/>
    <w:rsid w:val="00263CC4"/>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CBA"/>
    <w:rsid w:val="00281FB7"/>
    <w:rsid w:val="0028212F"/>
    <w:rsid w:val="00292AD2"/>
    <w:rsid w:val="00292AD8"/>
    <w:rsid w:val="0029321A"/>
    <w:rsid w:val="00295365"/>
    <w:rsid w:val="002955BE"/>
    <w:rsid w:val="00296D57"/>
    <w:rsid w:val="002977ED"/>
    <w:rsid w:val="002A076B"/>
    <w:rsid w:val="002A5B1B"/>
    <w:rsid w:val="002A63DE"/>
    <w:rsid w:val="002B5E9D"/>
    <w:rsid w:val="002B7644"/>
    <w:rsid w:val="002B769D"/>
    <w:rsid w:val="002C0021"/>
    <w:rsid w:val="002C2547"/>
    <w:rsid w:val="002C482A"/>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21745"/>
    <w:rsid w:val="0032198D"/>
    <w:rsid w:val="00322ECC"/>
    <w:rsid w:val="00330A9D"/>
    <w:rsid w:val="00334324"/>
    <w:rsid w:val="00336F5B"/>
    <w:rsid w:val="003371DC"/>
    <w:rsid w:val="00340AB7"/>
    <w:rsid w:val="00343A5D"/>
    <w:rsid w:val="00345216"/>
    <w:rsid w:val="0034700C"/>
    <w:rsid w:val="003523F0"/>
    <w:rsid w:val="0035279B"/>
    <w:rsid w:val="003531E5"/>
    <w:rsid w:val="003551C3"/>
    <w:rsid w:val="003566E1"/>
    <w:rsid w:val="003649D9"/>
    <w:rsid w:val="00364DD6"/>
    <w:rsid w:val="00366770"/>
    <w:rsid w:val="00367E12"/>
    <w:rsid w:val="0037150D"/>
    <w:rsid w:val="00374D44"/>
    <w:rsid w:val="003762C5"/>
    <w:rsid w:val="00376802"/>
    <w:rsid w:val="00376FE9"/>
    <w:rsid w:val="0038008D"/>
    <w:rsid w:val="003804E5"/>
    <w:rsid w:val="00381A4F"/>
    <w:rsid w:val="0038488D"/>
    <w:rsid w:val="00385BA8"/>
    <w:rsid w:val="00387AFB"/>
    <w:rsid w:val="00393E59"/>
    <w:rsid w:val="0039499F"/>
    <w:rsid w:val="003968DB"/>
    <w:rsid w:val="003A1300"/>
    <w:rsid w:val="003A3726"/>
    <w:rsid w:val="003A37AC"/>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3C6"/>
    <w:rsid w:val="0040580B"/>
    <w:rsid w:val="00410690"/>
    <w:rsid w:val="0041262B"/>
    <w:rsid w:val="00413FBE"/>
    <w:rsid w:val="00416D4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2A11"/>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30EAC"/>
    <w:rsid w:val="00532025"/>
    <w:rsid w:val="00533602"/>
    <w:rsid w:val="0053566F"/>
    <w:rsid w:val="005364DE"/>
    <w:rsid w:val="005428C6"/>
    <w:rsid w:val="00544E9A"/>
    <w:rsid w:val="00546650"/>
    <w:rsid w:val="0055248B"/>
    <w:rsid w:val="005537D0"/>
    <w:rsid w:val="005550D8"/>
    <w:rsid w:val="0055590E"/>
    <w:rsid w:val="00561402"/>
    <w:rsid w:val="00573AB0"/>
    <w:rsid w:val="005755E9"/>
    <w:rsid w:val="00575DFA"/>
    <w:rsid w:val="00580234"/>
    <w:rsid w:val="00580D47"/>
    <w:rsid w:val="00582F9F"/>
    <w:rsid w:val="005831AA"/>
    <w:rsid w:val="00586745"/>
    <w:rsid w:val="005879A5"/>
    <w:rsid w:val="00591D14"/>
    <w:rsid w:val="005925BD"/>
    <w:rsid w:val="00592D6E"/>
    <w:rsid w:val="0059421A"/>
    <w:rsid w:val="005948F0"/>
    <w:rsid w:val="0059655C"/>
    <w:rsid w:val="00596662"/>
    <w:rsid w:val="0059700F"/>
    <w:rsid w:val="005979EB"/>
    <w:rsid w:val="005A03A9"/>
    <w:rsid w:val="005A1EFC"/>
    <w:rsid w:val="005A34F5"/>
    <w:rsid w:val="005A6ACE"/>
    <w:rsid w:val="005A6F91"/>
    <w:rsid w:val="005B0E33"/>
    <w:rsid w:val="005B0E84"/>
    <w:rsid w:val="005B1B53"/>
    <w:rsid w:val="005B44D1"/>
    <w:rsid w:val="005B4E4C"/>
    <w:rsid w:val="005B6D05"/>
    <w:rsid w:val="005C103A"/>
    <w:rsid w:val="005C275E"/>
    <w:rsid w:val="005C4C97"/>
    <w:rsid w:val="005D2336"/>
    <w:rsid w:val="005D34FC"/>
    <w:rsid w:val="005D5151"/>
    <w:rsid w:val="005D51CA"/>
    <w:rsid w:val="005D6423"/>
    <w:rsid w:val="005D7AC4"/>
    <w:rsid w:val="005E4D76"/>
    <w:rsid w:val="005E6BD0"/>
    <w:rsid w:val="005E7E89"/>
    <w:rsid w:val="005F01EF"/>
    <w:rsid w:val="005F04EC"/>
    <w:rsid w:val="005F18DE"/>
    <w:rsid w:val="005F470C"/>
    <w:rsid w:val="005F591A"/>
    <w:rsid w:val="0060094A"/>
    <w:rsid w:val="0060136C"/>
    <w:rsid w:val="006014EC"/>
    <w:rsid w:val="00601BE6"/>
    <w:rsid w:val="00601C99"/>
    <w:rsid w:val="00603743"/>
    <w:rsid w:val="00604F51"/>
    <w:rsid w:val="006060AD"/>
    <w:rsid w:val="00606D70"/>
    <w:rsid w:val="00610F84"/>
    <w:rsid w:val="0062255C"/>
    <w:rsid w:val="00622FB1"/>
    <w:rsid w:val="00623DEA"/>
    <w:rsid w:val="00623EC9"/>
    <w:rsid w:val="00624417"/>
    <w:rsid w:val="00625AA5"/>
    <w:rsid w:val="00632EE6"/>
    <w:rsid w:val="00633616"/>
    <w:rsid w:val="00637772"/>
    <w:rsid w:val="00637AC9"/>
    <w:rsid w:val="00640B12"/>
    <w:rsid w:val="0064258A"/>
    <w:rsid w:val="00643685"/>
    <w:rsid w:val="00643FB6"/>
    <w:rsid w:val="006470E2"/>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87029"/>
    <w:rsid w:val="00690C8D"/>
    <w:rsid w:val="006968BB"/>
    <w:rsid w:val="006A1473"/>
    <w:rsid w:val="006A33A0"/>
    <w:rsid w:val="006A41F1"/>
    <w:rsid w:val="006A64D5"/>
    <w:rsid w:val="006B0D82"/>
    <w:rsid w:val="006B40EC"/>
    <w:rsid w:val="006C0680"/>
    <w:rsid w:val="006C2F15"/>
    <w:rsid w:val="006C47AE"/>
    <w:rsid w:val="006C7015"/>
    <w:rsid w:val="006D1857"/>
    <w:rsid w:val="006D7959"/>
    <w:rsid w:val="006D7B6E"/>
    <w:rsid w:val="006D7BB6"/>
    <w:rsid w:val="006E082A"/>
    <w:rsid w:val="006E1D11"/>
    <w:rsid w:val="006E27A5"/>
    <w:rsid w:val="006E4937"/>
    <w:rsid w:val="006E63F3"/>
    <w:rsid w:val="006E6A13"/>
    <w:rsid w:val="006F157C"/>
    <w:rsid w:val="006F1B31"/>
    <w:rsid w:val="006F202E"/>
    <w:rsid w:val="006F20A4"/>
    <w:rsid w:val="006F3C0D"/>
    <w:rsid w:val="006F3FF3"/>
    <w:rsid w:val="006F410A"/>
    <w:rsid w:val="006F4891"/>
    <w:rsid w:val="006F5EA0"/>
    <w:rsid w:val="006F7575"/>
    <w:rsid w:val="00706506"/>
    <w:rsid w:val="00706A33"/>
    <w:rsid w:val="00712339"/>
    <w:rsid w:val="00714E40"/>
    <w:rsid w:val="00715429"/>
    <w:rsid w:val="00715C88"/>
    <w:rsid w:val="00715D8F"/>
    <w:rsid w:val="0071791E"/>
    <w:rsid w:val="007206C9"/>
    <w:rsid w:val="00720E64"/>
    <w:rsid w:val="00723F6E"/>
    <w:rsid w:val="00725F93"/>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1680"/>
    <w:rsid w:val="007A345B"/>
    <w:rsid w:val="007A6523"/>
    <w:rsid w:val="007A71F2"/>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525E"/>
    <w:rsid w:val="007F6F57"/>
    <w:rsid w:val="008010A6"/>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341"/>
    <w:rsid w:val="0085741B"/>
    <w:rsid w:val="00861640"/>
    <w:rsid w:val="00865EB0"/>
    <w:rsid w:val="008662DB"/>
    <w:rsid w:val="00867436"/>
    <w:rsid w:val="00870831"/>
    <w:rsid w:val="008718E5"/>
    <w:rsid w:val="00871B31"/>
    <w:rsid w:val="008827D6"/>
    <w:rsid w:val="008844B1"/>
    <w:rsid w:val="00886F39"/>
    <w:rsid w:val="00891B11"/>
    <w:rsid w:val="00891F2D"/>
    <w:rsid w:val="00892181"/>
    <w:rsid w:val="00892DE1"/>
    <w:rsid w:val="00894DC9"/>
    <w:rsid w:val="00895722"/>
    <w:rsid w:val="00897192"/>
    <w:rsid w:val="008A1777"/>
    <w:rsid w:val="008A2427"/>
    <w:rsid w:val="008A2503"/>
    <w:rsid w:val="008A5760"/>
    <w:rsid w:val="008B110A"/>
    <w:rsid w:val="008B3C43"/>
    <w:rsid w:val="008B5573"/>
    <w:rsid w:val="008C079A"/>
    <w:rsid w:val="008C147E"/>
    <w:rsid w:val="008C2DDF"/>
    <w:rsid w:val="008D5E9E"/>
    <w:rsid w:val="008D6C33"/>
    <w:rsid w:val="008E0F73"/>
    <w:rsid w:val="008E5C4F"/>
    <w:rsid w:val="008E6162"/>
    <w:rsid w:val="008E66C1"/>
    <w:rsid w:val="008E7869"/>
    <w:rsid w:val="008E7927"/>
    <w:rsid w:val="008F312E"/>
    <w:rsid w:val="008F423A"/>
    <w:rsid w:val="008F46B7"/>
    <w:rsid w:val="008F4BCE"/>
    <w:rsid w:val="008F4D62"/>
    <w:rsid w:val="008F5915"/>
    <w:rsid w:val="008F59E6"/>
    <w:rsid w:val="008F5DBB"/>
    <w:rsid w:val="0090034D"/>
    <w:rsid w:val="009060FA"/>
    <w:rsid w:val="009062A4"/>
    <w:rsid w:val="009070B4"/>
    <w:rsid w:val="00910163"/>
    <w:rsid w:val="009121F7"/>
    <w:rsid w:val="00912A58"/>
    <w:rsid w:val="00916532"/>
    <w:rsid w:val="00917786"/>
    <w:rsid w:val="00924740"/>
    <w:rsid w:val="00924E88"/>
    <w:rsid w:val="0093474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F44"/>
    <w:rsid w:val="00972FCF"/>
    <w:rsid w:val="00975E49"/>
    <w:rsid w:val="00981FB0"/>
    <w:rsid w:val="00982379"/>
    <w:rsid w:val="00986297"/>
    <w:rsid w:val="0099341E"/>
    <w:rsid w:val="00993857"/>
    <w:rsid w:val="0099523B"/>
    <w:rsid w:val="00995540"/>
    <w:rsid w:val="00996BA4"/>
    <w:rsid w:val="00997A06"/>
    <w:rsid w:val="009A12F9"/>
    <w:rsid w:val="009A1EA3"/>
    <w:rsid w:val="009A1FA7"/>
    <w:rsid w:val="009A3187"/>
    <w:rsid w:val="009A47FE"/>
    <w:rsid w:val="009A5380"/>
    <w:rsid w:val="009A7441"/>
    <w:rsid w:val="009B10B6"/>
    <w:rsid w:val="009B2AD3"/>
    <w:rsid w:val="009B4C07"/>
    <w:rsid w:val="009B7148"/>
    <w:rsid w:val="009B7429"/>
    <w:rsid w:val="009B76D6"/>
    <w:rsid w:val="009C0583"/>
    <w:rsid w:val="009C09BA"/>
    <w:rsid w:val="009C0B93"/>
    <w:rsid w:val="009C361A"/>
    <w:rsid w:val="009C3938"/>
    <w:rsid w:val="009C4027"/>
    <w:rsid w:val="009C5F4E"/>
    <w:rsid w:val="009D0D94"/>
    <w:rsid w:val="009D1232"/>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530C"/>
    <w:rsid w:val="009F628A"/>
    <w:rsid w:val="00A00D30"/>
    <w:rsid w:val="00A0113A"/>
    <w:rsid w:val="00A015C5"/>
    <w:rsid w:val="00A07BE4"/>
    <w:rsid w:val="00A1145F"/>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3A53"/>
    <w:rsid w:val="00A64AE4"/>
    <w:rsid w:val="00A67992"/>
    <w:rsid w:val="00A706A2"/>
    <w:rsid w:val="00A710E7"/>
    <w:rsid w:val="00A7383F"/>
    <w:rsid w:val="00A73B4D"/>
    <w:rsid w:val="00A74F16"/>
    <w:rsid w:val="00A75539"/>
    <w:rsid w:val="00A75E19"/>
    <w:rsid w:val="00A775C6"/>
    <w:rsid w:val="00A808B8"/>
    <w:rsid w:val="00A817F8"/>
    <w:rsid w:val="00A875EE"/>
    <w:rsid w:val="00A900E8"/>
    <w:rsid w:val="00A92B4B"/>
    <w:rsid w:val="00A92D6E"/>
    <w:rsid w:val="00A93052"/>
    <w:rsid w:val="00A970F8"/>
    <w:rsid w:val="00AA11B9"/>
    <w:rsid w:val="00AA136F"/>
    <w:rsid w:val="00AA4872"/>
    <w:rsid w:val="00AA54A5"/>
    <w:rsid w:val="00AA6C6B"/>
    <w:rsid w:val="00AA7DB0"/>
    <w:rsid w:val="00AB20BD"/>
    <w:rsid w:val="00AB2522"/>
    <w:rsid w:val="00AB52BE"/>
    <w:rsid w:val="00AC5CAC"/>
    <w:rsid w:val="00AC614D"/>
    <w:rsid w:val="00AC7961"/>
    <w:rsid w:val="00AD02C8"/>
    <w:rsid w:val="00AD3FF3"/>
    <w:rsid w:val="00AD4251"/>
    <w:rsid w:val="00AD4EF6"/>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2673"/>
    <w:rsid w:val="00B04D97"/>
    <w:rsid w:val="00B05AC1"/>
    <w:rsid w:val="00B06546"/>
    <w:rsid w:val="00B11FD1"/>
    <w:rsid w:val="00B136D6"/>
    <w:rsid w:val="00B1448A"/>
    <w:rsid w:val="00B21010"/>
    <w:rsid w:val="00B21D47"/>
    <w:rsid w:val="00B26014"/>
    <w:rsid w:val="00B2709E"/>
    <w:rsid w:val="00B33CEF"/>
    <w:rsid w:val="00B35FDC"/>
    <w:rsid w:val="00B368DA"/>
    <w:rsid w:val="00B36B7C"/>
    <w:rsid w:val="00B42A82"/>
    <w:rsid w:val="00B43892"/>
    <w:rsid w:val="00B44909"/>
    <w:rsid w:val="00B468EF"/>
    <w:rsid w:val="00B5017E"/>
    <w:rsid w:val="00B5079C"/>
    <w:rsid w:val="00B508E2"/>
    <w:rsid w:val="00B5628E"/>
    <w:rsid w:val="00B579BB"/>
    <w:rsid w:val="00B57AAB"/>
    <w:rsid w:val="00B57CED"/>
    <w:rsid w:val="00B606D0"/>
    <w:rsid w:val="00B632B3"/>
    <w:rsid w:val="00B63567"/>
    <w:rsid w:val="00B667BC"/>
    <w:rsid w:val="00B667E7"/>
    <w:rsid w:val="00B7015D"/>
    <w:rsid w:val="00B7136E"/>
    <w:rsid w:val="00B7616E"/>
    <w:rsid w:val="00B807A2"/>
    <w:rsid w:val="00B80C7C"/>
    <w:rsid w:val="00B827E1"/>
    <w:rsid w:val="00B82ABC"/>
    <w:rsid w:val="00B83CAC"/>
    <w:rsid w:val="00B84995"/>
    <w:rsid w:val="00B85950"/>
    <w:rsid w:val="00B86812"/>
    <w:rsid w:val="00B87A60"/>
    <w:rsid w:val="00B91010"/>
    <w:rsid w:val="00B917E5"/>
    <w:rsid w:val="00B9286A"/>
    <w:rsid w:val="00B93470"/>
    <w:rsid w:val="00B95BBF"/>
    <w:rsid w:val="00B96036"/>
    <w:rsid w:val="00B96AC8"/>
    <w:rsid w:val="00B97122"/>
    <w:rsid w:val="00BA12CD"/>
    <w:rsid w:val="00BA25B6"/>
    <w:rsid w:val="00BA3920"/>
    <w:rsid w:val="00BA782D"/>
    <w:rsid w:val="00BB1AAC"/>
    <w:rsid w:val="00BB4591"/>
    <w:rsid w:val="00BB4C28"/>
    <w:rsid w:val="00BB5426"/>
    <w:rsid w:val="00BC2768"/>
    <w:rsid w:val="00BC33C2"/>
    <w:rsid w:val="00BC4F9E"/>
    <w:rsid w:val="00BC647C"/>
    <w:rsid w:val="00BC7539"/>
    <w:rsid w:val="00BC79C1"/>
    <w:rsid w:val="00BD0FCC"/>
    <w:rsid w:val="00BD1088"/>
    <w:rsid w:val="00BD33FC"/>
    <w:rsid w:val="00BD3A7C"/>
    <w:rsid w:val="00BD4961"/>
    <w:rsid w:val="00BD6CCD"/>
    <w:rsid w:val="00BE0387"/>
    <w:rsid w:val="00BE2D99"/>
    <w:rsid w:val="00BE54D6"/>
    <w:rsid w:val="00BF1481"/>
    <w:rsid w:val="00BF2610"/>
    <w:rsid w:val="00C001D0"/>
    <w:rsid w:val="00C02A39"/>
    <w:rsid w:val="00C02FE1"/>
    <w:rsid w:val="00C04E3C"/>
    <w:rsid w:val="00C05425"/>
    <w:rsid w:val="00C069B8"/>
    <w:rsid w:val="00C06E6C"/>
    <w:rsid w:val="00C074EF"/>
    <w:rsid w:val="00C1020B"/>
    <w:rsid w:val="00C10B42"/>
    <w:rsid w:val="00C12720"/>
    <w:rsid w:val="00C15432"/>
    <w:rsid w:val="00C15AC4"/>
    <w:rsid w:val="00C162B2"/>
    <w:rsid w:val="00C21149"/>
    <w:rsid w:val="00C2355D"/>
    <w:rsid w:val="00C2773E"/>
    <w:rsid w:val="00C3128B"/>
    <w:rsid w:val="00C32263"/>
    <w:rsid w:val="00C33674"/>
    <w:rsid w:val="00C3385B"/>
    <w:rsid w:val="00C33A88"/>
    <w:rsid w:val="00C36B12"/>
    <w:rsid w:val="00C41470"/>
    <w:rsid w:val="00C41FF2"/>
    <w:rsid w:val="00C54747"/>
    <w:rsid w:val="00C5514E"/>
    <w:rsid w:val="00C56C98"/>
    <w:rsid w:val="00C61690"/>
    <w:rsid w:val="00C6254D"/>
    <w:rsid w:val="00C629B9"/>
    <w:rsid w:val="00C645BC"/>
    <w:rsid w:val="00C646C4"/>
    <w:rsid w:val="00C64B43"/>
    <w:rsid w:val="00C75935"/>
    <w:rsid w:val="00C76463"/>
    <w:rsid w:val="00C813D6"/>
    <w:rsid w:val="00C84EF0"/>
    <w:rsid w:val="00C85696"/>
    <w:rsid w:val="00C9002C"/>
    <w:rsid w:val="00C91204"/>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B675C"/>
    <w:rsid w:val="00CC1604"/>
    <w:rsid w:val="00CC2800"/>
    <w:rsid w:val="00CC3420"/>
    <w:rsid w:val="00CC3BC7"/>
    <w:rsid w:val="00CC547C"/>
    <w:rsid w:val="00CC60FF"/>
    <w:rsid w:val="00CC741C"/>
    <w:rsid w:val="00CD5166"/>
    <w:rsid w:val="00CD58C8"/>
    <w:rsid w:val="00CD7760"/>
    <w:rsid w:val="00CE0468"/>
    <w:rsid w:val="00CE123C"/>
    <w:rsid w:val="00CE13DA"/>
    <w:rsid w:val="00CE2620"/>
    <w:rsid w:val="00CE2837"/>
    <w:rsid w:val="00CE3C39"/>
    <w:rsid w:val="00CE75B5"/>
    <w:rsid w:val="00CE7A73"/>
    <w:rsid w:val="00CF0F94"/>
    <w:rsid w:val="00CF2D98"/>
    <w:rsid w:val="00CF436B"/>
    <w:rsid w:val="00CF4D18"/>
    <w:rsid w:val="00CF5AB1"/>
    <w:rsid w:val="00CF73B4"/>
    <w:rsid w:val="00D00395"/>
    <w:rsid w:val="00D00E78"/>
    <w:rsid w:val="00D01738"/>
    <w:rsid w:val="00D04F96"/>
    <w:rsid w:val="00D1031C"/>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0160"/>
    <w:rsid w:val="00D616E2"/>
    <w:rsid w:val="00D61F8E"/>
    <w:rsid w:val="00D63636"/>
    <w:rsid w:val="00D63CFC"/>
    <w:rsid w:val="00D66147"/>
    <w:rsid w:val="00D66D34"/>
    <w:rsid w:val="00D716E4"/>
    <w:rsid w:val="00D73D1A"/>
    <w:rsid w:val="00D7427C"/>
    <w:rsid w:val="00D75694"/>
    <w:rsid w:val="00D75C74"/>
    <w:rsid w:val="00D75E95"/>
    <w:rsid w:val="00D858E5"/>
    <w:rsid w:val="00D918FA"/>
    <w:rsid w:val="00D92627"/>
    <w:rsid w:val="00D927DC"/>
    <w:rsid w:val="00DA13C8"/>
    <w:rsid w:val="00DA53C7"/>
    <w:rsid w:val="00DA5809"/>
    <w:rsid w:val="00DA58BF"/>
    <w:rsid w:val="00DA7B48"/>
    <w:rsid w:val="00DA7C18"/>
    <w:rsid w:val="00DB03B7"/>
    <w:rsid w:val="00DB2350"/>
    <w:rsid w:val="00DB4551"/>
    <w:rsid w:val="00DC1048"/>
    <w:rsid w:val="00DC44CF"/>
    <w:rsid w:val="00DC6DE1"/>
    <w:rsid w:val="00DC711C"/>
    <w:rsid w:val="00DD01C5"/>
    <w:rsid w:val="00DD23C0"/>
    <w:rsid w:val="00DD24D7"/>
    <w:rsid w:val="00DD4AB3"/>
    <w:rsid w:val="00DD4D5D"/>
    <w:rsid w:val="00DD517E"/>
    <w:rsid w:val="00DE17E2"/>
    <w:rsid w:val="00DE3020"/>
    <w:rsid w:val="00DE4D85"/>
    <w:rsid w:val="00DE6D9A"/>
    <w:rsid w:val="00DE6DD3"/>
    <w:rsid w:val="00DE6FB7"/>
    <w:rsid w:val="00DF18B6"/>
    <w:rsid w:val="00DF317F"/>
    <w:rsid w:val="00DF3C7A"/>
    <w:rsid w:val="00DF42DF"/>
    <w:rsid w:val="00DF4B52"/>
    <w:rsid w:val="00DF57A6"/>
    <w:rsid w:val="00DF70C1"/>
    <w:rsid w:val="00DF71A8"/>
    <w:rsid w:val="00E027B0"/>
    <w:rsid w:val="00E02A24"/>
    <w:rsid w:val="00E06484"/>
    <w:rsid w:val="00E11403"/>
    <w:rsid w:val="00E11DA9"/>
    <w:rsid w:val="00E1309C"/>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0A24"/>
    <w:rsid w:val="00E6202B"/>
    <w:rsid w:val="00E627ED"/>
    <w:rsid w:val="00E63798"/>
    <w:rsid w:val="00E6619D"/>
    <w:rsid w:val="00E701B7"/>
    <w:rsid w:val="00E7442E"/>
    <w:rsid w:val="00E756CD"/>
    <w:rsid w:val="00E82188"/>
    <w:rsid w:val="00E825A1"/>
    <w:rsid w:val="00E829E3"/>
    <w:rsid w:val="00E85293"/>
    <w:rsid w:val="00E871CE"/>
    <w:rsid w:val="00E87AC7"/>
    <w:rsid w:val="00E91D50"/>
    <w:rsid w:val="00E9315E"/>
    <w:rsid w:val="00E94F03"/>
    <w:rsid w:val="00E97903"/>
    <w:rsid w:val="00EA37FC"/>
    <w:rsid w:val="00EA68DF"/>
    <w:rsid w:val="00EA7845"/>
    <w:rsid w:val="00EB0687"/>
    <w:rsid w:val="00EB0FC5"/>
    <w:rsid w:val="00EB1910"/>
    <w:rsid w:val="00EB317F"/>
    <w:rsid w:val="00EB335D"/>
    <w:rsid w:val="00EB38A7"/>
    <w:rsid w:val="00EB62F2"/>
    <w:rsid w:val="00ED2C29"/>
    <w:rsid w:val="00ED3624"/>
    <w:rsid w:val="00ED7253"/>
    <w:rsid w:val="00ED7B45"/>
    <w:rsid w:val="00EE02F0"/>
    <w:rsid w:val="00EE2F16"/>
    <w:rsid w:val="00EE68A4"/>
    <w:rsid w:val="00EE6FBD"/>
    <w:rsid w:val="00EE72DB"/>
    <w:rsid w:val="00EE73CD"/>
    <w:rsid w:val="00EF1CB1"/>
    <w:rsid w:val="00EF56F9"/>
    <w:rsid w:val="00F00537"/>
    <w:rsid w:val="00F03418"/>
    <w:rsid w:val="00F04678"/>
    <w:rsid w:val="00F062BF"/>
    <w:rsid w:val="00F06437"/>
    <w:rsid w:val="00F06559"/>
    <w:rsid w:val="00F0775B"/>
    <w:rsid w:val="00F07EED"/>
    <w:rsid w:val="00F10A29"/>
    <w:rsid w:val="00F10ACE"/>
    <w:rsid w:val="00F16658"/>
    <w:rsid w:val="00F16692"/>
    <w:rsid w:val="00F20D0D"/>
    <w:rsid w:val="00F229CE"/>
    <w:rsid w:val="00F23065"/>
    <w:rsid w:val="00F25E21"/>
    <w:rsid w:val="00F26087"/>
    <w:rsid w:val="00F27024"/>
    <w:rsid w:val="00F3088D"/>
    <w:rsid w:val="00F341FB"/>
    <w:rsid w:val="00F34933"/>
    <w:rsid w:val="00F37AD2"/>
    <w:rsid w:val="00F43CF0"/>
    <w:rsid w:val="00F454D8"/>
    <w:rsid w:val="00F4680E"/>
    <w:rsid w:val="00F46EBB"/>
    <w:rsid w:val="00F47088"/>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5C84"/>
    <w:rsid w:val="00F75EDB"/>
    <w:rsid w:val="00F762E5"/>
    <w:rsid w:val="00F76491"/>
    <w:rsid w:val="00F8230E"/>
    <w:rsid w:val="00F8628C"/>
    <w:rsid w:val="00F930A8"/>
    <w:rsid w:val="00FA3B81"/>
    <w:rsid w:val="00FA5DE4"/>
    <w:rsid w:val="00FA5E7B"/>
    <w:rsid w:val="00FA7384"/>
    <w:rsid w:val="00FB2C2F"/>
    <w:rsid w:val="00FB5F5C"/>
    <w:rsid w:val="00FB6AF8"/>
    <w:rsid w:val="00FC0D3E"/>
    <w:rsid w:val="00FC319F"/>
    <w:rsid w:val="00FC3884"/>
    <w:rsid w:val="00FC4DC9"/>
    <w:rsid w:val="00FC4F6B"/>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D36900-51F2-4F7F-A188-A7A5369E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5.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footer" Target="footer7.xml"/><Relationship Id="rId37" Type="http://schemas.openxmlformats.org/officeDocument/2006/relationships/image" Target="media/image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chart" Target="charts/chart1.xml"/><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1\Sitfin\Abril\Sitfin%20al%20300421%20(1705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oleObject" Target="file:///C:\Users\seargueta\Desktop\Informes%202021\Sitfin\Abril\Sitfin%20al%20300421%20(0405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157743651527477E-2"/>
          <c:y val="3.489159443304881E-2"/>
          <c:w val="0.87733547143555446"/>
          <c:h val="0.82952204503848781"/>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7497-4FB3-B508-155C4776E7FC}"/>
              </c:ext>
            </c:extLst>
          </c:dPt>
          <c:dLbls>
            <c:dLbl>
              <c:idx val="1"/>
              <c:layout>
                <c:manualLayout>
                  <c:x val="-0.11967090501121914"/>
                  <c:y val="4.2016806722689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7-4FB3-B508-155C4776E7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1817.4708236499982</c:v>
                </c:pt>
                <c:pt idx="1">
                  <c:v>-1313.7216630199991</c:v>
                </c:pt>
                <c:pt idx="2">
                  <c:v>-573.43356140000014</c:v>
                </c:pt>
                <c:pt idx="3">
                  <c:v>1011.2977939199991</c:v>
                </c:pt>
              </c:numCache>
            </c:numRef>
          </c:val>
          <c:extLst>
            <c:ext xmlns:c16="http://schemas.microsoft.com/office/drawing/2014/chart" uri="{C3380CC4-5D6E-409C-BE32-E72D297353CC}">
              <c16:uniqueId val="{00000003-7497-4FB3-B508-155C4776E7FC}"/>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8843047973636"/>
          <c:y val="4.6504195421518263E-2"/>
          <c:w val="0.87155221493945989"/>
          <c:h val="0.84194547472106529"/>
        </c:manualLayout>
      </c:layout>
      <c:barChart>
        <c:barDir val="col"/>
        <c:grouping val="clustered"/>
        <c:varyColors val="0"/>
        <c:ser>
          <c:idx val="1"/>
          <c:order val="0"/>
          <c:tx>
            <c:strRef>
              <c:f>Sheet1!$B$1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dLbl>
              <c:idx val="2"/>
              <c:layout>
                <c:manualLayout>
                  <c:x val="4.2598509052182388E-3"/>
                  <c:y val="7.18313926975344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C7-40E0-95FD-EC86F06C06FE}"/>
                </c:ext>
              </c:extLst>
            </c:dLbl>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Enero</c:v>
                </c:pt>
                <c:pt idx="1">
                  <c:v>Febrero</c:v>
                </c:pt>
                <c:pt idx="2">
                  <c:v>Marzo</c:v>
                </c:pt>
                <c:pt idx="3">
                  <c:v>Abril </c:v>
                </c:pt>
              </c:strCache>
            </c:strRef>
          </c:cat>
          <c:val>
            <c:numRef>
              <c:f>Sheet1!$B$2:$B$5</c:f>
              <c:numCache>
                <c:formatCode>#,##0.0</c:formatCode>
                <c:ptCount val="4"/>
                <c:pt idx="0">
                  <c:v>4.03</c:v>
                </c:pt>
                <c:pt idx="1">
                  <c:v>22.38</c:v>
                </c:pt>
                <c:pt idx="2">
                  <c:v>139.29</c:v>
                </c:pt>
                <c:pt idx="3">
                  <c:v>1010.3</c:v>
                </c:pt>
              </c:numCache>
            </c:numRef>
          </c:val>
          <c:extLst>
            <c:ext xmlns:c16="http://schemas.microsoft.com/office/drawing/2014/chart" uri="{C3380CC4-5D6E-409C-BE32-E72D297353CC}">
              <c16:uniqueId val="{00000001-C6C7-40E0-95FD-EC86F06C06FE}"/>
            </c:ext>
          </c:extLst>
        </c:ser>
        <c:dLbls>
          <c:showLegendKey val="0"/>
          <c:showVal val="0"/>
          <c:showCatName val="0"/>
          <c:showSerName val="0"/>
          <c:showPercent val="0"/>
          <c:showBubbleSize val="0"/>
        </c:dLbls>
        <c:gapWidth val="68"/>
        <c:axId val="254445056"/>
        <c:axId val="254446592"/>
      </c:barChart>
      <c:catAx>
        <c:axId val="25444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6592"/>
        <c:crosses val="autoZero"/>
        <c:auto val="1"/>
        <c:lblAlgn val="ctr"/>
        <c:lblOffset val="100"/>
        <c:noMultiLvlLbl val="0"/>
      </c:catAx>
      <c:valAx>
        <c:axId val="2544465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50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63101976470195"/>
          <c:y val="9.8594305779345165E-2"/>
          <c:w val="0.40306809891575057"/>
          <c:h val="0.18711997993494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06492619686397"/>
          <c:y val="3.1475757507388943E-2"/>
          <c:w val="0.8221772167614303"/>
          <c:h val="0.74278805494408195"/>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2-414F-A9DE-9FAAF8CF071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22-414F-A9DE-9FAAF8CF071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22-414F-A9DE-9FAAF8CF071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Hoja1!$B$2:$B$4</c:f>
              <c:numCache>
                <c:formatCode>#,##0.0</c:formatCode>
                <c:ptCount val="3"/>
                <c:pt idx="0">
                  <c:v>21266.064738300003</c:v>
                </c:pt>
                <c:pt idx="1">
                  <c:v>25566.30031577</c:v>
                </c:pt>
                <c:pt idx="2">
                  <c:v>22800.072347314264</c:v>
                </c:pt>
              </c:numCache>
            </c:numRef>
          </c:val>
          <c:extLst>
            <c:ext xmlns:c16="http://schemas.microsoft.com/office/drawing/2014/chart" uri="{C3380CC4-5D6E-409C-BE32-E72D297353CC}">
              <c16:uniqueId val="{00000003-C222-414F-A9DE-9FAAF8CF0711}"/>
            </c:ext>
          </c:extLst>
        </c:ser>
        <c:ser>
          <c:idx val="1"/>
          <c:order val="1"/>
          <c:tx>
            <c:strRef>
              <c:f>Hoja1!$C$1</c:f>
              <c:strCache>
                <c:ptCount val="1"/>
                <c:pt idx="0">
                  <c:v>No administrado por SAT</c:v>
                </c:pt>
              </c:strCache>
            </c:strRef>
          </c:tx>
          <c:spPr>
            <a:solidFill>
              <a:srgbClr val="FF0000"/>
            </a:solidFill>
            <a:ln>
              <a:noFill/>
            </a:ln>
            <a:effectLst/>
          </c:spPr>
          <c:invertIfNegative val="0"/>
          <c:dLbls>
            <c:dLbl>
              <c:idx val="0"/>
              <c:layout>
                <c:manualLayout>
                  <c:x val="0"/>
                  <c:y val="-4.0114613180515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22-414F-A9DE-9FAAF8CF0711}"/>
                </c:ext>
              </c:extLst>
            </c:dLbl>
            <c:dLbl>
              <c:idx val="1"/>
              <c:layout>
                <c:manualLayout>
                  <c:x val="-9.0333193138944519E-17"/>
                  <c:y val="-5.157593123209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22-414F-A9DE-9FAAF8CF0711}"/>
                </c:ext>
              </c:extLst>
            </c:dLbl>
            <c:dLbl>
              <c:idx val="2"/>
              <c:layout>
                <c:manualLayout>
                  <c:x val="0"/>
                  <c:y val="-5.157593123209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22-414F-A9DE-9FAAF8CF071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Hoja1!$C$2:$C$4</c:f>
              <c:numCache>
                <c:formatCode>#,##0.0</c:formatCode>
                <c:ptCount val="3"/>
                <c:pt idx="0">
                  <c:v>189.1710655</c:v>
                </c:pt>
                <c:pt idx="1">
                  <c:v>88.469226520000007</c:v>
                </c:pt>
                <c:pt idx="2">
                  <c:v>143.81891000110548</c:v>
                </c:pt>
              </c:numCache>
            </c:numRef>
          </c:val>
          <c:extLst>
            <c:ext xmlns:c16="http://schemas.microsoft.com/office/drawing/2014/chart" uri="{C3380CC4-5D6E-409C-BE32-E72D297353CC}">
              <c16:uniqueId val="{00000007-C222-414F-A9DE-9FAAF8CF0711}"/>
            </c:ext>
          </c:extLst>
        </c:ser>
        <c:dLbls>
          <c:showLegendKey val="0"/>
          <c:showVal val="0"/>
          <c:showCatName val="0"/>
          <c:showSerName val="0"/>
          <c:showPercent val="0"/>
          <c:showBubbleSize val="0"/>
        </c:dLbls>
        <c:gapWidth val="25"/>
        <c:overlap val="100"/>
        <c:axId val="198219648"/>
        <c:axId val="227607296"/>
      </c:barChart>
      <c:catAx>
        <c:axId val="198219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27607296"/>
        <c:crosses val="autoZero"/>
        <c:auto val="1"/>
        <c:lblAlgn val="ctr"/>
        <c:lblOffset val="100"/>
        <c:noMultiLvlLbl val="0"/>
      </c:catAx>
      <c:valAx>
        <c:axId val="227607296"/>
        <c:scaling>
          <c:orientation val="minMax"/>
          <c:min val="1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82196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096658926503362"/>
          <c:y val="0.93309498584875405"/>
          <c:w val="0.67661287350167698"/>
          <c:h val="6.69048911989449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2"/>
              <c:layout>
                <c:manualLayout>
                  <c:x val="-6.6703524587142793E-2"/>
                  <c:y val="-0.160305348040990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42-4D28-A2B3-6064F82D4FC8}"/>
                </c:ext>
              </c:extLst>
            </c:dLbl>
            <c:dLbl>
              <c:idx val="3"/>
              <c:layout>
                <c:manualLayout>
                  <c:x val="-6.1776202586650016E-2"/>
                  <c:y val="-0.115090577882738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42-4D28-A2B3-6064F82D4FC8}"/>
                </c:ext>
              </c:extLst>
            </c:dLbl>
            <c:dLbl>
              <c:idx val="4"/>
              <c:layout>
                <c:manualLayout>
                  <c:x val="-6.6703524587142793E-2"/>
                  <c:y val="-0.182912733120115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42-4D28-A2B3-6064F82D4FC8}"/>
                </c:ext>
              </c:extLst>
            </c:dLbl>
            <c:dLbl>
              <c:idx val="7"/>
              <c:layout>
                <c:manualLayout>
                  <c:x val="-6.6703524587142973E-2"/>
                  <c:y val="-0.100018987829987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42-4D28-A2B3-6064F82D4FC8}"/>
                </c:ext>
              </c:extLst>
            </c:dLbl>
            <c:dLbl>
              <c:idx val="8"/>
              <c:layout>
                <c:manualLayout>
                  <c:x val="-7.5756605812300074E-3"/>
                  <c:y val="-3.2196832592610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42-4D28-A2B3-6064F82D4FC8}"/>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5.2105245183598825E-2</c:v>
                </c:pt>
                <c:pt idx="1">
                  <c:v>0.10981347342878389</c:v>
                </c:pt>
                <c:pt idx="2">
                  <c:v>3.2794186052429231E-2</c:v>
                </c:pt>
                <c:pt idx="3">
                  <c:v>2.647409402438905E-2</c:v>
                </c:pt>
                <c:pt idx="4">
                  <c:v>2.193593869869237E-2</c:v>
                </c:pt>
                <c:pt idx="5">
                  <c:v>9.5007005592681493E-2</c:v>
                </c:pt>
                <c:pt idx="6">
                  <c:v>4.4581969858168646E-2</c:v>
                </c:pt>
                <c:pt idx="7">
                  <c:v>4.110619818220318E-2</c:v>
                </c:pt>
                <c:pt idx="8">
                  <c:v>1.0677030515781283E-2</c:v>
                </c:pt>
                <c:pt idx="9">
                  <c:v>0.19600718815102325</c:v>
                </c:pt>
              </c:numCache>
            </c:numRef>
          </c:val>
          <c:smooth val="0"/>
          <c:extLst>
            <c:ext xmlns:c16="http://schemas.microsoft.com/office/drawing/2014/chart" uri="{C3380CC4-5D6E-409C-BE32-E72D297353CC}">
              <c16:uniqueId val="{00000005-E542-4D28-A2B3-6064F82D4FC8}"/>
            </c:ext>
          </c:extLst>
        </c:ser>
        <c:dLbls>
          <c:showLegendKey val="0"/>
          <c:showVal val="0"/>
          <c:showCatName val="0"/>
          <c:showSerName val="0"/>
          <c:showPercent val="0"/>
          <c:showBubbleSize val="0"/>
        </c:dLbls>
        <c:marker val="1"/>
        <c:smooth val="0"/>
        <c:axId val="181865472"/>
        <c:axId val="181895936"/>
      </c:lineChart>
      <c:catAx>
        <c:axId val="1818654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1895936"/>
        <c:crosses val="autoZero"/>
        <c:auto val="1"/>
        <c:lblAlgn val="ctr"/>
        <c:lblOffset val="100"/>
        <c:noMultiLvlLbl val="0"/>
      </c:catAx>
      <c:valAx>
        <c:axId val="18189593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18654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88888306921719E-2"/>
          <c:y val="4.0724773361585483E-2"/>
          <c:w val="0.87809068212371455"/>
          <c:h val="0.79111818067094952"/>
        </c:manualLayout>
      </c:layout>
      <c:lineChart>
        <c:grouping val="standard"/>
        <c:varyColors val="0"/>
        <c:ser>
          <c:idx val="0"/>
          <c:order val="0"/>
          <c:tx>
            <c:strRef>
              <c:f>Hoja1!$B$1</c:f>
              <c:strCache>
                <c:ptCount val="1"/>
                <c:pt idx="0">
                  <c:v>ISR</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5"/>
              <c:layout>
                <c:manualLayout>
                  <c:x val="-5.4126826164467803E-2"/>
                  <c:y val="9.4874993029896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5F-4F59-8EAE-19848A0ED04A}"/>
                </c:ext>
              </c:extLst>
            </c:dLbl>
            <c:dLbl>
              <c:idx val="7"/>
              <c:layout>
                <c:manualLayout>
                  <c:x val="-7.4193054027891836E-2"/>
                  <c:y val="6.5057624412677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5F-4F59-8EAE-19848A0ED04A}"/>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Hoja1!$B$2:$B$12</c:f>
              <c:numCache>
                <c:formatCode>General</c:formatCode>
                <c:ptCount val="11"/>
                <c:pt idx="0">
                  <c:v>37.97348168061221</c:v>
                </c:pt>
                <c:pt idx="1">
                  <c:v>0.93818664900870985</c:v>
                </c:pt>
                <c:pt idx="2">
                  <c:v>22.678431102647046</c:v>
                </c:pt>
                <c:pt idx="3">
                  <c:v>7.4610479926373374</c:v>
                </c:pt>
                <c:pt idx="4">
                  <c:v>-3.6065116800704566</c:v>
                </c:pt>
                <c:pt idx="5">
                  <c:v>1.2410607272076657</c:v>
                </c:pt>
                <c:pt idx="6">
                  <c:v>19.737782175787942</c:v>
                </c:pt>
                <c:pt idx="7">
                  <c:v>-1.5669184359059729</c:v>
                </c:pt>
                <c:pt idx="8">
                  <c:v>1.6592532054583442</c:v>
                </c:pt>
                <c:pt idx="9">
                  <c:v>4.5620003681562604</c:v>
                </c:pt>
                <c:pt idx="10">
                  <c:v>18.724731059086295</c:v>
                </c:pt>
              </c:numCache>
            </c:numRef>
          </c:val>
          <c:smooth val="1"/>
          <c:extLst>
            <c:ext xmlns:c16="http://schemas.microsoft.com/office/drawing/2014/chart" uri="{C3380CC4-5D6E-409C-BE32-E72D297353CC}">
              <c16:uniqueId val="{00000002-CF5F-4F59-8EAE-19848A0ED04A}"/>
            </c:ext>
          </c:extLst>
        </c:ser>
        <c:ser>
          <c:idx val="1"/>
          <c:order val="1"/>
          <c:tx>
            <c:strRef>
              <c:f>Hoja1!$C$1</c:f>
              <c:strCache>
                <c:ptCount val="1"/>
                <c:pt idx="0">
                  <c:v>ISO</c:v>
                </c:pt>
              </c:strCache>
            </c:strRef>
          </c:tx>
          <c:spPr>
            <a:ln w="22225" cap="rnd">
              <a:solidFill>
                <a:srgbClr val="FF0000"/>
              </a:solidFill>
              <a:round/>
            </a:ln>
            <a:effectLst/>
          </c:spPr>
          <c:marker>
            <c:symbol val="diamond"/>
            <c:size val="5"/>
            <c:spPr>
              <a:solidFill>
                <a:srgbClr val="FF0000"/>
              </a:solidFill>
              <a:ln w="15875">
                <a:noFill/>
                <a:round/>
              </a:ln>
              <a:effectLst/>
            </c:spPr>
          </c:marker>
          <c:dLbls>
            <c:dLbl>
              <c:idx val="4"/>
              <c:layout>
                <c:manualLayout>
                  <c:x val="-6.2872628726287266E-2"/>
                  <c:y val="-5.6819935092572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5F-4F59-8EAE-19848A0ED04A}"/>
                </c:ext>
              </c:extLst>
            </c:dLbl>
            <c:dLbl>
              <c:idx val="5"/>
              <c:layout>
                <c:manualLayout>
                  <c:x val="-5.9054148164960532E-2"/>
                  <c:y val="-9.4874993029896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5F-4F59-8EAE-19848A0ED04A}"/>
                </c:ext>
              </c:extLst>
            </c:dLbl>
            <c:dLbl>
              <c:idx val="7"/>
              <c:layout>
                <c:manualLayout>
                  <c:x val="-5.4126826164467894E-2"/>
                  <c:y val="-7.2511966566981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5F-4F59-8EAE-19848A0ED04A}"/>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Hoja1!$C$2:$C$12</c:f>
              <c:numCache>
                <c:formatCode>General</c:formatCode>
                <c:ptCount val="11"/>
                <c:pt idx="0">
                  <c:v>0.69157580829979359</c:v>
                </c:pt>
                <c:pt idx="1">
                  <c:v>6.6630025975676022</c:v>
                </c:pt>
                <c:pt idx="2">
                  <c:v>15.049239377440982</c:v>
                </c:pt>
                <c:pt idx="3">
                  <c:v>7.258144382661369</c:v>
                </c:pt>
                <c:pt idx="4">
                  <c:v>12.993724680233299</c:v>
                </c:pt>
                <c:pt idx="5">
                  <c:v>5.5664289487206808</c:v>
                </c:pt>
                <c:pt idx="6">
                  <c:v>4.9434682201856317</c:v>
                </c:pt>
                <c:pt idx="7">
                  <c:v>6.3665352921450591</c:v>
                </c:pt>
                <c:pt idx="8">
                  <c:v>3.6598713680519701</c:v>
                </c:pt>
                <c:pt idx="9">
                  <c:v>3.0176877266926638</c:v>
                </c:pt>
                <c:pt idx="10">
                  <c:v>8.9459564105934586</c:v>
                </c:pt>
              </c:numCache>
            </c:numRef>
          </c:val>
          <c:smooth val="1"/>
          <c:extLst>
            <c:ext xmlns:c16="http://schemas.microsoft.com/office/drawing/2014/chart" uri="{C3380CC4-5D6E-409C-BE32-E72D297353CC}">
              <c16:uniqueId val="{00000006-CF5F-4F59-8EAE-19848A0ED04A}"/>
            </c:ext>
          </c:extLst>
        </c:ser>
        <c:dLbls>
          <c:showLegendKey val="0"/>
          <c:showVal val="0"/>
          <c:showCatName val="0"/>
          <c:showSerName val="0"/>
          <c:showPercent val="0"/>
          <c:showBubbleSize val="0"/>
        </c:dLbls>
        <c:marker val="1"/>
        <c:smooth val="0"/>
        <c:axId val="227754752"/>
        <c:axId val="227756288"/>
      </c:lineChart>
      <c:catAx>
        <c:axId val="2277547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27756288"/>
        <c:crosses val="autoZero"/>
        <c:auto val="1"/>
        <c:lblAlgn val="ctr"/>
        <c:lblOffset val="100"/>
        <c:noMultiLvlLbl val="0"/>
      </c:catAx>
      <c:valAx>
        <c:axId val="2277562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277547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5570969925876782"/>
          <c:y val="9.2423277504027956E-2"/>
          <c:w val="0.41238775308297104"/>
          <c:h val="0.116789585051402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6.4992614475627764E-2"/>
          <c:w val="0.87657127136728308"/>
          <c:h val="0.73031368124774654"/>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5-40C6-945B-ECD574059BE5}"/>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5-40C6-945B-ECD574059BE5}"/>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95-40C6-945B-ECD574059BE5}"/>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95-40C6-945B-ECD574059BE5}"/>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95-40C6-945B-ECD574059BE5}"/>
                </c:ext>
              </c:extLst>
            </c:dLbl>
            <c:dLbl>
              <c:idx val="9"/>
              <c:layout>
                <c:manualLayout>
                  <c:x val="0"/>
                  <c:y val="1.6856846473029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95-40C6-945B-ECD574059BE5}"/>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95-40C6-945B-ECD574059BE5}"/>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numCache>
            </c:numRef>
          </c:val>
          <c:extLst>
            <c:ext xmlns:c16="http://schemas.microsoft.com/office/drawing/2014/chart" uri="{C3380CC4-5D6E-409C-BE32-E72D297353CC}">
              <c16:uniqueId val="{00000007-A895-40C6-945B-ECD574059BE5}"/>
            </c:ext>
          </c:extLst>
        </c:ser>
        <c:dLbls>
          <c:showLegendKey val="0"/>
          <c:showVal val="0"/>
          <c:showCatName val="0"/>
          <c:showSerName val="0"/>
          <c:showPercent val="0"/>
          <c:showBubbleSize val="0"/>
        </c:dLbls>
        <c:gapWidth val="62"/>
        <c:overlap val="-27"/>
        <c:axId val="227766656"/>
        <c:axId val="227768192"/>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95-40C6-945B-ECD574059BE5}"/>
                </c:ext>
              </c:extLst>
            </c:dLbl>
            <c:dLbl>
              <c:idx val="1"/>
              <c:layout>
                <c:manualLayout>
                  <c:x val="-6.3041624640838081E-2"/>
                  <c:y val="5.028914954095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95-40C6-945B-ECD574059BE5}"/>
                </c:ext>
              </c:extLst>
            </c:dLbl>
            <c:dLbl>
              <c:idx val="2"/>
              <c:layout>
                <c:manualLayout>
                  <c:x val="-5.235160997770865E-2"/>
                  <c:y val="-3.572017839056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95-40C6-945B-ECD574059BE5}"/>
                </c:ext>
              </c:extLst>
            </c:dLbl>
            <c:dLbl>
              <c:idx val="3"/>
              <c:layout>
                <c:manualLayout>
                  <c:x val="-6.1378673198681163E-2"/>
                  <c:y val="3.125510504133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95-40C6-945B-ECD574059BE5}"/>
                </c:ext>
              </c:extLst>
            </c:dLbl>
            <c:dLbl>
              <c:idx val="4"/>
              <c:layout>
                <c:manualLayout>
                  <c:x val="-6.9990083317088059E-2"/>
                  <c:y val="-3.5450632208318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95-40C6-945B-ECD574059BE5}"/>
                </c:ext>
              </c:extLst>
            </c:dLbl>
            <c:dLbl>
              <c:idx val="5"/>
              <c:layout>
                <c:manualLayout>
                  <c:x val="-6.915877711195681E-2"/>
                  <c:y val="-4.063735420001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95-40C6-945B-ECD574059BE5}"/>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95-40C6-945B-ECD574059BE5}"/>
                </c:ext>
              </c:extLst>
            </c:dLbl>
            <c:dLbl>
              <c:idx val="7"/>
              <c:layout>
                <c:manualLayout>
                  <c:x val="-6.9990083317087975E-2"/>
                  <c:y val="-4.654572483418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95-40C6-945B-ECD574059BE5}"/>
                </c:ext>
              </c:extLst>
            </c:dLbl>
            <c:dLbl>
              <c:idx val="8"/>
              <c:layout>
                <c:manualLayout>
                  <c:x val="-4.9708856360662211E-2"/>
                  <c:y val="5.2454095468356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95-40C6-945B-ECD574059BE5}"/>
                </c:ext>
              </c:extLst>
            </c:dLbl>
            <c:dLbl>
              <c:idx val="9"/>
              <c:layout>
                <c:manualLayout>
                  <c:x val="-3.2486036123848351E-2"/>
                  <c:y val="4.063735420001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95-40C6-945B-ECD574059BE5}"/>
                </c:ext>
              </c:extLst>
            </c:dLbl>
            <c:dLbl>
              <c:idx val="10"/>
              <c:layout>
                <c:manualLayout>
                  <c:x val="-7.0405736419653836E-2"/>
                  <c:y val="-3.64418270330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95-40C6-945B-ECD574059BE5}"/>
                </c:ext>
              </c:extLst>
            </c:dLbl>
            <c:dLbl>
              <c:idx val="11"/>
              <c:layout>
                <c:manualLayout>
                  <c:x val="-8.3130620513124768E-4"/>
                  <c:y val="-4.2350197667200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95-40C6-945B-ECD574059B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c:ext xmlns:c16="http://schemas.microsoft.com/office/drawing/2014/chart" uri="{C3380CC4-5D6E-409C-BE32-E72D297353CC}">
              <c16:uniqueId val="{00000014-A895-40C6-945B-ECD574059BE5}"/>
            </c:ext>
          </c:extLst>
        </c:ser>
        <c:dLbls>
          <c:showLegendKey val="0"/>
          <c:showVal val="0"/>
          <c:showCatName val="0"/>
          <c:showSerName val="0"/>
          <c:showPercent val="0"/>
          <c:showBubbleSize val="0"/>
        </c:dLbls>
        <c:marker val="1"/>
        <c:smooth val="0"/>
        <c:axId val="227766656"/>
        <c:axId val="227768192"/>
      </c:lineChart>
      <c:catAx>
        <c:axId val="227766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27768192"/>
        <c:crosses val="autoZero"/>
        <c:auto val="1"/>
        <c:lblAlgn val="ctr"/>
        <c:lblOffset val="100"/>
        <c:noMultiLvlLbl val="0"/>
      </c:catAx>
      <c:valAx>
        <c:axId val="227768192"/>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27766656"/>
        <c:crosses val="autoZero"/>
        <c:crossBetween val="between"/>
      </c:valAx>
      <c:spPr>
        <a:noFill/>
        <a:ln>
          <a:noFill/>
        </a:ln>
        <a:effectLst/>
      </c:spPr>
    </c:plotArea>
    <c:legend>
      <c:legendPos val="b"/>
      <c:layout>
        <c:manualLayout>
          <c:xMode val="edge"/>
          <c:yMode val="edge"/>
          <c:x val="0.15642287448191688"/>
          <c:y val="1.7364491782925474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5.6323604710701483E-2"/>
          <c:w val="0.57115149606299209"/>
          <c:h val="0.86783792727093234"/>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D9-4985-8564-8D6AA22B594E}"/>
                </c:ext>
              </c:extLst>
            </c:dLbl>
            <c:dLbl>
              <c:idx val="1"/>
              <c:layout>
                <c:manualLayout>
                  <c:x val="-1.2869337278786098E-2"/>
                  <c:y val="1.434034416826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D9-4985-8564-8D6AA22B594E}"/>
                </c:ext>
              </c:extLst>
            </c:dLbl>
            <c:dLbl>
              <c:idx val="3"/>
              <c:layout>
                <c:manualLayout>
                  <c:x val="-0.10799999999999993"/>
                  <c:y val="4.302103250478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D9-4985-8564-8D6AA22B594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Prestaciones a la S.S</c:v>
                </c:pt>
                <c:pt idx="3">
                  <c:v>Inversión Real Directa</c:v>
                </c:pt>
                <c:pt idx="4">
                  <c:v>Remuneraciones </c:v>
                </c:pt>
                <c:pt idx="5">
                  <c:v>Intereses </c:v>
                </c:pt>
                <c:pt idx="6">
                  <c:v>Bienes y servicios </c:v>
                </c:pt>
              </c:strCache>
            </c:strRef>
          </c:cat>
          <c:val>
            <c:numRef>
              <c:f>Sheet1!$B$2:$B$8</c:f>
              <c:numCache>
                <c:formatCode>#,##0.0</c:formatCode>
                <c:ptCount val="7"/>
                <c:pt idx="0">
                  <c:v>-561.62671628000044</c:v>
                </c:pt>
                <c:pt idx="1">
                  <c:v>-59.378030699999726</c:v>
                </c:pt>
                <c:pt idx="2">
                  <c:v>29.16007049000018</c:v>
                </c:pt>
                <c:pt idx="3">
                  <c:v>-659.76047190000008</c:v>
                </c:pt>
                <c:pt idx="4">
                  <c:v>913.13009185000101</c:v>
                </c:pt>
                <c:pt idx="5">
                  <c:v>-145.86608134000062</c:v>
                </c:pt>
                <c:pt idx="6">
                  <c:v>23.213697690000117</c:v>
                </c:pt>
              </c:numCache>
            </c:numRef>
          </c:val>
          <c:extLst>
            <c:ext xmlns:c16="http://schemas.microsoft.com/office/drawing/2014/chart" uri="{C3380CC4-5D6E-409C-BE32-E72D297353CC}">
              <c16:uniqueId val="{00000003-8FD9-4985-8564-8D6AA22B594E}"/>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5800085800085794E-3"/>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D9-4985-8564-8D6AA22B594E}"/>
                </c:ext>
              </c:extLst>
            </c:dLbl>
            <c:dLbl>
              <c:idx val="2"/>
              <c:layout>
                <c:manualLayout>
                  <c:x val="-8.5800085800086592E-3"/>
                  <c:y val="-1.434034416826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D9-4985-8564-8D6AA22B594E}"/>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D9-4985-8564-8D6AA22B594E}"/>
                </c:ext>
              </c:extLst>
            </c:dLbl>
            <c:dLbl>
              <c:idx val="6"/>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D9-4985-8564-8D6AA22B594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Prestaciones a la S.S</c:v>
                </c:pt>
                <c:pt idx="3">
                  <c:v>Inversión Real Directa</c:v>
                </c:pt>
                <c:pt idx="4">
                  <c:v>Remuneraciones </c:v>
                </c:pt>
                <c:pt idx="5">
                  <c:v>Intereses </c:v>
                </c:pt>
                <c:pt idx="6">
                  <c:v>Bienes y servicios </c:v>
                </c:pt>
              </c:strCache>
            </c:strRef>
          </c:cat>
          <c:val>
            <c:numRef>
              <c:f>Sheet1!$C$2:$C$8</c:f>
              <c:numCache>
                <c:formatCode>#,##0.0</c:formatCode>
                <c:ptCount val="7"/>
                <c:pt idx="0">
                  <c:v>-279.0399586399999</c:v>
                </c:pt>
                <c:pt idx="1">
                  <c:v>-45.215465040000709</c:v>
                </c:pt>
                <c:pt idx="2">
                  <c:v>38.486013249999814</c:v>
                </c:pt>
                <c:pt idx="3">
                  <c:v>282.28170001000012</c:v>
                </c:pt>
                <c:pt idx="4">
                  <c:v>428.01770461999877</c:v>
                </c:pt>
                <c:pt idx="5">
                  <c:v>777.15139672000078</c:v>
                </c:pt>
                <c:pt idx="6">
                  <c:v>1412.0349826599995</c:v>
                </c:pt>
              </c:numCache>
            </c:numRef>
          </c:val>
          <c:extLst>
            <c:ext xmlns:c16="http://schemas.microsoft.com/office/drawing/2014/chart" uri="{C3380CC4-5D6E-409C-BE32-E72D297353CC}">
              <c16:uniqueId val="{00000008-8FD9-4985-8564-8D6AA22B594E}"/>
            </c:ext>
          </c:extLst>
        </c:ser>
        <c:dLbls>
          <c:showLegendKey val="0"/>
          <c:showVal val="0"/>
          <c:showCatName val="0"/>
          <c:showSerName val="0"/>
          <c:showPercent val="0"/>
          <c:showBubbleSize val="0"/>
        </c:dLbls>
        <c:gapWidth val="132"/>
        <c:axId val="238103168"/>
        <c:axId val="238117248"/>
      </c:barChart>
      <c:catAx>
        <c:axId val="238103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238117248"/>
        <c:crosses val="autoZero"/>
        <c:auto val="1"/>
        <c:lblAlgn val="ctr"/>
        <c:lblOffset val="100"/>
        <c:noMultiLvlLbl val="0"/>
      </c:catAx>
      <c:valAx>
        <c:axId val="238117248"/>
        <c:scaling>
          <c:orientation val="minMax"/>
          <c:max val="1500"/>
          <c:min val="-7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38103168"/>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71348617836061345"/>
          <c:y val="0.72933495920393276"/>
          <c:w val="0.19660524910489965"/>
          <c:h val="0.136000541144337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2ABE-4941-A3AB-4DB585B0E344}"/>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2ABE-4941-A3AB-4DB585B0E344}"/>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BE-4941-A3AB-4DB585B0E344}"/>
                </c:ext>
              </c:extLst>
            </c:dLbl>
            <c:dLbl>
              <c:idx val="4"/>
              <c:layout>
                <c:manualLayout>
                  <c:x val="0"/>
                  <c:y val="0.103521022136383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BE-4941-A3AB-4DB585B0E344}"/>
                </c:ext>
              </c:extLst>
            </c:dLbl>
            <c:dLbl>
              <c:idx val="5"/>
              <c:layout>
                <c:manualLayout>
                  <c:x val="-1.6021954596940171E-16"/>
                  <c:y val="0.103613687240166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E-4941-A3AB-4DB585B0E344}"/>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2ABE-4941-A3AB-4DB585B0E34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26.222727119818046</c:v>
                </c:pt>
                <c:pt idx="1">
                  <c:v>26.027917969550501</c:v>
                </c:pt>
                <c:pt idx="2">
                  <c:v>26.842936087870882</c:v>
                </c:pt>
                <c:pt idx="3">
                  <c:v>28.41392696739895</c:v>
                </c:pt>
                <c:pt idx="4">
                  <c:v>23.96580330074184</c:v>
                </c:pt>
                <c:pt idx="5">
                  <c:v>25.330310902314352</c:v>
                </c:pt>
                <c:pt idx="6">
                  <c:v>28.865253320389172</c:v>
                </c:pt>
              </c:numCache>
            </c:numRef>
          </c:val>
          <c:extLst>
            <c:ext xmlns:c16="http://schemas.microsoft.com/office/drawing/2014/chart" uri="{C3380CC4-5D6E-409C-BE32-E72D297353CC}">
              <c16:uniqueId val="{00000006-2ABE-4941-A3AB-4DB585B0E344}"/>
            </c:ext>
          </c:extLst>
        </c:ser>
        <c:dLbls>
          <c:showLegendKey val="0"/>
          <c:showVal val="0"/>
          <c:showCatName val="0"/>
          <c:showSerName val="0"/>
          <c:showPercent val="0"/>
          <c:showBubbleSize val="0"/>
        </c:dLbls>
        <c:gapWidth val="50"/>
        <c:overlap val="-27"/>
        <c:axId val="238215168"/>
        <c:axId val="238216704"/>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3596259283407794"/>
                  <c:y val="-6.873383711589936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2ABE-4941-A3AB-4DB585B0E3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26.29466228907604</c:v>
                </c:pt>
                <c:pt idx="1">
                  <c:v>26.29466228907604</c:v>
                </c:pt>
                <c:pt idx="2">
                  <c:v>26.29466228907604</c:v>
                </c:pt>
                <c:pt idx="3">
                  <c:v>26.29466228907604</c:v>
                </c:pt>
                <c:pt idx="4">
                  <c:v>26.29466228907604</c:v>
                </c:pt>
              </c:numCache>
            </c:numRef>
          </c:val>
          <c:smooth val="0"/>
          <c:extLst>
            <c:ext xmlns:c16="http://schemas.microsoft.com/office/drawing/2014/chart" uri="{C3380CC4-5D6E-409C-BE32-E72D297353CC}">
              <c16:uniqueId val="{00000008-2ABE-4941-A3AB-4DB585B0E344}"/>
            </c:ext>
          </c:extLst>
        </c:ser>
        <c:dLbls>
          <c:showLegendKey val="0"/>
          <c:showVal val="0"/>
          <c:showCatName val="0"/>
          <c:showSerName val="0"/>
          <c:showPercent val="0"/>
          <c:showBubbleSize val="0"/>
        </c:dLbls>
        <c:marker val="1"/>
        <c:smooth val="0"/>
        <c:axId val="238215168"/>
        <c:axId val="238216704"/>
      </c:lineChart>
      <c:catAx>
        <c:axId val="23821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38216704"/>
        <c:crosses val="autoZero"/>
        <c:auto val="1"/>
        <c:lblAlgn val="ctr"/>
        <c:lblOffset val="100"/>
        <c:noMultiLvlLbl val="0"/>
      </c:catAx>
      <c:valAx>
        <c:axId val="238216704"/>
        <c:scaling>
          <c:orientation val="minMax"/>
          <c:max val="29.5"/>
          <c:min val="14.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3821516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3622203728598963"/>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extLst>
              <c:ext xmlns:c16="http://schemas.microsoft.com/office/drawing/2014/chart" uri="{C3380CC4-5D6E-409C-BE32-E72D297353CC}">
                <c16:uniqueId val="{00000000-FEEE-4289-9165-69130B9F5ED4}"/>
              </c:ext>
            </c:extLst>
          </c:dPt>
          <c:dPt>
            <c:idx val="8"/>
            <c:invertIfNegative val="0"/>
            <c:bubble3D val="0"/>
            <c:extLst>
              <c:ext xmlns:c16="http://schemas.microsoft.com/office/drawing/2014/chart" uri="{C3380CC4-5D6E-409C-BE32-E72D297353CC}">
                <c16:uniqueId val="{00000001-FEEE-4289-9165-69130B9F5ED4}"/>
              </c:ext>
            </c:extLst>
          </c:dPt>
          <c:dPt>
            <c:idx val="9"/>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3-FEEE-4289-9165-69130B9F5ED4}"/>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FEEE-4289-9165-69130B9F5ED4}"/>
              </c:ext>
            </c:extLst>
          </c:dPt>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7-FEEE-4289-9165-69130B9F5ED4}"/>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FEEE-4289-9165-69130B9F5ED4}"/>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FEEE-4289-9165-69130B9F5ED4}"/>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EE-4289-9165-69130B9F5ED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Economía</c:v>
                </c:pt>
                <c:pt idx="1">
                  <c:v>Desarrollo</c:v>
                </c:pt>
                <c:pt idx="2">
                  <c:v>Agricultura</c:v>
                </c:pt>
                <c:pt idx="3">
                  <c:v>Cultura</c:v>
                </c:pt>
                <c:pt idx="4">
                  <c:v>Secretarías</c:v>
                </c:pt>
                <c:pt idx="5">
                  <c:v>Comunicaciones</c:v>
                </c:pt>
                <c:pt idx="6">
                  <c:v>Obligaciones </c:v>
                </c:pt>
                <c:pt idx="7">
                  <c:v>Finanzas</c:v>
                </c:pt>
                <c:pt idx="8">
                  <c:v>Presidencia</c:v>
                </c:pt>
                <c:pt idx="9">
                  <c:v>Total</c:v>
                </c:pt>
                <c:pt idx="10">
                  <c:v>Defensa </c:v>
                </c:pt>
                <c:pt idx="11">
                  <c:v>Energía</c:v>
                </c:pt>
                <c:pt idx="12">
                  <c:v>MINREX</c:v>
                </c:pt>
                <c:pt idx="13">
                  <c:v>Trabajo </c:v>
                </c:pt>
                <c:pt idx="14">
                  <c:v>Salud Pública </c:v>
                </c:pt>
                <c:pt idx="15">
                  <c:v>Gobernación</c:v>
                </c:pt>
                <c:pt idx="16">
                  <c:v>Educación </c:v>
                </c:pt>
                <c:pt idx="17">
                  <c:v>Ambiente </c:v>
                </c:pt>
                <c:pt idx="18">
                  <c:v>Deuda Pública</c:v>
                </c:pt>
                <c:pt idx="19">
                  <c:v>PGN</c:v>
                </c:pt>
              </c:strCache>
            </c:strRef>
          </c:cat>
          <c:val>
            <c:numRef>
              <c:f>Hoja1!$B$2:$B$21</c:f>
              <c:numCache>
                <c:formatCode>0.0</c:formatCode>
                <c:ptCount val="20"/>
                <c:pt idx="0">
                  <c:v>2.7074833428338447</c:v>
                </c:pt>
                <c:pt idx="1">
                  <c:v>3.9436068446799486</c:v>
                </c:pt>
                <c:pt idx="2">
                  <c:v>17.928541160197049</c:v>
                </c:pt>
                <c:pt idx="3">
                  <c:v>18.205988599570755</c:v>
                </c:pt>
                <c:pt idx="4">
                  <c:v>19.905361340811542</c:v>
                </c:pt>
                <c:pt idx="5">
                  <c:v>22.370551944704296</c:v>
                </c:pt>
                <c:pt idx="6">
                  <c:v>23.236292741464592</c:v>
                </c:pt>
                <c:pt idx="7">
                  <c:v>23.692602421047106</c:v>
                </c:pt>
                <c:pt idx="8">
                  <c:v>23.924093783549786</c:v>
                </c:pt>
                <c:pt idx="9">
                  <c:v>25.330310902314352</c:v>
                </c:pt>
                <c:pt idx="10">
                  <c:v>25.40433883104572</c:v>
                </c:pt>
                <c:pt idx="11">
                  <c:v>25.985582650138284</c:v>
                </c:pt>
                <c:pt idx="12">
                  <c:v>26.286518699628878</c:v>
                </c:pt>
                <c:pt idx="13">
                  <c:v>27.2092601129842</c:v>
                </c:pt>
                <c:pt idx="14">
                  <c:v>29.90505838367249</c:v>
                </c:pt>
                <c:pt idx="15">
                  <c:v>30.019475674500629</c:v>
                </c:pt>
                <c:pt idx="16">
                  <c:v>31.491168027150994</c:v>
                </c:pt>
                <c:pt idx="17">
                  <c:v>32.929590576977475</c:v>
                </c:pt>
                <c:pt idx="18">
                  <c:v>33.237889717678456</c:v>
                </c:pt>
                <c:pt idx="19">
                  <c:v>37.183513678086321</c:v>
                </c:pt>
              </c:numCache>
            </c:numRef>
          </c:val>
          <c:extLst>
            <c:ext xmlns:c16="http://schemas.microsoft.com/office/drawing/2014/chart" uri="{C3380CC4-5D6E-409C-BE32-E72D297353CC}">
              <c16:uniqueId val="{0000000D-FEEE-4289-9165-69130B9F5ED4}"/>
            </c:ext>
          </c:extLst>
        </c:ser>
        <c:dLbls>
          <c:showLegendKey val="0"/>
          <c:showVal val="0"/>
          <c:showCatName val="0"/>
          <c:showSerName val="0"/>
          <c:showPercent val="0"/>
          <c:showBubbleSize val="0"/>
        </c:dLbls>
        <c:gapWidth val="100"/>
        <c:axId val="238141440"/>
        <c:axId val="238142976"/>
      </c:barChart>
      <c:catAx>
        <c:axId val="23814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38142976"/>
        <c:crosses val="autoZero"/>
        <c:auto val="1"/>
        <c:lblAlgn val="ctr"/>
        <c:lblOffset val="100"/>
        <c:noMultiLvlLbl val="0"/>
      </c:catAx>
      <c:valAx>
        <c:axId val="238142976"/>
        <c:scaling>
          <c:orientation val="minMax"/>
          <c:max val="4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38141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0.11863636853699996"/>
                  <c:y val="-4.6191758924871235E-2"/>
                </c:manualLayout>
              </c:layout>
              <c:spPr/>
              <c:txPr>
                <a:bodyPr/>
                <a:lstStyle/>
                <a:p>
                  <a:pPr>
                    <a:defRPr sz="800" b="1">
                      <a:solidFill>
                        <a:schemeClr val="bg1"/>
                      </a:solidFill>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6332455248205794"/>
                      <c:h val="0.34061713788367132"/>
                    </c:manualLayout>
                  </c15:layout>
                </c:ext>
                <c:ext xmlns:c16="http://schemas.microsoft.com/office/drawing/2014/chart" uri="{C3380CC4-5D6E-409C-BE32-E72D297353CC}">
                  <c16:uniqueId val="{00000000-8B7E-4A05-8AF7-8521F310A8DC}"/>
                </c:ext>
              </c:extLst>
            </c:dLbl>
            <c:dLbl>
              <c:idx val="1"/>
              <c:delete val="1"/>
              <c:extLst>
                <c:ext xmlns:c15="http://schemas.microsoft.com/office/drawing/2012/chart" uri="{CE6537A1-D6FC-4f65-9D91-7224C49458BB}"/>
                <c:ext xmlns:c16="http://schemas.microsoft.com/office/drawing/2014/chart" uri="{C3380CC4-5D6E-409C-BE32-E72D297353CC}">
                  <c16:uniqueId val="{00000001-8B7E-4A05-8AF7-8521F310A8DC}"/>
                </c:ext>
              </c:extLst>
            </c:dLbl>
            <c:dLbl>
              <c:idx val="2"/>
              <c:layout>
                <c:manualLayout>
                  <c:x val="-7.3240205996614641E-2"/>
                  <c:y val="-4.1854019892250308E-2"/>
                </c:manualLayout>
              </c:layou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9954863518096564"/>
                      <c:h val="0.29298934859551956"/>
                    </c:manualLayout>
                  </c15:layout>
                </c:ext>
                <c:ext xmlns:c16="http://schemas.microsoft.com/office/drawing/2014/chart" uri="{C3380CC4-5D6E-409C-BE32-E72D297353CC}">
                  <c16:uniqueId val="{00000002-8B7E-4A05-8AF7-8521F310A8DC}"/>
                </c:ext>
              </c:extLst>
            </c:dLbl>
            <c:dLbl>
              <c:idx val="3"/>
              <c:layout>
                <c:manualLayout>
                  <c:x val="-7.7703525877156815E-2"/>
                  <c:y val="4.2244390503818514E-2"/>
                </c:manualLayout>
              </c:layout>
              <c:spPr>
                <a:noFill/>
                <a:ln>
                  <a:noFill/>
                </a:ln>
                <a:effectLs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31916896969348"/>
                      <c:h val="0.2802342963708484"/>
                    </c:manualLayout>
                  </c15:layout>
                </c:ext>
                <c:ext xmlns:c16="http://schemas.microsoft.com/office/drawing/2014/chart" uri="{C3380CC4-5D6E-409C-BE32-E72D297353CC}">
                  <c16:uniqueId val="{00000003-8B7E-4A05-8AF7-8521F310A8DC}"/>
                </c:ext>
              </c:extLst>
            </c:dLbl>
            <c:dLbl>
              <c:idx val="4"/>
              <c:layout>
                <c:manualLayout>
                  <c:x val="-0.24815081684672075"/>
                  <c:y val="2.2128985341264836E-2"/>
                </c:manualLayout>
              </c:layout>
              <c:tx>
                <c:rich>
                  <a:bodyPr/>
                  <a:lstStyle/>
                  <a:p>
                    <a:pPr>
                      <a:defRPr sz="800" b="1"/>
                    </a:pPr>
                    <a:r>
                      <a:rPr lang="en-US" sz="800" b="1"/>
                      <a:t>Colocado</a:t>
                    </a:r>
                    <a:r>
                      <a:rPr lang="en-US" sz="800" b="1" baseline="0"/>
                      <a:t>; </a:t>
                    </a:r>
                    <a:fld id="{B1725B05-51F7-4F5A-AE6D-1738DF120E59}" type="VALUE">
                      <a:rPr lang="en-US" sz="800" b="1" baseline="0"/>
                      <a:pPr>
                        <a:defRPr sz="800" b="1"/>
                      </a:pPr>
                      <a:t>[VALOR]</a:t>
                    </a:fld>
                    <a:r>
                      <a:rPr lang="en-US" sz="800" b="1" baseline="0"/>
                      <a:t>; </a:t>
                    </a:r>
                    <a:fld id="{4BB50BCE-B587-4D53-B6A5-0BF47E776F3A}" type="PERCENTAGE">
                      <a:rPr lang="en-US" sz="800" b="1" baseline="0"/>
                      <a:pPr>
                        <a:defRPr sz="800" b="1"/>
                      </a:pPr>
                      <a:t>[PORCENTAJE]</a:t>
                    </a:fld>
                    <a:endParaRPr lang="en-US" sz="8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037070046755339"/>
                      <c:h val="0.37761753226442552"/>
                    </c:manualLayout>
                  </c15:layout>
                  <c15:dlblFieldTable/>
                  <c15:showDataLabelsRange val="0"/>
                </c:ext>
                <c:ext xmlns:c16="http://schemas.microsoft.com/office/drawing/2014/chart" uri="{C3380CC4-5D6E-409C-BE32-E72D297353CC}">
                  <c16:uniqueId val="{00000004-8B7E-4A05-8AF7-8521F310A8DC}"/>
                </c:ext>
              </c:extLst>
            </c:dLbl>
            <c:spPr>
              <a:noFill/>
              <a:ln>
                <a:noFill/>
              </a:ln>
              <a:effectLst/>
            </c:spPr>
            <c:txPr>
              <a:bodyPr wrap="square" lIns="38100" tIns="19050" rIns="38100" bIns="19050" anchor="ctr">
                <a:spAutoFit/>
              </a:bodyPr>
              <a:lstStyle/>
              <a:p>
                <a:pPr>
                  <a:defRPr sz="9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Dash'!$Q$79:$Q$82</c:f>
              <c:strCache>
                <c:ptCount val="4"/>
                <c:pt idx="0">
                  <c:v>Por Colocar</c:v>
                </c:pt>
                <c:pt idx="1">
                  <c:v>Colocado</c:v>
                </c:pt>
                <c:pt idx="2">
                  <c:v>Nuevo Endeudamiento</c:v>
                </c:pt>
                <c:pt idx="3">
                  <c:v>Roll Over</c:v>
                </c:pt>
              </c:strCache>
            </c:strRef>
          </c:cat>
          <c:val>
            <c:numRef>
              <c:f>'Bonos Dash'!$R$79:$R$82</c:f>
              <c:numCache>
                <c:formatCode>General</c:formatCode>
                <c:ptCount val="4"/>
                <c:pt idx="0" formatCode="#,##0.0">
                  <c:v>16494.877</c:v>
                </c:pt>
                <c:pt idx="2" formatCode="#,##0.0">
                  <c:v>7457.9719999999998</c:v>
                </c:pt>
                <c:pt idx="3" formatCode="#,##0.0">
                  <c:v>525.62099999999998</c:v>
                </c:pt>
              </c:numCache>
            </c:numRef>
          </c:val>
          <c:extLst>
            <c:ext xmlns:c16="http://schemas.microsoft.com/office/drawing/2014/chart" uri="{C3380CC4-5D6E-409C-BE32-E72D297353CC}">
              <c16:uniqueId val="{00000005-8B7E-4A05-8AF7-8521F310A8DC}"/>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0D090-75D3-4945-8132-A71BA465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3683</Words>
  <Characters>20258</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10</cp:revision>
  <cp:lastPrinted>2021-05-24T19:35:00Z</cp:lastPrinted>
  <dcterms:created xsi:type="dcterms:W3CDTF">2021-05-24T16:58:00Z</dcterms:created>
  <dcterms:modified xsi:type="dcterms:W3CDTF">2021-05-24T19:37:00Z</dcterms:modified>
</cp:coreProperties>
</file>