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21200" w14:textId="05813021" w:rsidR="008A700C" w:rsidRDefault="006812CD" w:rsidP="008A700C">
      <w:pPr>
        <w:jc w:val="center"/>
        <w:rPr>
          <w:b/>
          <w:sz w:val="28"/>
          <w:szCs w:val="28"/>
        </w:rPr>
      </w:pPr>
      <w:r>
        <w:rPr>
          <w:noProof/>
        </w:rPr>
        <mc:AlternateContent>
          <mc:Choice Requires="wpg">
            <w:drawing>
              <wp:anchor distT="0" distB="0" distL="114300" distR="114300" simplePos="0" relativeHeight="251661312" behindDoc="0" locked="0" layoutInCell="1" allowOverlap="1" wp14:anchorId="48202247" wp14:editId="2752B546">
                <wp:simplePos x="0" y="0"/>
                <wp:positionH relativeFrom="page">
                  <wp:posOffset>233202</wp:posOffset>
                </wp:positionH>
                <wp:positionV relativeFrom="page">
                  <wp:posOffset>212164</wp:posOffset>
                </wp:positionV>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5D266B3" id="Grupo 149" o:spid="_x0000_s1026" style="position:absolute;margin-left:18.35pt;margin-top:16.7pt;width:8in;height:95.7pt;z-index:251661312;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p w14:paraId="54463E74" w14:textId="25D6BE4F" w:rsidR="006812CD" w:rsidRDefault="006812CD" w:rsidP="008A700C">
      <w:pPr>
        <w:jc w:val="center"/>
        <w:rPr>
          <w:b/>
          <w:sz w:val="28"/>
          <w:szCs w:val="28"/>
        </w:rPr>
      </w:pPr>
    </w:p>
    <w:p w14:paraId="3A4FB231" w14:textId="1E73E54F" w:rsidR="006812CD" w:rsidRDefault="006812CD" w:rsidP="008A700C">
      <w:pPr>
        <w:jc w:val="center"/>
        <w:rPr>
          <w:b/>
          <w:sz w:val="28"/>
          <w:szCs w:val="28"/>
        </w:rPr>
      </w:pPr>
    </w:p>
    <w:p w14:paraId="6AF383B3" w14:textId="1B106942" w:rsidR="006812CD" w:rsidRDefault="006812CD" w:rsidP="008A700C">
      <w:pPr>
        <w:jc w:val="center"/>
        <w:rPr>
          <w:b/>
          <w:sz w:val="28"/>
          <w:szCs w:val="28"/>
        </w:rPr>
      </w:pPr>
    </w:p>
    <w:p w14:paraId="5FA2CCEF" w14:textId="039CE35D" w:rsidR="006812CD" w:rsidRDefault="006812CD" w:rsidP="008A700C">
      <w:pPr>
        <w:jc w:val="center"/>
        <w:rPr>
          <w:b/>
          <w:sz w:val="28"/>
          <w:szCs w:val="28"/>
        </w:rPr>
      </w:pPr>
    </w:p>
    <w:p w14:paraId="34CB27E6" w14:textId="70C67679" w:rsidR="006812CD" w:rsidRDefault="006812CD" w:rsidP="008A700C">
      <w:pPr>
        <w:jc w:val="center"/>
        <w:rPr>
          <w:b/>
          <w:sz w:val="28"/>
          <w:szCs w:val="28"/>
        </w:rPr>
      </w:pPr>
    </w:p>
    <w:p w14:paraId="08BBEA95" w14:textId="79961EF2" w:rsidR="006812CD" w:rsidRDefault="006812CD" w:rsidP="008A700C">
      <w:pPr>
        <w:jc w:val="center"/>
        <w:rPr>
          <w:b/>
          <w:sz w:val="28"/>
          <w:szCs w:val="28"/>
        </w:rPr>
      </w:pPr>
    </w:p>
    <w:p w14:paraId="0F2E136B" w14:textId="75AB99C1" w:rsidR="006812CD" w:rsidRDefault="006812CD" w:rsidP="008A700C">
      <w:pPr>
        <w:jc w:val="center"/>
        <w:rPr>
          <w:b/>
          <w:sz w:val="28"/>
          <w:szCs w:val="28"/>
        </w:rPr>
      </w:pPr>
    </w:p>
    <w:p w14:paraId="53366F8F" w14:textId="6A6290E5" w:rsidR="006812CD" w:rsidRDefault="006812CD" w:rsidP="008A700C">
      <w:pPr>
        <w:jc w:val="center"/>
        <w:rPr>
          <w:b/>
          <w:sz w:val="28"/>
          <w:szCs w:val="28"/>
        </w:rPr>
      </w:pPr>
    </w:p>
    <w:p w14:paraId="625D9A20" w14:textId="3BEE9DE9" w:rsidR="006812CD" w:rsidRDefault="006812CD" w:rsidP="008A700C">
      <w:pPr>
        <w:jc w:val="center"/>
        <w:rPr>
          <w:b/>
          <w:sz w:val="28"/>
          <w:szCs w:val="28"/>
        </w:rPr>
      </w:pPr>
    </w:p>
    <w:p w14:paraId="4C2CB6C8" w14:textId="77777777" w:rsidR="006812CD" w:rsidRDefault="006812CD" w:rsidP="008A700C">
      <w:pPr>
        <w:jc w:val="center"/>
        <w:rPr>
          <w:b/>
          <w:sz w:val="28"/>
          <w:szCs w:val="28"/>
        </w:rPr>
      </w:pPr>
    </w:p>
    <w:p w14:paraId="59F1B16C" w14:textId="6A6CE6E7" w:rsidR="006812CD" w:rsidRDefault="006812CD" w:rsidP="008A700C">
      <w:pPr>
        <w:jc w:val="center"/>
        <w:rPr>
          <w:b/>
          <w:sz w:val="28"/>
          <w:szCs w:val="28"/>
        </w:rPr>
      </w:pPr>
    </w:p>
    <w:p w14:paraId="0CB60C34" w14:textId="3EFEF005" w:rsidR="006812CD" w:rsidRDefault="006812CD" w:rsidP="008A700C">
      <w:pPr>
        <w:jc w:val="center"/>
        <w:rPr>
          <w:b/>
          <w:sz w:val="28"/>
          <w:szCs w:val="28"/>
        </w:rPr>
      </w:pPr>
    </w:p>
    <w:p w14:paraId="554AD472" w14:textId="32C4F115" w:rsidR="006812CD" w:rsidRDefault="006812CD" w:rsidP="008A700C">
      <w:pPr>
        <w:jc w:val="center"/>
        <w:rPr>
          <w:b/>
          <w:sz w:val="28"/>
          <w:szCs w:val="28"/>
        </w:rPr>
      </w:pPr>
    </w:p>
    <w:p w14:paraId="48617A09" w14:textId="77777777" w:rsidR="006812CD" w:rsidRDefault="006812CD" w:rsidP="008A700C">
      <w:pPr>
        <w:jc w:val="center"/>
        <w:rPr>
          <w:b/>
          <w:sz w:val="28"/>
          <w:szCs w:val="28"/>
        </w:rPr>
      </w:pPr>
    </w:p>
    <w:p w14:paraId="65DAF51A" w14:textId="1BF9C947" w:rsidR="006812CD" w:rsidRDefault="006812CD" w:rsidP="008A700C">
      <w:pPr>
        <w:jc w:val="center"/>
        <w:rPr>
          <w:b/>
          <w:sz w:val="28"/>
          <w:szCs w:val="28"/>
        </w:rPr>
      </w:pPr>
    </w:p>
    <w:p w14:paraId="31C840BD" w14:textId="77777777" w:rsidR="006812CD" w:rsidRDefault="006812CD" w:rsidP="008A700C">
      <w:pPr>
        <w:jc w:val="center"/>
        <w:rPr>
          <w:b/>
          <w:sz w:val="28"/>
          <w:szCs w:val="28"/>
        </w:rPr>
      </w:pPr>
    </w:p>
    <w:p w14:paraId="1F695D3F" w14:textId="77777777" w:rsidR="008A700C" w:rsidRPr="006812CD" w:rsidRDefault="00717F07" w:rsidP="008A700C">
      <w:pPr>
        <w:jc w:val="center"/>
        <w:rPr>
          <w:b/>
          <w:sz w:val="40"/>
          <w:szCs w:val="40"/>
        </w:rPr>
      </w:pPr>
      <w:r w:rsidRPr="006812CD">
        <w:rPr>
          <w:b/>
          <w:sz w:val="40"/>
          <w:szCs w:val="40"/>
        </w:rPr>
        <w:t xml:space="preserve">INFORME DE </w:t>
      </w:r>
      <w:r w:rsidR="008A700C" w:rsidRPr="006812CD">
        <w:rPr>
          <w:b/>
          <w:sz w:val="40"/>
          <w:szCs w:val="40"/>
        </w:rPr>
        <w:t>RIESGOS FISCALES</w:t>
      </w:r>
      <w:r w:rsidRPr="006812CD">
        <w:rPr>
          <w:b/>
          <w:sz w:val="40"/>
          <w:szCs w:val="40"/>
        </w:rPr>
        <w:t xml:space="preserve"> 2020 - 2024</w:t>
      </w:r>
    </w:p>
    <w:p w14:paraId="282B0C29" w14:textId="77777777" w:rsidR="008A700C" w:rsidRDefault="008A700C" w:rsidP="008A5924"/>
    <w:sdt>
      <w:sdtPr>
        <w:id w:val="498459661"/>
        <w:docPartObj>
          <w:docPartGallery w:val="Cover Pages"/>
          <w:docPartUnique/>
        </w:docPartObj>
      </w:sdtPr>
      <w:sdtEndPr>
        <w:rPr>
          <w:b/>
        </w:rPr>
      </w:sdtEndPr>
      <w:sdtContent>
        <w:p w14:paraId="167E454F" w14:textId="130DB9C1" w:rsidR="00C96FDA" w:rsidRDefault="00C96FDA" w:rsidP="008A5924"/>
        <w:p w14:paraId="109BE2E7" w14:textId="2EF00FC6" w:rsidR="006812CD" w:rsidRDefault="006812CD" w:rsidP="008A5924">
          <w:r>
            <w:rPr>
              <w:noProof/>
            </w:rPr>
            <mc:AlternateContent>
              <mc:Choice Requires="wps">
                <w:drawing>
                  <wp:anchor distT="0" distB="0" distL="114300" distR="114300" simplePos="0" relativeHeight="251662336" behindDoc="0" locked="0" layoutInCell="1" allowOverlap="1" wp14:anchorId="4A99EF8D" wp14:editId="463D7682">
                    <wp:simplePos x="0" y="0"/>
                    <wp:positionH relativeFrom="column">
                      <wp:posOffset>-7572</wp:posOffset>
                    </wp:positionH>
                    <wp:positionV relativeFrom="paragraph">
                      <wp:posOffset>18143</wp:posOffset>
                    </wp:positionV>
                    <wp:extent cx="6388925"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638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4C420A"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pt,1.45pt" to="502.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" strokecolor="#4579b8 [3044]"/>
                </w:pict>
              </mc:Fallback>
            </mc:AlternateContent>
          </w:r>
        </w:p>
        <w:p w14:paraId="48853B1B" w14:textId="04C2B23E" w:rsidR="006812CD" w:rsidRDefault="006812CD" w:rsidP="008A5924"/>
        <w:p w14:paraId="3C3CBA35" w14:textId="2299E595" w:rsidR="006812CD" w:rsidRPr="006812CD" w:rsidRDefault="006812CD" w:rsidP="006812CD">
          <w:pPr>
            <w:jc w:val="center"/>
            <w:rPr>
              <w:b/>
              <w:color w:val="1F497D" w:themeColor="text2"/>
              <w:sz w:val="36"/>
              <w:szCs w:val="36"/>
            </w:rPr>
          </w:pPr>
          <w:r w:rsidRPr="006812CD">
            <w:rPr>
              <w:b/>
              <w:color w:val="1F497D" w:themeColor="text2"/>
              <w:sz w:val="36"/>
              <w:szCs w:val="36"/>
            </w:rPr>
            <w:t>Ministerio de Finanzas Públicas</w:t>
          </w:r>
        </w:p>
        <w:p w14:paraId="05094F9D" w14:textId="77777777" w:rsidR="006812CD" w:rsidRDefault="006812CD" w:rsidP="008A5924"/>
        <w:p w14:paraId="6E52F84D" w14:textId="000CA4E1" w:rsidR="006812CD" w:rsidRDefault="006812CD" w:rsidP="008A5924"/>
        <w:p w14:paraId="001DF0FB" w14:textId="77777777" w:rsidR="006812CD" w:rsidRDefault="006812CD" w:rsidP="008A5924"/>
        <w:p w14:paraId="43875721" w14:textId="564A9901" w:rsidR="006812CD" w:rsidRDefault="006812CD" w:rsidP="008A5924"/>
        <w:p w14:paraId="06DCA684" w14:textId="30C52475" w:rsidR="006812CD" w:rsidRDefault="006812CD" w:rsidP="008A5924"/>
        <w:p w14:paraId="16146064" w14:textId="26C2A589" w:rsidR="006812CD" w:rsidRDefault="006812CD" w:rsidP="008A5924"/>
        <w:p w14:paraId="14553E02" w14:textId="25387FE9" w:rsidR="006812CD" w:rsidRDefault="006812CD" w:rsidP="008A5924"/>
        <w:p w14:paraId="038FD56E" w14:textId="3FFB90E3" w:rsidR="006812CD" w:rsidRDefault="006812CD" w:rsidP="008A5924"/>
        <w:p w14:paraId="30F22996" w14:textId="55322028" w:rsidR="006812CD" w:rsidRDefault="006812CD" w:rsidP="008A5924"/>
        <w:p w14:paraId="7F086F00" w14:textId="0197565A" w:rsidR="006812CD" w:rsidRDefault="006812CD" w:rsidP="008A5924"/>
        <w:p w14:paraId="25D87E35" w14:textId="2F07FC49" w:rsidR="006812CD" w:rsidRDefault="006812CD" w:rsidP="008A5924"/>
        <w:p w14:paraId="60664A38" w14:textId="77777777" w:rsidR="006812CD" w:rsidRDefault="006812CD" w:rsidP="008A5924"/>
        <w:p w14:paraId="3794007D" w14:textId="43E386B7" w:rsidR="006812CD" w:rsidRDefault="006812CD" w:rsidP="008A5924"/>
        <w:p w14:paraId="0AB3E304" w14:textId="3218BD56" w:rsidR="006812CD" w:rsidRDefault="006812CD" w:rsidP="008A5924"/>
        <w:p w14:paraId="7A245E83" w14:textId="604AB25C" w:rsidR="006812CD" w:rsidRDefault="006812CD" w:rsidP="008A5924"/>
        <w:p w14:paraId="2CA96D7B" w14:textId="7AD9DD66" w:rsidR="006812CD" w:rsidRDefault="006812CD" w:rsidP="008A5924"/>
        <w:p w14:paraId="130F8A78" w14:textId="563FCD2C" w:rsidR="006812CD" w:rsidRDefault="006812CD" w:rsidP="008A5924"/>
        <w:p w14:paraId="68AEF7EF" w14:textId="60977FA0" w:rsidR="006812CD" w:rsidRDefault="006812CD" w:rsidP="006812CD">
          <w:pPr>
            <w:jc w:val="center"/>
          </w:pPr>
          <w:r>
            <w:t>Agosto, 2019</w:t>
          </w:r>
        </w:p>
        <w:p w14:paraId="5F181668" w14:textId="3A207D35" w:rsidR="006812CD" w:rsidRDefault="006812CD" w:rsidP="008A5924"/>
        <w:p w14:paraId="0B70238A" w14:textId="68100AF8" w:rsidR="006812CD" w:rsidRDefault="006812CD" w:rsidP="008A5924"/>
        <w:p w14:paraId="4A81C1E1" w14:textId="6EF7C341" w:rsidR="006812CD" w:rsidRDefault="006812CD" w:rsidP="008A5924"/>
        <w:p w14:paraId="320A91BF" w14:textId="5A860D0C" w:rsidR="006812CD" w:rsidRDefault="006812CD" w:rsidP="008A5924"/>
        <w:p w14:paraId="63AF7C32" w14:textId="5E3C6726" w:rsidR="006812CD" w:rsidRDefault="006812CD" w:rsidP="008A5924"/>
        <w:p w14:paraId="4E4E069A" w14:textId="22602E12" w:rsidR="006812CD" w:rsidRDefault="006812CD" w:rsidP="008A5924"/>
        <w:p w14:paraId="5ED42022" w14:textId="0AE1B004" w:rsidR="006812CD" w:rsidRDefault="006812CD" w:rsidP="008A5924"/>
        <w:p w14:paraId="053594F6" w14:textId="77777777" w:rsidR="008A700C" w:rsidRDefault="008A700C" w:rsidP="008A5924"/>
        <w:p w14:paraId="73A049C0" w14:textId="77777777" w:rsidR="00C96FDA" w:rsidRPr="00784E7F" w:rsidRDefault="00C96FDA" w:rsidP="00C96FDA">
          <w:pPr>
            <w:rPr>
              <w:b/>
              <w:sz w:val="28"/>
              <w:szCs w:val="28"/>
            </w:rPr>
          </w:pPr>
          <w:r w:rsidRPr="00784E7F">
            <w:rPr>
              <w:b/>
              <w:sz w:val="28"/>
              <w:szCs w:val="28"/>
            </w:rPr>
            <w:t xml:space="preserve">Introducción </w:t>
          </w:r>
        </w:p>
        <w:p w14:paraId="673A4747" w14:textId="77777777" w:rsidR="00C96FDA" w:rsidRPr="00184700" w:rsidRDefault="00C96FDA" w:rsidP="00C96FDA">
          <w:pPr>
            <w:pStyle w:val="Sinespaciado"/>
            <w:jc w:val="both"/>
            <w:rPr>
              <w:rFonts w:ascii="Times New Roman" w:hAnsi="Times New Roman"/>
            </w:rPr>
          </w:pPr>
        </w:p>
        <w:p w14:paraId="41CD6ACD" w14:textId="77777777" w:rsidR="00C96FDA" w:rsidRPr="00713D35" w:rsidRDefault="00C96FDA" w:rsidP="00C96FDA">
          <w:pPr>
            <w:pStyle w:val="Sinespaciado"/>
            <w:jc w:val="both"/>
            <w:rPr>
              <w:rFonts w:ascii="Times New Roman" w:hAnsi="Times New Roman"/>
              <w:sz w:val="24"/>
              <w:szCs w:val="24"/>
            </w:rPr>
          </w:pPr>
          <w:r w:rsidRPr="00713D35">
            <w:rPr>
              <w:rFonts w:ascii="Times New Roman" w:hAnsi="Times New Roman"/>
              <w:sz w:val="24"/>
              <w:szCs w:val="24"/>
            </w:rPr>
            <w:t xml:space="preserve">El Ministerio de Finanzas Públicas ha incluido en el proceso de Formulación de los Proyectos de Presupuesto General de Ingresos y Egresos de la Nación para los últimos ejercicios fiscales </w:t>
          </w:r>
          <w:r w:rsidR="00F709A5">
            <w:rPr>
              <w:rFonts w:ascii="Times New Roman" w:hAnsi="Times New Roman"/>
              <w:sz w:val="24"/>
              <w:szCs w:val="24"/>
            </w:rPr>
            <w:br/>
          </w:r>
          <w:r w:rsidRPr="00713D35">
            <w:rPr>
              <w:rFonts w:ascii="Times New Roman" w:hAnsi="Times New Roman"/>
              <w:sz w:val="24"/>
              <w:szCs w:val="24"/>
            </w:rPr>
            <w:t xml:space="preserve">(2017-2020) una separata que focaliza el análisis en la identificación y evaluación de los principales riesgos fiscales que podrían tener un impacto en la evolución de las principales variables fiscales y que podrían afectar la sostenibilidad de la deuda pública en el mediano plazo. </w:t>
          </w:r>
        </w:p>
        <w:p w14:paraId="0087058E" w14:textId="77777777" w:rsidR="00C96FDA" w:rsidRPr="00713D35" w:rsidRDefault="00C96FDA" w:rsidP="00C96FDA">
          <w:pPr>
            <w:pStyle w:val="Sinespaciado"/>
            <w:jc w:val="both"/>
            <w:rPr>
              <w:rFonts w:ascii="Times New Roman" w:hAnsi="Times New Roman"/>
              <w:sz w:val="24"/>
              <w:szCs w:val="24"/>
            </w:rPr>
          </w:pPr>
        </w:p>
        <w:p w14:paraId="56ECCC36" w14:textId="77777777" w:rsidR="00C96FDA" w:rsidRPr="00713D35" w:rsidRDefault="00C96FDA" w:rsidP="00C96FDA">
          <w:pPr>
            <w:pStyle w:val="Sinespaciado"/>
            <w:jc w:val="both"/>
            <w:rPr>
              <w:rFonts w:ascii="Times New Roman" w:hAnsi="Times New Roman"/>
              <w:sz w:val="24"/>
              <w:szCs w:val="24"/>
            </w:rPr>
          </w:pPr>
          <w:r w:rsidRPr="00713D35">
            <w:rPr>
              <w:rFonts w:ascii="Times New Roman" w:hAnsi="Times New Roman"/>
              <w:sz w:val="24"/>
              <w:szCs w:val="24"/>
            </w:rPr>
            <w:t>Dicho análisis tiene el objetivo de cumplir con los compromisos que el país ha asumido en materia de transparencia fiscal, a las recomendaciones del FMI, derivados de la evaluación formal sobre transparencia fiscal (2016).  De esa cuenta desde el año 2017 se incluye como una separata al Proyecto de Presupuesto el informe de los principales riesgos fiscales.</w:t>
          </w:r>
        </w:p>
        <w:p w14:paraId="5563133A" w14:textId="77777777" w:rsidR="00C96FDA" w:rsidRPr="00713D35" w:rsidRDefault="00C96FDA" w:rsidP="00C96FDA">
          <w:pPr>
            <w:pStyle w:val="Sinespaciado"/>
            <w:jc w:val="both"/>
            <w:rPr>
              <w:rFonts w:ascii="Times New Roman" w:hAnsi="Times New Roman"/>
              <w:sz w:val="24"/>
              <w:szCs w:val="24"/>
            </w:rPr>
          </w:pPr>
        </w:p>
        <w:p w14:paraId="54E574AE" w14:textId="77777777" w:rsidR="00C96FDA" w:rsidRPr="00713D35" w:rsidRDefault="00C96FDA" w:rsidP="00C96FDA">
          <w:pPr>
            <w:pStyle w:val="Sinespaciado"/>
            <w:jc w:val="both"/>
            <w:rPr>
              <w:rFonts w:ascii="Times New Roman" w:hAnsi="Times New Roman"/>
              <w:sz w:val="24"/>
              <w:szCs w:val="24"/>
            </w:rPr>
          </w:pPr>
          <w:r w:rsidRPr="00713D35">
            <w:rPr>
              <w:rFonts w:ascii="Times New Roman" w:hAnsi="Times New Roman"/>
              <w:sz w:val="24"/>
              <w:szCs w:val="24"/>
            </w:rPr>
            <w:t xml:space="preserve">La inclusión del análisis de la Gestión de Riesgos Fiscales ha adquirido mucha importancia durante los últimos años, pues el impacto de la globalización, de las incidencias del comercio internacional, la volatilidad de los mercados financieros, el creciente proteccionismo comercial liderado por las principales potencias económicas, la vulnerabilidad de las economías ante desastres climatológicos, los pasivos laborales, son la muestra de una gama de variables que afectan las economías, la evolución de las finanzas y la sostenibilidad de la deuda sobre todo en el mediano y largo plazos. </w:t>
          </w:r>
        </w:p>
        <w:p w14:paraId="01BA2489" w14:textId="77777777" w:rsidR="00C96FDA" w:rsidRPr="00713D35" w:rsidRDefault="00C96FDA" w:rsidP="00C96FDA">
          <w:pPr>
            <w:pStyle w:val="Sinespaciado"/>
            <w:jc w:val="both"/>
            <w:rPr>
              <w:rFonts w:ascii="Times New Roman" w:hAnsi="Times New Roman"/>
              <w:sz w:val="24"/>
              <w:szCs w:val="24"/>
            </w:rPr>
          </w:pPr>
        </w:p>
        <w:p w14:paraId="5D184FC5" w14:textId="77777777" w:rsidR="00C96FDA" w:rsidRPr="00713D35" w:rsidRDefault="00C96FDA" w:rsidP="00C96FDA">
          <w:pPr>
            <w:pStyle w:val="Sinespaciado"/>
            <w:jc w:val="both"/>
            <w:rPr>
              <w:rFonts w:ascii="Times New Roman" w:hAnsi="Times New Roman"/>
              <w:sz w:val="24"/>
              <w:szCs w:val="24"/>
            </w:rPr>
          </w:pPr>
          <w:r w:rsidRPr="00713D35">
            <w:rPr>
              <w:rFonts w:ascii="Times New Roman" w:hAnsi="Times New Roman"/>
              <w:sz w:val="24"/>
              <w:szCs w:val="24"/>
            </w:rPr>
            <w:t xml:space="preserve">Sobre esta visión, tal como lo indica la OECD, es importante la evaluación del impacto de </w:t>
          </w:r>
          <w:r w:rsidRPr="00713D35">
            <w:rPr>
              <w:rFonts w:ascii="Times New Roman" w:hAnsi="Times New Roman"/>
              <w:sz w:val="24"/>
              <w:szCs w:val="24"/>
              <w:shd w:val="clear" w:color="auto" w:fill="FFFFFF"/>
            </w:rPr>
            <w:t>eventos que tienen el potencial de alterar los datos efectivos de las variables fiscales con relación a sus valores proyectados. Los riesgos fiscales pueden tener impactos significativos sobre el resultado fiscal, es decir el superávit o déficit del sector público, e impactar las necesidades de financiamiento</w:t>
          </w:r>
          <w:r w:rsidRPr="00713D35">
            <w:rPr>
              <w:rFonts w:ascii="Times New Roman" w:hAnsi="Times New Roman"/>
              <w:sz w:val="24"/>
              <w:szCs w:val="24"/>
            </w:rPr>
            <w:t xml:space="preserve">. </w:t>
          </w:r>
        </w:p>
        <w:p w14:paraId="08B914A9" w14:textId="77777777" w:rsidR="00C96FDA" w:rsidRPr="00713D35" w:rsidRDefault="00C96FDA" w:rsidP="00C96FDA">
          <w:pPr>
            <w:pStyle w:val="Sinespaciado"/>
            <w:jc w:val="both"/>
            <w:rPr>
              <w:rFonts w:ascii="Times New Roman" w:hAnsi="Times New Roman"/>
              <w:sz w:val="24"/>
              <w:szCs w:val="24"/>
            </w:rPr>
          </w:pPr>
        </w:p>
        <w:p w14:paraId="3F5A4494" w14:textId="77777777" w:rsidR="00C96FDA" w:rsidRPr="00713D35" w:rsidRDefault="00C96FDA" w:rsidP="00C96FDA">
          <w:pPr>
            <w:pStyle w:val="Sinespaciado"/>
            <w:jc w:val="both"/>
            <w:rPr>
              <w:rFonts w:ascii="Times New Roman" w:hAnsi="Times New Roman"/>
              <w:sz w:val="24"/>
              <w:szCs w:val="24"/>
              <w:shd w:val="clear" w:color="auto" w:fill="FFFFFF"/>
            </w:rPr>
          </w:pPr>
          <w:r w:rsidRPr="00713D35">
            <w:rPr>
              <w:rFonts w:ascii="Times New Roman" w:hAnsi="Times New Roman"/>
              <w:sz w:val="24"/>
              <w:szCs w:val="24"/>
              <w:shd w:val="clear" w:color="auto" w:fill="FFFFFF"/>
            </w:rPr>
            <w:t xml:space="preserve">En este sentido el Ministerio de Finanzas Públicas ha avanzado durante los últimos años en la inclusión de este tipo de análisis ya que se ha considerado la importancia de un adecuado manejo de la gestión de riesgos, consistente en la identificación de los riesgos fiscales, incluyendo la cuantificación de sus posibles impactos.  Ello implica la inclusión de medidas de política orientadas a mitigar los riesgos, y la creación de instrumentos orientados a facilitar la toma de decisiones y previsiones para cubrir sus potenciales costos o para aceptarlo y acomodarlo.  La importancia radica en la identificación de medidas de mitigación de riesgos fiscales tales como controles directos o los límites de exposición, elaboración de estrategias para la gestión de riesgos financieros, regulaciones, y otras medidas y mecanismos para transferir o compartir el riesgo. </w:t>
          </w:r>
        </w:p>
        <w:p w14:paraId="0505A98D" w14:textId="77777777" w:rsidR="00C96FDA" w:rsidRPr="00713D35" w:rsidRDefault="00C96FDA" w:rsidP="00C96FDA">
          <w:pPr>
            <w:pStyle w:val="Sinespaciado"/>
            <w:jc w:val="both"/>
            <w:rPr>
              <w:rFonts w:ascii="Times New Roman" w:hAnsi="Times New Roman"/>
              <w:sz w:val="24"/>
              <w:szCs w:val="24"/>
              <w:shd w:val="clear" w:color="auto" w:fill="FFFFFF"/>
            </w:rPr>
          </w:pPr>
        </w:p>
        <w:p w14:paraId="45463A26" w14:textId="77777777" w:rsidR="00C96FDA" w:rsidRPr="00713D35" w:rsidRDefault="00C96FDA" w:rsidP="00C96FDA">
          <w:pPr>
            <w:pStyle w:val="Sinespaciado"/>
            <w:jc w:val="both"/>
            <w:rPr>
              <w:rFonts w:ascii="Times New Roman" w:hAnsi="Times New Roman"/>
              <w:sz w:val="24"/>
              <w:szCs w:val="24"/>
              <w:shd w:val="clear" w:color="auto" w:fill="FFFFFF"/>
            </w:rPr>
          </w:pPr>
          <w:r w:rsidRPr="00713D35">
            <w:rPr>
              <w:rFonts w:ascii="Times New Roman" w:hAnsi="Times New Roman"/>
              <w:sz w:val="24"/>
              <w:szCs w:val="24"/>
              <w:shd w:val="clear" w:color="auto" w:fill="FFFFFF"/>
            </w:rPr>
            <w:t>Esta separata incluye el análisis de riesgos macroeconómicos internos y externos, el análisis de sostenibilidad de la deuda pública y el riesgo provocado por la vulnerabilidad climática y desastres ocasionados por fenómenos naturales, así como los riesgos específicos como el de clases pasivas y contingencias ante demandas financieras contra el Estado Guatemalteco.</w:t>
          </w:r>
        </w:p>
        <w:p w14:paraId="323198ED" w14:textId="77777777" w:rsidR="00C96FDA" w:rsidRDefault="00C96FDA" w:rsidP="00C96FDA">
          <w:pPr>
            <w:rPr>
              <w:shd w:val="clear" w:color="auto" w:fill="FFFFFF"/>
              <w:lang w:val="es-ES"/>
            </w:rPr>
          </w:pPr>
          <w:r>
            <w:rPr>
              <w:shd w:val="clear" w:color="auto" w:fill="FFFFFF"/>
              <w:lang w:val="es-ES"/>
            </w:rPr>
            <w:br w:type="page"/>
          </w:r>
        </w:p>
        <w:p w14:paraId="33C47CC3" w14:textId="77777777" w:rsidR="008A5924" w:rsidRPr="00184700" w:rsidRDefault="00000000" w:rsidP="008A5924">
          <w:pPr>
            <w:rPr>
              <w:b/>
              <w:lang w:val="es-ES"/>
            </w:rPr>
          </w:pPr>
        </w:p>
      </w:sdtContent>
    </w:sdt>
    <w:sdt>
      <w:sdtPr>
        <w:rPr>
          <w:rFonts w:asciiTheme="minorHAnsi" w:eastAsiaTheme="minorEastAsia" w:hAnsiTheme="minorHAnsi" w:cs="Times New Roman"/>
          <w:b w:val="0"/>
          <w:bCs w:val="0"/>
          <w:color w:val="auto"/>
          <w:sz w:val="24"/>
          <w:szCs w:val="24"/>
          <w:lang w:val="es-ES" w:eastAsia="es-ES"/>
        </w:rPr>
        <w:id w:val="1250004048"/>
        <w:docPartObj>
          <w:docPartGallery w:val="Table of Contents"/>
          <w:docPartUnique/>
        </w:docPartObj>
      </w:sdtPr>
      <w:sdtEndPr>
        <w:rPr>
          <w:rFonts w:ascii="Times New Roman" w:eastAsia="Times New Roman" w:hAnsi="Times New Roman"/>
          <w:sz w:val="20"/>
          <w:szCs w:val="20"/>
        </w:rPr>
      </w:sdtEndPr>
      <w:sdtContent>
        <w:p w14:paraId="13F31551" w14:textId="77777777" w:rsidR="008A5924" w:rsidRPr="00B82A4D" w:rsidRDefault="008A5924" w:rsidP="008A5924">
          <w:pPr>
            <w:pStyle w:val="TtuloTDC"/>
            <w:ind w:left="360" w:hanging="360"/>
            <w:rPr>
              <w:rFonts w:ascii="Times New Roman" w:hAnsi="Times New Roman" w:cs="Times New Roman"/>
            </w:rPr>
          </w:pPr>
          <w:r w:rsidRPr="00B82A4D">
            <w:rPr>
              <w:rFonts w:ascii="Times New Roman" w:hAnsi="Times New Roman" w:cs="Times New Roman"/>
              <w:lang w:val="es-ES"/>
            </w:rPr>
            <w:t>Contenido</w:t>
          </w:r>
        </w:p>
        <w:p w14:paraId="6F857B0C" w14:textId="3D58AF55" w:rsidR="00B82A4D" w:rsidRPr="00B82A4D" w:rsidRDefault="008A5924">
          <w:pPr>
            <w:pStyle w:val="TDC1"/>
            <w:rPr>
              <w:rFonts w:eastAsiaTheme="minorEastAsia"/>
              <w:noProof/>
              <w:sz w:val="24"/>
              <w:szCs w:val="24"/>
              <w:lang w:val="en-US" w:eastAsia="en-US"/>
            </w:rPr>
          </w:pPr>
          <w:r w:rsidRPr="00184700">
            <w:rPr>
              <w:rStyle w:val="Hipervnculo"/>
            </w:rPr>
            <w:fldChar w:fldCharType="begin"/>
          </w:r>
          <w:r w:rsidRPr="00184700">
            <w:rPr>
              <w:rStyle w:val="Hipervnculo"/>
            </w:rPr>
            <w:instrText xml:space="preserve"> TOC \o "1-5" \h \z \u </w:instrText>
          </w:r>
          <w:r w:rsidRPr="00184700">
            <w:rPr>
              <w:rStyle w:val="Hipervnculo"/>
            </w:rPr>
            <w:fldChar w:fldCharType="separate"/>
          </w:r>
          <w:hyperlink w:anchor="_Toc16519881" w:history="1">
            <w:r w:rsidR="00B82A4D" w:rsidRPr="00B82A4D">
              <w:rPr>
                <w:rStyle w:val="Hipervnculo"/>
                <w:noProof/>
                <w:sz w:val="24"/>
                <w:szCs w:val="24"/>
              </w:rPr>
              <w:t>1.</w:t>
            </w:r>
            <w:r w:rsidR="00B82A4D" w:rsidRPr="00B82A4D">
              <w:rPr>
                <w:rFonts w:eastAsiaTheme="minorEastAsia"/>
                <w:noProof/>
                <w:sz w:val="24"/>
                <w:szCs w:val="24"/>
                <w:lang w:val="en-US" w:eastAsia="en-US"/>
              </w:rPr>
              <w:tab/>
            </w:r>
            <w:r w:rsidR="00B82A4D" w:rsidRPr="00B82A4D">
              <w:rPr>
                <w:rStyle w:val="Hipervnculo"/>
                <w:noProof/>
                <w:sz w:val="24"/>
                <w:szCs w:val="24"/>
              </w:rPr>
              <w:t>Riesgos Macroeconómicos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_Toc16519881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1</w:t>
            </w:r>
            <w:r w:rsidR="00B82A4D" w:rsidRPr="00B82A4D">
              <w:rPr>
                <w:noProof/>
                <w:webHidden/>
                <w:sz w:val="24"/>
                <w:szCs w:val="24"/>
              </w:rPr>
              <w:fldChar w:fldCharType="end"/>
            </w:r>
          </w:hyperlink>
        </w:p>
        <w:p w14:paraId="6ECE6528" w14:textId="41C6E458" w:rsidR="00B82A4D" w:rsidRPr="00B82A4D" w:rsidRDefault="00000000">
          <w:pPr>
            <w:pStyle w:val="TDC2"/>
            <w:rPr>
              <w:rFonts w:eastAsiaTheme="minorEastAsia"/>
              <w:noProof/>
              <w:sz w:val="24"/>
              <w:szCs w:val="24"/>
              <w:lang w:val="en-US" w:eastAsia="en-US"/>
            </w:rPr>
          </w:pPr>
          <w:hyperlink w:anchor="_Toc16519882" w:history="1">
            <w:r w:rsidR="00B82A4D" w:rsidRPr="00B82A4D">
              <w:rPr>
                <w:rStyle w:val="Hipervnculo"/>
                <w:noProof/>
                <w:sz w:val="24"/>
                <w:szCs w:val="24"/>
              </w:rPr>
              <w:t>1.1.</w:t>
            </w:r>
            <w:r w:rsidR="00B82A4D" w:rsidRPr="00B82A4D">
              <w:rPr>
                <w:rFonts w:eastAsiaTheme="minorEastAsia"/>
                <w:noProof/>
                <w:sz w:val="24"/>
                <w:szCs w:val="24"/>
                <w:lang w:val="en-US" w:eastAsia="en-US"/>
              </w:rPr>
              <w:tab/>
            </w:r>
            <w:r w:rsidR="00B82A4D" w:rsidRPr="00B82A4D">
              <w:rPr>
                <w:rStyle w:val="Hipervnculo"/>
                <w:noProof/>
                <w:sz w:val="24"/>
                <w:szCs w:val="24"/>
              </w:rPr>
              <w:t>Riesgos en el Sector Externo</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_Toc16519882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1</w:t>
            </w:r>
            <w:r w:rsidR="00B82A4D" w:rsidRPr="00B82A4D">
              <w:rPr>
                <w:noProof/>
                <w:webHidden/>
                <w:sz w:val="24"/>
                <w:szCs w:val="24"/>
              </w:rPr>
              <w:fldChar w:fldCharType="end"/>
            </w:r>
          </w:hyperlink>
        </w:p>
        <w:p w14:paraId="7F0B9BA6" w14:textId="67FE452C" w:rsidR="00B82A4D" w:rsidRPr="00B82A4D" w:rsidRDefault="00000000">
          <w:pPr>
            <w:pStyle w:val="TDC2"/>
            <w:rPr>
              <w:rFonts w:eastAsiaTheme="minorEastAsia"/>
              <w:noProof/>
              <w:sz w:val="24"/>
              <w:szCs w:val="24"/>
              <w:lang w:val="en-US" w:eastAsia="en-US"/>
            </w:rPr>
          </w:pPr>
          <w:hyperlink w:anchor="_Toc16519883" w:history="1">
            <w:r w:rsidR="00B82A4D" w:rsidRPr="00B82A4D">
              <w:rPr>
                <w:rStyle w:val="Hipervnculo"/>
                <w:noProof/>
                <w:sz w:val="24"/>
                <w:szCs w:val="24"/>
              </w:rPr>
              <w:t>1.2.</w:t>
            </w:r>
            <w:r w:rsidR="00B82A4D" w:rsidRPr="00B82A4D">
              <w:rPr>
                <w:rFonts w:eastAsiaTheme="minorEastAsia"/>
                <w:noProof/>
                <w:sz w:val="24"/>
                <w:szCs w:val="24"/>
                <w:lang w:val="en-US" w:eastAsia="en-US"/>
              </w:rPr>
              <w:tab/>
            </w:r>
            <w:r w:rsidR="00B82A4D" w:rsidRPr="00B82A4D">
              <w:rPr>
                <w:rStyle w:val="Hipervnculo"/>
                <w:noProof/>
                <w:sz w:val="24"/>
                <w:szCs w:val="24"/>
              </w:rPr>
              <w:t>Desviaciones de los pronósticos macroeconómicos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_Toc16519883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4</w:t>
            </w:r>
            <w:r w:rsidR="00B82A4D" w:rsidRPr="00B82A4D">
              <w:rPr>
                <w:noProof/>
                <w:webHidden/>
                <w:sz w:val="24"/>
                <w:szCs w:val="24"/>
              </w:rPr>
              <w:fldChar w:fldCharType="end"/>
            </w:r>
          </w:hyperlink>
        </w:p>
        <w:p w14:paraId="7B5F33B3" w14:textId="30D97055" w:rsidR="00B82A4D" w:rsidRPr="00B82A4D" w:rsidRDefault="00000000">
          <w:pPr>
            <w:pStyle w:val="TDC2"/>
            <w:rPr>
              <w:rFonts w:eastAsiaTheme="minorEastAsia"/>
              <w:noProof/>
              <w:sz w:val="24"/>
              <w:szCs w:val="24"/>
              <w:lang w:val="en-US" w:eastAsia="en-US"/>
            </w:rPr>
          </w:pPr>
          <w:hyperlink w:anchor="_Toc16519884" w:history="1">
            <w:r w:rsidR="00B82A4D" w:rsidRPr="00B82A4D">
              <w:rPr>
                <w:rStyle w:val="Hipervnculo"/>
                <w:noProof/>
                <w:sz w:val="24"/>
                <w:szCs w:val="24"/>
              </w:rPr>
              <w:t>1.3.</w:t>
            </w:r>
            <w:r w:rsidR="00B82A4D" w:rsidRPr="00B82A4D">
              <w:rPr>
                <w:rFonts w:eastAsiaTheme="minorEastAsia"/>
                <w:noProof/>
                <w:sz w:val="24"/>
                <w:szCs w:val="24"/>
                <w:lang w:val="en-US" w:eastAsia="en-US"/>
              </w:rPr>
              <w:tab/>
            </w:r>
            <w:r w:rsidR="00B82A4D" w:rsidRPr="00B82A4D">
              <w:rPr>
                <w:rStyle w:val="Hipervnculo"/>
                <w:noProof/>
                <w:sz w:val="24"/>
                <w:szCs w:val="24"/>
              </w:rPr>
              <w:t>Desviaciones de los pronósticos fiscales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_Toc16519884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8</w:t>
            </w:r>
            <w:r w:rsidR="00B82A4D" w:rsidRPr="00B82A4D">
              <w:rPr>
                <w:noProof/>
                <w:webHidden/>
                <w:sz w:val="24"/>
                <w:szCs w:val="24"/>
              </w:rPr>
              <w:fldChar w:fldCharType="end"/>
            </w:r>
          </w:hyperlink>
        </w:p>
        <w:p w14:paraId="0E4F58BC" w14:textId="2EA89A7B" w:rsidR="00B82A4D" w:rsidRPr="00B82A4D" w:rsidRDefault="00000000">
          <w:pPr>
            <w:pStyle w:val="TDC2"/>
            <w:rPr>
              <w:rFonts w:eastAsiaTheme="minorEastAsia"/>
              <w:noProof/>
              <w:sz w:val="24"/>
              <w:szCs w:val="24"/>
              <w:lang w:val="en-US" w:eastAsia="en-US"/>
            </w:rPr>
          </w:pPr>
          <w:hyperlink w:anchor="_Toc16519885" w:history="1">
            <w:r w:rsidR="00B82A4D" w:rsidRPr="00B82A4D">
              <w:rPr>
                <w:rStyle w:val="Hipervnculo"/>
                <w:noProof/>
                <w:sz w:val="24"/>
                <w:szCs w:val="24"/>
              </w:rPr>
              <w:t>1.4.</w:t>
            </w:r>
            <w:r w:rsidR="00B82A4D" w:rsidRPr="00B82A4D">
              <w:rPr>
                <w:rFonts w:eastAsiaTheme="minorEastAsia"/>
                <w:noProof/>
                <w:sz w:val="24"/>
                <w:szCs w:val="24"/>
                <w:lang w:val="en-US" w:eastAsia="en-US"/>
              </w:rPr>
              <w:tab/>
            </w:r>
            <w:r w:rsidR="00B82A4D" w:rsidRPr="00B82A4D">
              <w:rPr>
                <w:rStyle w:val="Hipervnculo"/>
                <w:noProof/>
                <w:sz w:val="24"/>
                <w:szCs w:val="24"/>
              </w:rPr>
              <w:t>Riesgos y Desafíos para Guatemala en el medio plazo desde la óptica del FMI</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_Toc16519885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9</w:t>
            </w:r>
            <w:r w:rsidR="00B82A4D" w:rsidRPr="00B82A4D">
              <w:rPr>
                <w:noProof/>
                <w:webHidden/>
                <w:sz w:val="24"/>
                <w:szCs w:val="24"/>
              </w:rPr>
              <w:fldChar w:fldCharType="end"/>
            </w:r>
          </w:hyperlink>
        </w:p>
        <w:p w14:paraId="150BDDC5" w14:textId="178C8E8B" w:rsidR="00B82A4D" w:rsidRPr="00B82A4D" w:rsidRDefault="00000000">
          <w:pPr>
            <w:pStyle w:val="TDC2"/>
            <w:rPr>
              <w:rFonts w:eastAsiaTheme="minorEastAsia"/>
              <w:noProof/>
              <w:sz w:val="24"/>
              <w:szCs w:val="24"/>
              <w:lang w:val="en-US" w:eastAsia="en-US"/>
            </w:rPr>
          </w:pPr>
          <w:hyperlink w:anchor="_Toc16519886" w:history="1">
            <w:r w:rsidR="00B82A4D" w:rsidRPr="00B82A4D">
              <w:rPr>
                <w:rStyle w:val="Hipervnculo"/>
                <w:noProof/>
                <w:sz w:val="24"/>
                <w:szCs w:val="24"/>
              </w:rPr>
              <w:t>1.5.</w:t>
            </w:r>
            <w:r w:rsidR="00B82A4D" w:rsidRPr="00B82A4D">
              <w:rPr>
                <w:rFonts w:eastAsiaTheme="minorEastAsia"/>
                <w:noProof/>
                <w:sz w:val="24"/>
                <w:szCs w:val="24"/>
                <w:lang w:val="en-US" w:eastAsia="en-US"/>
              </w:rPr>
              <w:tab/>
            </w:r>
            <w:r w:rsidR="00B82A4D" w:rsidRPr="00B82A4D">
              <w:rPr>
                <w:rStyle w:val="Hipervnculo"/>
                <w:noProof/>
                <w:sz w:val="24"/>
                <w:szCs w:val="24"/>
              </w:rPr>
              <w:t>Riesgos Fiscales de la Deuda Pública</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_Toc16519886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10</w:t>
            </w:r>
            <w:r w:rsidR="00B82A4D" w:rsidRPr="00B82A4D">
              <w:rPr>
                <w:noProof/>
                <w:webHidden/>
                <w:sz w:val="24"/>
                <w:szCs w:val="24"/>
              </w:rPr>
              <w:fldChar w:fldCharType="end"/>
            </w:r>
          </w:hyperlink>
        </w:p>
        <w:p w14:paraId="03478E42" w14:textId="2498CB43" w:rsidR="00B82A4D" w:rsidRPr="00B82A4D" w:rsidRDefault="00000000">
          <w:pPr>
            <w:pStyle w:val="TDC3"/>
            <w:rPr>
              <w:rFonts w:eastAsiaTheme="minorEastAsia"/>
              <w:noProof/>
              <w:sz w:val="24"/>
              <w:szCs w:val="24"/>
              <w:lang w:val="en-US" w:eastAsia="en-US"/>
            </w:rPr>
          </w:pPr>
          <w:hyperlink w:anchor="_Toc16519887" w:history="1">
            <w:r w:rsidR="00B82A4D" w:rsidRPr="00B82A4D">
              <w:rPr>
                <w:rStyle w:val="Hipervnculo"/>
                <w:noProof/>
                <w:sz w:val="24"/>
                <w:szCs w:val="24"/>
              </w:rPr>
              <w:t>1.5.1.</w:t>
            </w:r>
            <w:r w:rsidR="00B82A4D" w:rsidRPr="00B82A4D">
              <w:rPr>
                <w:rFonts w:eastAsiaTheme="minorEastAsia"/>
                <w:noProof/>
                <w:sz w:val="24"/>
                <w:szCs w:val="24"/>
                <w:lang w:val="en-US" w:eastAsia="en-US"/>
              </w:rPr>
              <w:tab/>
            </w:r>
            <w:r w:rsidR="00B82A4D" w:rsidRPr="00B82A4D">
              <w:rPr>
                <w:rStyle w:val="Hipervnculo"/>
                <w:noProof/>
                <w:sz w:val="24"/>
                <w:szCs w:val="24"/>
              </w:rPr>
              <w:t>Perspectivas del endeudamiento</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_Toc16519887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10</w:t>
            </w:r>
            <w:r w:rsidR="00B82A4D" w:rsidRPr="00B82A4D">
              <w:rPr>
                <w:noProof/>
                <w:webHidden/>
                <w:sz w:val="24"/>
                <w:szCs w:val="24"/>
              </w:rPr>
              <w:fldChar w:fldCharType="end"/>
            </w:r>
          </w:hyperlink>
        </w:p>
        <w:p w14:paraId="6B293C96" w14:textId="51E00943" w:rsidR="00B82A4D" w:rsidRPr="00B82A4D" w:rsidRDefault="00000000">
          <w:pPr>
            <w:pStyle w:val="TDC3"/>
            <w:rPr>
              <w:rFonts w:eastAsiaTheme="minorEastAsia"/>
              <w:noProof/>
              <w:sz w:val="24"/>
              <w:szCs w:val="24"/>
              <w:lang w:val="en-US" w:eastAsia="en-US"/>
            </w:rPr>
          </w:pPr>
          <w:hyperlink w:anchor="_Toc16519888" w:history="1">
            <w:r w:rsidR="00B82A4D" w:rsidRPr="00B82A4D">
              <w:rPr>
                <w:rStyle w:val="Hipervnculo"/>
                <w:noProof/>
                <w:sz w:val="24"/>
                <w:szCs w:val="24"/>
              </w:rPr>
              <w:t>1.5.2.</w:t>
            </w:r>
            <w:r w:rsidR="00B82A4D" w:rsidRPr="00B82A4D">
              <w:rPr>
                <w:rFonts w:eastAsiaTheme="minorEastAsia"/>
                <w:noProof/>
                <w:sz w:val="24"/>
                <w:szCs w:val="24"/>
                <w:lang w:val="en-US" w:eastAsia="en-US"/>
              </w:rPr>
              <w:tab/>
            </w:r>
            <w:r w:rsidR="00B82A4D" w:rsidRPr="00B82A4D">
              <w:rPr>
                <w:rStyle w:val="Hipervnculo"/>
                <w:noProof/>
                <w:sz w:val="24"/>
                <w:szCs w:val="24"/>
              </w:rPr>
              <w:t>Análisis de Sostenibilidad de la Deuda</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_Toc16519888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16</w:t>
            </w:r>
            <w:r w:rsidR="00B82A4D" w:rsidRPr="00B82A4D">
              <w:rPr>
                <w:noProof/>
                <w:webHidden/>
                <w:sz w:val="24"/>
                <w:szCs w:val="24"/>
              </w:rPr>
              <w:fldChar w:fldCharType="end"/>
            </w:r>
          </w:hyperlink>
        </w:p>
        <w:p w14:paraId="280632B1" w14:textId="3D334D9E" w:rsidR="00B82A4D" w:rsidRPr="00B82A4D" w:rsidRDefault="00000000">
          <w:pPr>
            <w:pStyle w:val="TDC4"/>
            <w:rPr>
              <w:sz w:val="24"/>
              <w:szCs w:val="24"/>
              <w:lang w:val="en-US"/>
            </w:rPr>
          </w:pPr>
          <w:hyperlink w:anchor="_Toc16519889" w:history="1">
            <w:r w:rsidR="00B82A4D" w:rsidRPr="00B82A4D">
              <w:rPr>
                <w:rStyle w:val="Hipervnculo"/>
                <w:sz w:val="24"/>
                <w:szCs w:val="24"/>
              </w:rPr>
              <w:t>1.5.2.1.</w:t>
            </w:r>
            <w:r w:rsidR="00B82A4D" w:rsidRPr="00B82A4D">
              <w:rPr>
                <w:sz w:val="24"/>
                <w:szCs w:val="24"/>
                <w:lang w:val="en-US"/>
              </w:rPr>
              <w:tab/>
            </w:r>
            <w:r w:rsidR="00B82A4D" w:rsidRPr="00B82A4D">
              <w:rPr>
                <w:rStyle w:val="Hipervnculo"/>
                <w:sz w:val="24"/>
                <w:szCs w:val="24"/>
              </w:rPr>
              <w:t>Análisis de Mediano Plazo</w:t>
            </w:r>
            <w:r w:rsidR="00DD14C8">
              <w:rPr>
                <w:webHidden/>
                <w:sz w:val="24"/>
                <w:szCs w:val="24"/>
              </w:rPr>
              <w:t>………………………………………………………….</w:t>
            </w:r>
            <w:r w:rsidR="00B82A4D" w:rsidRPr="00B82A4D">
              <w:rPr>
                <w:webHidden/>
                <w:sz w:val="24"/>
                <w:szCs w:val="24"/>
              </w:rPr>
              <w:fldChar w:fldCharType="begin"/>
            </w:r>
            <w:r w:rsidR="00B82A4D" w:rsidRPr="00B82A4D">
              <w:rPr>
                <w:webHidden/>
                <w:sz w:val="24"/>
                <w:szCs w:val="24"/>
              </w:rPr>
              <w:instrText xml:space="preserve"> PAGEREF _Toc16519889 \h </w:instrText>
            </w:r>
            <w:r w:rsidR="00B82A4D" w:rsidRPr="00B82A4D">
              <w:rPr>
                <w:webHidden/>
                <w:sz w:val="24"/>
                <w:szCs w:val="24"/>
              </w:rPr>
            </w:r>
            <w:r w:rsidR="00B82A4D" w:rsidRPr="00B82A4D">
              <w:rPr>
                <w:webHidden/>
                <w:sz w:val="24"/>
                <w:szCs w:val="24"/>
              </w:rPr>
              <w:fldChar w:fldCharType="separate"/>
            </w:r>
            <w:r w:rsidR="004B2A60">
              <w:rPr>
                <w:webHidden/>
                <w:sz w:val="24"/>
                <w:szCs w:val="24"/>
              </w:rPr>
              <w:t>16</w:t>
            </w:r>
            <w:r w:rsidR="00B82A4D" w:rsidRPr="00B82A4D">
              <w:rPr>
                <w:webHidden/>
                <w:sz w:val="24"/>
                <w:szCs w:val="24"/>
              </w:rPr>
              <w:fldChar w:fldCharType="end"/>
            </w:r>
          </w:hyperlink>
        </w:p>
        <w:p w14:paraId="10D385F2" w14:textId="444BCCE9" w:rsidR="00B82A4D" w:rsidRPr="00B82A4D" w:rsidRDefault="00000000">
          <w:pPr>
            <w:pStyle w:val="TDC4"/>
            <w:rPr>
              <w:sz w:val="24"/>
              <w:szCs w:val="24"/>
              <w:lang w:val="en-US"/>
            </w:rPr>
          </w:pPr>
          <w:hyperlink w:anchor="_Toc16519890" w:history="1">
            <w:r w:rsidR="00B82A4D" w:rsidRPr="00B82A4D">
              <w:rPr>
                <w:rStyle w:val="Hipervnculo"/>
                <w:sz w:val="24"/>
                <w:szCs w:val="24"/>
              </w:rPr>
              <w:t>1.5.2.2.</w:t>
            </w:r>
            <w:r w:rsidR="00B82A4D" w:rsidRPr="00B82A4D">
              <w:rPr>
                <w:sz w:val="24"/>
                <w:szCs w:val="24"/>
                <w:lang w:val="en-US"/>
              </w:rPr>
              <w:tab/>
            </w:r>
            <w:r w:rsidR="00B82A4D" w:rsidRPr="00B82A4D">
              <w:rPr>
                <w:rStyle w:val="Hipervnculo"/>
                <w:sz w:val="24"/>
                <w:szCs w:val="24"/>
              </w:rPr>
              <w:t>Análisis de Largo Plazo</w:t>
            </w:r>
            <w:r w:rsidR="00DD14C8">
              <w:rPr>
                <w:webHidden/>
                <w:sz w:val="24"/>
                <w:szCs w:val="24"/>
              </w:rPr>
              <w:t>……………………………………………………………..</w:t>
            </w:r>
            <w:r w:rsidR="00B82A4D" w:rsidRPr="00B82A4D">
              <w:rPr>
                <w:webHidden/>
                <w:sz w:val="24"/>
                <w:szCs w:val="24"/>
              </w:rPr>
              <w:fldChar w:fldCharType="begin"/>
            </w:r>
            <w:r w:rsidR="00B82A4D" w:rsidRPr="00B82A4D">
              <w:rPr>
                <w:webHidden/>
                <w:sz w:val="24"/>
                <w:szCs w:val="24"/>
              </w:rPr>
              <w:instrText xml:space="preserve"> PAGEREF _Toc16519890 \h </w:instrText>
            </w:r>
            <w:r w:rsidR="00B82A4D" w:rsidRPr="00B82A4D">
              <w:rPr>
                <w:webHidden/>
                <w:sz w:val="24"/>
                <w:szCs w:val="24"/>
              </w:rPr>
            </w:r>
            <w:r w:rsidR="00B82A4D" w:rsidRPr="00B82A4D">
              <w:rPr>
                <w:webHidden/>
                <w:sz w:val="24"/>
                <w:szCs w:val="24"/>
              </w:rPr>
              <w:fldChar w:fldCharType="separate"/>
            </w:r>
            <w:r w:rsidR="004B2A60">
              <w:rPr>
                <w:webHidden/>
                <w:sz w:val="24"/>
                <w:szCs w:val="24"/>
              </w:rPr>
              <w:t>21</w:t>
            </w:r>
            <w:r w:rsidR="00B82A4D" w:rsidRPr="00B82A4D">
              <w:rPr>
                <w:webHidden/>
                <w:sz w:val="24"/>
                <w:szCs w:val="24"/>
              </w:rPr>
              <w:fldChar w:fldCharType="end"/>
            </w:r>
          </w:hyperlink>
        </w:p>
        <w:p w14:paraId="1DC65FFF" w14:textId="5943E2A7" w:rsidR="00B82A4D" w:rsidRPr="00B82A4D" w:rsidRDefault="00000000">
          <w:pPr>
            <w:pStyle w:val="TDC3"/>
            <w:rPr>
              <w:rFonts w:eastAsiaTheme="minorEastAsia"/>
              <w:noProof/>
              <w:sz w:val="24"/>
              <w:szCs w:val="24"/>
              <w:lang w:val="en-US" w:eastAsia="en-US"/>
            </w:rPr>
          </w:pPr>
          <w:hyperlink w:anchor="_Toc16519891" w:history="1">
            <w:r w:rsidR="00B82A4D" w:rsidRPr="00B82A4D">
              <w:rPr>
                <w:rStyle w:val="Hipervnculo"/>
                <w:noProof/>
                <w:sz w:val="24"/>
                <w:szCs w:val="24"/>
              </w:rPr>
              <w:t>1.5.3.</w:t>
            </w:r>
            <w:r w:rsidR="00B82A4D" w:rsidRPr="00B82A4D">
              <w:rPr>
                <w:rFonts w:eastAsiaTheme="minorEastAsia"/>
                <w:noProof/>
                <w:sz w:val="24"/>
                <w:szCs w:val="24"/>
                <w:lang w:val="en-US" w:eastAsia="en-US"/>
              </w:rPr>
              <w:tab/>
            </w:r>
            <w:r w:rsidR="00B82A4D" w:rsidRPr="00B82A4D">
              <w:rPr>
                <w:rStyle w:val="Hipervnculo"/>
                <w:noProof/>
                <w:sz w:val="24"/>
                <w:szCs w:val="24"/>
              </w:rPr>
              <w:t>Aspectos generales para la mitigación</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_Toc16519891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22</w:t>
            </w:r>
            <w:r w:rsidR="00B82A4D" w:rsidRPr="00B82A4D">
              <w:rPr>
                <w:noProof/>
                <w:webHidden/>
                <w:sz w:val="24"/>
                <w:szCs w:val="24"/>
              </w:rPr>
              <w:fldChar w:fldCharType="end"/>
            </w:r>
          </w:hyperlink>
        </w:p>
        <w:p w14:paraId="5E5D6D43" w14:textId="6A62D239" w:rsidR="00B82A4D" w:rsidRPr="00B82A4D" w:rsidRDefault="00000000">
          <w:pPr>
            <w:pStyle w:val="TDC2"/>
            <w:rPr>
              <w:rFonts w:eastAsiaTheme="minorEastAsia"/>
              <w:noProof/>
              <w:sz w:val="24"/>
              <w:szCs w:val="24"/>
              <w:lang w:val="en-US" w:eastAsia="en-US"/>
            </w:rPr>
          </w:pPr>
          <w:hyperlink w:anchor="_Toc16519892" w:history="1">
            <w:r w:rsidR="00B82A4D" w:rsidRPr="00B82A4D">
              <w:rPr>
                <w:rStyle w:val="Hipervnculo"/>
                <w:noProof/>
                <w:sz w:val="24"/>
                <w:szCs w:val="24"/>
              </w:rPr>
              <w:t>1.6.</w:t>
            </w:r>
            <w:r w:rsidR="00B82A4D" w:rsidRPr="00B82A4D">
              <w:rPr>
                <w:rFonts w:eastAsiaTheme="minorEastAsia"/>
                <w:noProof/>
                <w:sz w:val="24"/>
                <w:szCs w:val="24"/>
                <w:lang w:val="en-US" w:eastAsia="en-US"/>
              </w:rPr>
              <w:tab/>
            </w:r>
            <w:r w:rsidR="00B82A4D" w:rsidRPr="00B82A4D">
              <w:rPr>
                <w:rStyle w:val="Hipervnculo"/>
                <w:noProof/>
                <w:sz w:val="24"/>
                <w:szCs w:val="24"/>
              </w:rPr>
              <w:t>Riesgo ante la no aprobación del Proyecto de Presupuesto 2020</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_Toc16519892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23</w:t>
            </w:r>
            <w:r w:rsidR="00B82A4D" w:rsidRPr="00B82A4D">
              <w:rPr>
                <w:noProof/>
                <w:webHidden/>
                <w:sz w:val="24"/>
                <w:szCs w:val="24"/>
              </w:rPr>
              <w:fldChar w:fldCharType="end"/>
            </w:r>
          </w:hyperlink>
        </w:p>
        <w:p w14:paraId="413582F3" w14:textId="4C066403" w:rsidR="00B82A4D" w:rsidRPr="00B82A4D" w:rsidRDefault="00000000">
          <w:pPr>
            <w:pStyle w:val="TDC3"/>
            <w:rPr>
              <w:rFonts w:eastAsiaTheme="minorEastAsia"/>
              <w:noProof/>
              <w:sz w:val="24"/>
              <w:szCs w:val="24"/>
              <w:lang w:val="en-US" w:eastAsia="en-US"/>
            </w:rPr>
          </w:pPr>
          <w:hyperlink w:anchor="_Toc16519893" w:history="1">
            <w:r w:rsidR="00B82A4D" w:rsidRPr="00B82A4D">
              <w:rPr>
                <w:rStyle w:val="Hipervnculo"/>
                <w:noProof/>
                <w:sz w:val="24"/>
                <w:szCs w:val="24"/>
              </w:rPr>
              <w:t>1.6.1.</w:t>
            </w:r>
            <w:r w:rsidR="00B82A4D" w:rsidRPr="00B82A4D">
              <w:rPr>
                <w:rFonts w:eastAsiaTheme="minorEastAsia"/>
                <w:noProof/>
                <w:sz w:val="24"/>
                <w:szCs w:val="24"/>
                <w:lang w:val="en-US" w:eastAsia="en-US"/>
              </w:rPr>
              <w:tab/>
            </w:r>
            <w:r w:rsidR="00B82A4D" w:rsidRPr="00B82A4D">
              <w:rPr>
                <w:rStyle w:val="Hipervnculo"/>
                <w:noProof/>
                <w:sz w:val="24"/>
                <w:szCs w:val="24"/>
              </w:rPr>
              <w:t>Importancia Macroeconómica del Proyecto de Presupuesto 2020</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_Toc16519893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23</w:t>
            </w:r>
            <w:r w:rsidR="00B82A4D" w:rsidRPr="00B82A4D">
              <w:rPr>
                <w:noProof/>
                <w:webHidden/>
                <w:sz w:val="24"/>
                <w:szCs w:val="24"/>
              </w:rPr>
              <w:fldChar w:fldCharType="end"/>
            </w:r>
          </w:hyperlink>
        </w:p>
        <w:p w14:paraId="3CED756D" w14:textId="6B14B3ED" w:rsidR="00B82A4D" w:rsidRPr="00B82A4D" w:rsidRDefault="00000000">
          <w:pPr>
            <w:pStyle w:val="TDC3"/>
            <w:rPr>
              <w:rFonts w:eastAsiaTheme="minorEastAsia"/>
              <w:noProof/>
              <w:sz w:val="24"/>
              <w:szCs w:val="24"/>
              <w:lang w:val="en-US" w:eastAsia="en-US"/>
            </w:rPr>
          </w:pPr>
          <w:hyperlink w:anchor="_Toc16519894" w:history="1">
            <w:r w:rsidR="00B82A4D" w:rsidRPr="00B82A4D">
              <w:rPr>
                <w:rStyle w:val="Hipervnculo"/>
                <w:noProof/>
                <w:sz w:val="24"/>
                <w:szCs w:val="24"/>
              </w:rPr>
              <w:t>1.6.2.</w:t>
            </w:r>
            <w:r w:rsidR="00B82A4D" w:rsidRPr="00B82A4D">
              <w:rPr>
                <w:rFonts w:eastAsiaTheme="minorEastAsia"/>
                <w:noProof/>
                <w:sz w:val="24"/>
                <w:szCs w:val="24"/>
                <w:lang w:val="en-US" w:eastAsia="en-US"/>
              </w:rPr>
              <w:tab/>
            </w:r>
            <w:r w:rsidR="00B82A4D" w:rsidRPr="00B82A4D">
              <w:rPr>
                <w:rStyle w:val="Hipervnculo"/>
                <w:noProof/>
                <w:sz w:val="24"/>
                <w:szCs w:val="24"/>
              </w:rPr>
              <w:t>Efectos de la no Aprobación del Proyecto de Presupuesto 2020</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_Toc16519894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24</w:t>
            </w:r>
            <w:r w:rsidR="00B82A4D" w:rsidRPr="00B82A4D">
              <w:rPr>
                <w:noProof/>
                <w:webHidden/>
                <w:sz w:val="24"/>
                <w:szCs w:val="24"/>
              </w:rPr>
              <w:fldChar w:fldCharType="end"/>
            </w:r>
          </w:hyperlink>
        </w:p>
        <w:p w14:paraId="7CBEA592" w14:textId="164DAB04" w:rsidR="00B82A4D" w:rsidRPr="00B82A4D" w:rsidRDefault="00000000">
          <w:pPr>
            <w:pStyle w:val="TDC1"/>
            <w:rPr>
              <w:rFonts w:eastAsiaTheme="minorEastAsia"/>
              <w:noProof/>
              <w:sz w:val="24"/>
              <w:szCs w:val="24"/>
              <w:lang w:val="en-US" w:eastAsia="en-US"/>
            </w:rPr>
          </w:pPr>
          <w:hyperlink w:anchor="_Toc16519895" w:history="1">
            <w:r w:rsidR="00B82A4D" w:rsidRPr="00B82A4D">
              <w:rPr>
                <w:rStyle w:val="Hipervnculo"/>
                <w:noProof/>
                <w:sz w:val="24"/>
                <w:szCs w:val="24"/>
              </w:rPr>
              <w:t>2.</w:t>
            </w:r>
            <w:r w:rsidR="00B82A4D" w:rsidRPr="00B82A4D">
              <w:rPr>
                <w:rFonts w:eastAsiaTheme="minorEastAsia"/>
                <w:noProof/>
                <w:sz w:val="24"/>
                <w:szCs w:val="24"/>
                <w:lang w:val="en-US" w:eastAsia="en-US"/>
              </w:rPr>
              <w:tab/>
            </w:r>
            <w:r w:rsidR="00B82A4D" w:rsidRPr="00B82A4D">
              <w:rPr>
                <w:rStyle w:val="Hipervnculo"/>
                <w:noProof/>
                <w:sz w:val="24"/>
                <w:szCs w:val="24"/>
              </w:rPr>
              <w:t>Riesgos fiscales Específicos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_Toc16519895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25</w:t>
            </w:r>
            <w:r w:rsidR="00B82A4D" w:rsidRPr="00B82A4D">
              <w:rPr>
                <w:noProof/>
                <w:webHidden/>
                <w:sz w:val="24"/>
                <w:szCs w:val="24"/>
              </w:rPr>
              <w:fldChar w:fldCharType="end"/>
            </w:r>
          </w:hyperlink>
        </w:p>
        <w:p w14:paraId="38E2BD1D" w14:textId="5B950C72" w:rsidR="00B82A4D" w:rsidRPr="00B82A4D" w:rsidRDefault="00000000">
          <w:pPr>
            <w:pStyle w:val="TDC2"/>
            <w:rPr>
              <w:rFonts w:eastAsiaTheme="minorEastAsia"/>
              <w:noProof/>
              <w:sz w:val="24"/>
              <w:szCs w:val="24"/>
              <w:lang w:val="en-US" w:eastAsia="en-US"/>
            </w:rPr>
          </w:pPr>
          <w:hyperlink w:anchor="_Toc16519896" w:history="1">
            <w:r w:rsidR="00B82A4D" w:rsidRPr="00B82A4D">
              <w:rPr>
                <w:rStyle w:val="Hipervnculo"/>
                <w:noProof/>
                <w:sz w:val="24"/>
                <w:szCs w:val="24"/>
              </w:rPr>
              <w:t>2.1.</w:t>
            </w:r>
            <w:r w:rsidR="00B82A4D" w:rsidRPr="00B82A4D">
              <w:rPr>
                <w:rFonts w:eastAsiaTheme="minorEastAsia"/>
                <w:noProof/>
                <w:sz w:val="24"/>
                <w:szCs w:val="24"/>
                <w:lang w:val="en-US" w:eastAsia="en-US"/>
              </w:rPr>
              <w:tab/>
            </w:r>
            <w:r w:rsidR="00B82A4D" w:rsidRPr="00B82A4D">
              <w:rPr>
                <w:rStyle w:val="Hipervnculo"/>
                <w:noProof/>
                <w:sz w:val="24"/>
                <w:szCs w:val="24"/>
              </w:rPr>
              <w:t>Riesgo de desastres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_Toc16519896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25</w:t>
            </w:r>
            <w:r w:rsidR="00B82A4D" w:rsidRPr="00B82A4D">
              <w:rPr>
                <w:noProof/>
                <w:webHidden/>
                <w:sz w:val="24"/>
                <w:szCs w:val="24"/>
              </w:rPr>
              <w:fldChar w:fldCharType="end"/>
            </w:r>
          </w:hyperlink>
        </w:p>
        <w:p w14:paraId="6D7DCABD" w14:textId="4D866072" w:rsidR="00B82A4D" w:rsidRPr="00B82A4D" w:rsidRDefault="00000000">
          <w:pPr>
            <w:pStyle w:val="TDC3"/>
            <w:rPr>
              <w:rFonts w:eastAsiaTheme="minorEastAsia"/>
              <w:noProof/>
              <w:sz w:val="24"/>
              <w:szCs w:val="24"/>
              <w:lang w:val="en-US" w:eastAsia="en-US"/>
            </w:rPr>
          </w:pPr>
          <w:hyperlink w:anchor="_Toc16519897" w:history="1">
            <w:r w:rsidR="00B82A4D" w:rsidRPr="00B82A4D">
              <w:rPr>
                <w:rStyle w:val="Hipervnculo"/>
                <w:noProof/>
                <w:sz w:val="24"/>
                <w:szCs w:val="24"/>
              </w:rPr>
              <w:t>2.1.1.</w:t>
            </w:r>
            <w:r w:rsidR="00B82A4D" w:rsidRPr="00B82A4D">
              <w:rPr>
                <w:rFonts w:eastAsiaTheme="minorEastAsia"/>
                <w:noProof/>
                <w:sz w:val="24"/>
                <w:szCs w:val="24"/>
                <w:lang w:val="en-US" w:eastAsia="en-US"/>
              </w:rPr>
              <w:tab/>
            </w:r>
            <w:r w:rsidR="00B82A4D" w:rsidRPr="00B82A4D">
              <w:rPr>
                <w:rStyle w:val="Hipervnculo"/>
                <w:noProof/>
                <w:sz w:val="24"/>
                <w:szCs w:val="24"/>
              </w:rPr>
              <w:t>Estrategia Financiera Ante el Riesgo de Desastres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_Toc16519897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26</w:t>
            </w:r>
            <w:r w:rsidR="00B82A4D" w:rsidRPr="00B82A4D">
              <w:rPr>
                <w:noProof/>
                <w:webHidden/>
                <w:sz w:val="24"/>
                <w:szCs w:val="24"/>
              </w:rPr>
              <w:fldChar w:fldCharType="end"/>
            </w:r>
          </w:hyperlink>
        </w:p>
        <w:p w14:paraId="0DD7A043" w14:textId="1CA90F35" w:rsidR="00B82A4D" w:rsidRPr="00B82A4D" w:rsidRDefault="00000000">
          <w:pPr>
            <w:pStyle w:val="TDC3"/>
            <w:rPr>
              <w:rFonts w:eastAsiaTheme="minorEastAsia"/>
              <w:noProof/>
              <w:sz w:val="24"/>
              <w:szCs w:val="24"/>
              <w:lang w:val="en-US" w:eastAsia="en-US"/>
            </w:rPr>
          </w:pPr>
          <w:hyperlink w:anchor="_Toc16519898" w:history="1">
            <w:r w:rsidR="00B82A4D" w:rsidRPr="00B82A4D">
              <w:rPr>
                <w:rStyle w:val="Hipervnculo"/>
                <w:noProof/>
                <w:sz w:val="24"/>
                <w:szCs w:val="24"/>
              </w:rPr>
              <w:t>2.1.2.</w:t>
            </w:r>
            <w:r w:rsidR="00B82A4D" w:rsidRPr="00B82A4D">
              <w:rPr>
                <w:rFonts w:eastAsiaTheme="minorEastAsia"/>
                <w:noProof/>
                <w:sz w:val="24"/>
                <w:szCs w:val="24"/>
                <w:lang w:val="en-US" w:eastAsia="en-US"/>
              </w:rPr>
              <w:tab/>
            </w:r>
            <w:r w:rsidR="00B82A4D" w:rsidRPr="00B82A4D">
              <w:rPr>
                <w:rStyle w:val="Hipervnculo"/>
                <w:noProof/>
                <w:sz w:val="24"/>
                <w:szCs w:val="24"/>
              </w:rPr>
              <w:t>Avances en la implementación de la Estrategia Financiera Ante el Riesgo de Desastres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_Toc16519898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27</w:t>
            </w:r>
            <w:r w:rsidR="00B82A4D" w:rsidRPr="00B82A4D">
              <w:rPr>
                <w:noProof/>
                <w:webHidden/>
                <w:sz w:val="24"/>
                <w:szCs w:val="24"/>
              </w:rPr>
              <w:fldChar w:fldCharType="end"/>
            </w:r>
          </w:hyperlink>
        </w:p>
        <w:p w14:paraId="242BD786" w14:textId="030F9B46" w:rsidR="00B82A4D" w:rsidRPr="00B82A4D" w:rsidRDefault="00000000">
          <w:pPr>
            <w:pStyle w:val="TDC4"/>
            <w:rPr>
              <w:sz w:val="24"/>
              <w:szCs w:val="24"/>
              <w:lang w:val="en-US"/>
            </w:rPr>
          </w:pPr>
          <w:hyperlink w:anchor="_Toc16519899" w:history="1">
            <w:r w:rsidR="00B82A4D" w:rsidRPr="00B82A4D">
              <w:rPr>
                <w:rStyle w:val="Hipervnculo"/>
                <w:sz w:val="24"/>
                <w:szCs w:val="24"/>
              </w:rPr>
              <w:t>2.1.2.1.</w:t>
            </w:r>
            <w:r w:rsidR="00B82A4D" w:rsidRPr="00B82A4D">
              <w:rPr>
                <w:sz w:val="24"/>
                <w:szCs w:val="24"/>
                <w:lang w:val="en-US"/>
              </w:rPr>
              <w:tab/>
            </w:r>
            <w:r w:rsidR="00B82A4D" w:rsidRPr="00B82A4D">
              <w:rPr>
                <w:rStyle w:val="Hipervnculo"/>
                <w:sz w:val="24"/>
                <w:szCs w:val="24"/>
              </w:rPr>
              <w:t>Conocimiento del Riesgo</w:t>
            </w:r>
            <w:r w:rsidR="00DD14C8">
              <w:rPr>
                <w:webHidden/>
                <w:sz w:val="24"/>
                <w:szCs w:val="24"/>
              </w:rPr>
              <w:t>……………………………………………………………</w:t>
            </w:r>
            <w:r w:rsidR="00B82A4D" w:rsidRPr="00B82A4D">
              <w:rPr>
                <w:webHidden/>
                <w:sz w:val="24"/>
                <w:szCs w:val="24"/>
              </w:rPr>
              <w:fldChar w:fldCharType="begin"/>
            </w:r>
            <w:r w:rsidR="00B82A4D" w:rsidRPr="00B82A4D">
              <w:rPr>
                <w:webHidden/>
                <w:sz w:val="24"/>
                <w:szCs w:val="24"/>
              </w:rPr>
              <w:instrText xml:space="preserve"> PAGEREF _Toc16519899 \h </w:instrText>
            </w:r>
            <w:r w:rsidR="00B82A4D" w:rsidRPr="00B82A4D">
              <w:rPr>
                <w:webHidden/>
                <w:sz w:val="24"/>
                <w:szCs w:val="24"/>
              </w:rPr>
            </w:r>
            <w:r w:rsidR="00B82A4D" w:rsidRPr="00B82A4D">
              <w:rPr>
                <w:webHidden/>
                <w:sz w:val="24"/>
                <w:szCs w:val="24"/>
              </w:rPr>
              <w:fldChar w:fldCharType="separate"/>
            </w:r>
            <w:r w:rsidR="004B2A60">
              <w:rPr>
                <w:webHidden/>
                <w:sz w:val="24"/>
                <w:szCs w:val="24"/>
              </w:rPr>
              <w:t>27</w:t>
            </w:r>
            <w:r w:rsidR="00B82A4D" w:rsidRPr="00B82A4D">
              <w:rPr>
                <w:webHidden/>
                <w:sz w:val="24"/>
                <w:szCs w:val="24"/>
              </w:rPr>
              <w:fldChar w:fldCharType="end"/>
            </w:r>
          </w:hyperlink>
        </w:p>
        <w:p w14:paraId="40F7F776" w14:textId="767CCCAB" w:rsidR="00B82A4D" w:rsidRPr="00B82A4D" w:rsidRDefault="00000000">
          <w:pPr>
            <w:pStyle w:val="TDC4"/>
            <w:rPr>
              <w:sz w:val="24"/>
              <w:szCs w:val="24"/>
              <w:lang w:val="en-US"/>
            </w:rPr>
          </w:pPr>
          <w:hyperlink w:anchor="_Toc16519900" w:history="1">
            <w:r w:rsidR="00B82A4D" w:rsidRPr="00B82A4D">
              <w:rPr>
                <w:rStyle w:val="Hipervnculo"/>
                <w:sz w:val="24"/>
                <w:szCs w:val="24"/>
              </w:rPr>
              <w:t>2.1.2.2.</w:t>
            </w:r>
            <w:r w:rsidR="00B82A4D" w:rsidRPr="00B82A4D">
              <w:rPr>
                <w:sz w:val="24"/>
                <w:szCs w:val="24"/>
                <w:lang w:val="en-US"/>
              </w:rPr>
              <w:tab/>
            </w:r>
            <w:r w:rsidR="00B82A4D" w:rsidRPr="00B82A4D">
              <w:rPr>
                <w:rStyle w:val="Hipervnculo"/>
                <w:sz w:val="24"/>
                <w:szCs w:val="24"/>
              </w:rPr>
              <w:t>Gestión Financiera ante el Riesgo de Desastres</w:t>
            </w:r>
            <w:r w:rsidR="00DD14C8">
              <w:rPr>
                <w:webHidden/>
                <w:sz w:val="24"/>
                <w:szCs w:val="24"/>
              </w:rPr>
              <w:t>…………………………………….</w:t>
            </w:r>
            <w:r w:rsidR="00B82A4D" w:rsidRPr="00B82A4D">
              <w:rPr>
                <w:webHidden/>
                <w:sz w:val="24"/>
                <w:szCs w:val="24"/>
              </w:rPr>
              <w:fldChar w:fldCharType="begin"/>
            </w:r>
            <w:r w:rsidR="00B82A4D" w:rsidRPr="00B82A4D">
              <w:rPr>
                <w:webHidden/>
                <w:sz w:val="24"/>
                <w:szCs w:val="24"/>
              </w:rPr>
              <w:instrText xml:space="preserve"> PAGEREF _Toc16519900 \h </w:instrText>
            </w:r>
            <w:r w:rsidR="00B82A4D" w:rsidRPr="00B82A4D">
              <w:rPr>
                <w:webHidden/>
                <w:sz w:val="24"/>
                <w:szCs w:val="24"/>
              </w:rPr>
            </w:r>
            <w:r w:rsidR="00B82A4D" w:rsidRPr="00B82A4D">
              <w:rPr>
                <w:webHidden/>
                <w:sz w:val="24"/>
                <w:szCs w:val="24"/>
              </w:rPr>
              <w:fldChar w:fldCharType="separate"/>
            </w:r>
            <w:r w:rsidR="004B2A60">
              <w:rPr>
                <w:webHidden/>
                <w:sz w:val="24"/>
                <w:szCs w:val="24"/>
              </w:rPr>
              <w:t>29</w:t>
            </w:r>
            <w:r w:rsidR="00B82A4D" w:rsidRPr="00B82A4D">
              <w:rPr>
                <w:webHidden/>
                <w:sz w:val="24"/>
                <w:szCs w:val="24"/>
              </w:rPr>
              <w:fldChar w:fldCharType="end"/>
            </w:r>
          </w:hyperlink>
        </w:p>
        <w:p w14:paraId="03DD4429" w14:textId="0EECDAC2" w:rsidR="00B82A4D" w:rsidRPr="00B82A4D" w:rsidRDefault="00000000">
          <w:pPr>
            <w:pStyle w:val="TDC5"/>
            <w:tabs>
              <w:tab w:val="left" w:pos="2091"/>
              <w:tab w:val="right" w:leader="dot" w:pos="9962"/>
            </w:tabs>
            <w:rPr>
              <w:rFonts w:ascii="Times New Roman" w:hAnsi="Times New Roman"/>
              <w:noProof/>
              <w:lang w:val="en-US"/>
            </w:rPr>
          </w:pPr>
          <w:hyperlink w:anchor="_Toc16519901" w:history="1">
            <w:r w:rsidR="00B82A4D" w:rsidRPr="00B82A4D">
              <w:rPr>
                <w:rStyle w:val="Hipervnculo"/>
                <w:rFonts w:ascii="Times New Roman" w:hAnsi="Times New Roman"/>
                <w:noProof/>
              </w:rPr>
              <w:t>2.1.2.2.1.</w:t>
            </w:r>
            <w:r w:rsidR="00B82A4D" w:rsidRPr="00B82A4D">
              <w:rPr>
                <w:rFonts w:ascii="Times New Roman" w:hAnsi="Times New Roman"/>
                <w:noProof/>
                <w:lang w:val="en-US"/>
              </w:rPr>
              <w:tab/>
            </w:r>
            <w:r w:rsidR="00B82A4D" w:rsidRPr="00B82A4D">
              <w:rPr>
                <w:rStyle w:val="Hipervnculo"/>
                <w:rFonts w:ascii="Times New Roman" w:hAnsi="Times New Roman"/>
                <w:noProof/>
              </w:rPr>
              <w:t>Seguro paramétrico</w:t>
            </w:r>
            <w:r w:rsidR="00B82A4D" w:rsidRPr="00B82A4D">
              <w:rPr>
                <w:rFonts w:ascii="Times New Roman" w:hAnsi="Times New Roman"/>
                <w:noProof/>
                <w:webHidden/>
              </w:rPr>
              <w:tab/>
            </w:r>
            <w:r w:rsidR="00B82A4D" w:rsidRPr="00B82A4D">
              <w:rPr>
                <w:rFonts w:ascii="Times New Roman" w:hAnsi="Times New Roman"/>
                <w:noProof/>
                <w:webHidden/>
              </w:rPr>
              <w:fldChar w:fldCharType="begin"/>
            </w:r>
            <w:r w:rsidR="00B82A4D" w:rsidRPr="00B82A4D">
              <w:rPr>
                <w:rFonts w:ascii="Times New Roman" w:hAnsi="Times New Roman"/>
                <w:noProof/>
                <w:webHidden/>
              </w:rPr>
              <w:instrText xml:space="preserve"> PAGEREF _Toc16519901 \h </w:instrText>
            </w:r>
            <w:r w:rsidR="00B82A4D" w:rsidRPr="00B82A4D">
              <w:rPr>
                <w:rFonts w:ascii="Times New Roman" w:hAnsi="Times New Roman"/>
                <w:noProof/>
                <w:webHidden/>
              </w:rPr>
            </w:r>
            <w:r w:rsidR="00B82A4D" w:rsidRPr="00B82A4D">
              <w:rPr>
                <w:rFonts w:ascii="Times New Roman" w:hAnsi="Times New Roman"/>
                <w:noProof/>
                <w:webHidden/>
              </w:rPr>
              <w:fldChar w:fldCharType="separate"/>
            </w:r>
            <w:r w:rsidR="004B2A60">
              <w:rPr>
                <w:rFonts w:ascii="Times New Roman" w:hAnsi="Times New Roman"/>
                <w:noProof/>
                <w:webHidden/>
              </w:rPr>
              <w:t>29</w:t>
            </w:r>
            <w:r w:rsidR="00B82A4D" w:rsidRPr="00B82A4D">
              <w:rPr>
                <w:rFonts w:ascii="Times New Roman" w:hAnsi="Times New Roman"/>
                <w:noProof/>
                <w:webHidden/>
              </w:rPr>
              <w:fldChar w:fldCharType="end"/>
            </w:r>
          </w:hyperlink>
        </w:p>
        <w:p w14:paraId="5A8C87A6" w14:textId="67DE394D" w:rsidR="00B82A4D" w:rsidRPr="00B82A4D" w:rsidRDefault="00000000">
          <w:pPr>
            <w:pStyle w:val="TDC5"/>
            <w:tabs>
              <w:tab w:val="left" w:pos="2091"/>
              <w:tab w:val="right" w:leader="dot" w:pos="9962"/>
            </w:tabs>
            <w:rPr>
              <w:rFonts w:ascii="Times New Roman" w:hAnsi="Times New Roman"/>
              <w:noProof/>
              <w:lang w:val="en-US"/>
            </w:rPr>
          </w:pPr>
          <w:hyperlink w:anchor="_Toc16519902" w:history="1">
            <w:r w:rsidR="00B82A4D" w:rsidRPr="00B82A4D">
              <w:rPr>
                <w:rStyle w:val="Hipervnculo"/>
                <w:rFonts w:ascii="Times New Roman" w:hAnsi="Times New Roman"/>
                <w:noProof/>
              </w:rPr>
              <w:t>2.1.2.2.2.</w:t>
            </w:r>
            <w:r w:rsidR="00B82A4D" w:rsidRPr="00B82A4D">
              <w:rPr>
                <w:rFonts w:ascii="Times New Roman" w:hAnsi="Times New Roman"/>
                <w:noProof/>
                <w:lang w:val="en-US"/>
              </w:rPr>
              <w:tab/>
            </w:r>
            <w:r w:rsidR="00B82A4D" w:rsidRPr="00B82A4D">
              <w:rPr>
                <w:rStyle w:val="Hipervnculo"/>
                <w:rFonts w:ascii="Times New Roman" w:hAnsi="Times New Roman"/>
                <w:noProof/>
              </w:rPr>
              <w:t>Préstamo con desembolso diferido</w:t>
            </w:r>
            <w:r w:rsidR="00B82A4D" w:rsidRPr="00B82A4D">
              <w:rPr>
                <w:rFonts w:ascii="Times New Roman" w:hAnsi="Times New Roman"/>
                <w:noProof/>
                <w:webHidden/>
              </w:rPr>
              <w:tab/>
            </w:r>
            <w:r w:rsidR="00B82A4D" w:rsidRPr="00B82A4D">
              <w:rPr>
                <w:rFonts w:ascii="Times New Roman" w:hAnsi="Times New Roman"/>
                <w:noProof/>
                <w:webHidden/>
              </w:rPr>
              <w:fldChar w:fldCharType="begin"/>
            </w:r>
            <w:r w:rsidR="00B82A4D" w:rsidRPr="00B82A4D">
              <w:rPr>
                <w:rFonts w:ascii="Times New Roman" w:hAnsi="Times New Roman"/>
                <w:noProof/>
                <w:webHidden/>
              </w:rPr>
              <w:instrText xml:space="preserve"> PAGEREF _Toc16519902 \h </w:instrText>
            </w:r>
            <w:r w:rsidR="00B82A4D" w:rsidRPr="00B82A4D">
              <w:rPr>
                <w:rFonts w:ascii="Times New Roman" w:hAnsi="Times New Roman"/>
                <w:noProof/>
                <w:webHidden/>
              </w:rPr>
            </w:r>
            <w:r w:rsidR="00B82A4D" w:rsidRPr="00B82A4D">
              <w:rPr>
                <w:rFonts w:ascii="Times New Roman" w:hAnsi="Times New Roman"/>
                <w:noProof/>
                <w:webHidden/>
              </w:rPr>
              <w:fldChar w:fldCharType="separate"/>
            </w:r>
            <w:r w:rsidR="004B2A60">
              <w:rPr>
                <w:rFonts w:ascii="Times New Roman" w:hAnsi="Times New Roman"/>
                <w:noProof/>
                <w:webHidden/>
              </w:rPr>
              <w:t>30</w:t>
            </w:r>
            <w:r w:rsidR="00B82A4D" w:rsidRPr="00B82A4D">
              <w:rPr>
                <w:rFonts w:ascii="Times New Roman" w:hAnsi="Times New Roman"/>
                <w:noProof/>
                <w:webHidden/>
              </w:rPr>
              <w:fldChar w:fldCharType="end"/>
            </w:r>
          </w:hyperlink>
        </w:p>
        <w:p w14:paraId="5C3CD254" w14:textId="3A1269A7" w:rsidR="00B82A4D" w:rsidRPr="00B82A4D" w:rsidRDefault="00000000">
          <w:pPr>
            <w:pStyle w:val="TDC3"/>
            <w:rPr>
              <w:rFonts w:eastAsiaTheme="minorEastAsia"/>
              <w:noProof/>
              <w:sz w:val="24"/>
              <w:szCs w:val="24"/>
              <w:lang w:val="en-US" w:eastAsia="en-US"/>
            </w:rPr>
          </w:pPr>
          <w:hyperlink w:anchor="_Toc16519903" w:history="1">
            <w:r w:rsidR="00B82A4D" w:rsidRPr="00B82A4D">
              <w:rPr>
                <w:rStyle w:val="Hipervnculo"/>
                <w:noProof/>
                <w:sz w:val="24"/>
                <w:szCs w:val="24"/>
              </w:rPr>
              <w:t>2.1.3.</w:t>
            </w:r>
            <w:r w:rsidR="00B82A4D" w:rsidRPr="00B82A4D">
              <w:rPr>
                <w:rFonts w:eastAsiaTheme="minorEastAsia"/>
                <w:noProof/>
                <w:sz w:val="24"/>
                <w:szCs w:val="24"/>
                <w:lang w:val="en-US" w:eastAsia="en-US"/>
              </w:rPr>
              <w:tab/>
            </w:r>
            <w:r w:rsidR="00B82A4D" w:rsidRPr="00B82A4D">
              <w:rPr>
                <w:rStyle w:val="Hipervnculo"/>
                <w:noProof/>
                <w:sz w:val="24"/>
                <w:szCs w:val="24"/>
              </w:rPr>
              <w:t>Ahorros potenciales derivado de la incorporación de los nuevos instrumentos financieros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_Toc16519903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31</w:t>
            </w:r>
            <w:r w:rsidR="00B82A4D" w:rsidRPr="00B82A4D">
              <w:rPr>
                <w:noProof/>
                <w:webHidden/>
                <w:sz w:val="24"/>
                <w:szCs w:val="24"/>
              </w:rPr>
              <w:fldChar w:fldCharType="end"/>
            </w:r>
          </w:hyperlink>
        </w:p>
        <w:p w14:paraId="245DD75B" w14:textId="1CE2CBFF" w:rsidR="00B82A4D" w:rsidRPr="00B82A4D" w:rsidRDefault="00000000">
          <w:pPr>
            <w:pStyle w:val="TDC2"/>
            <w:rPr>
              <w:rFonts w:eastAsiaTheme="minorEastAsia"/>
              <w:noProof/>
              <w:sz w:val="24"/>
              <w:szCs w:val="24"/>
              <w:lang w:val="en-US" w:eastAsia="en-US"/>
            </w:rPr>
          </w:pPr>
          <w:hyperlink w:anchor="_Toc16519904" w:history="1">
            <w:r w:rsidR="00B82A4D" w:rsidRPr="00B82A4D">
              <w:rPr>
                <w:rStyle w:val="Hipervnculo"/>
                <w:noProof/>
                <w:sz w:val="24"/>
                <w:szCs w:val="24"/>
              </w:rPr>
              <w:t>2.2.</w:t>
            </w:r>
            <w:r w:rsidR="00B82A4D" w:rsidRPr="00B82A4D">
              <w:rPr>
                <w:rFonts w:eastAsiaTheme="minorEastAsia"/>
                <w:noProof/>
                <w:sz w:val="24"/>
                <w:szCs w:val="24"/>
                <w:lang w:val="en-US" w:eastAsia="en-US"/>
              </w:rPr>
              <w:tab/>
            </w:r>
            <w:r w:rsidR="00B82A4D" w:rsidRPr="00B82A4D">
              <w:rPr>
                <w:rStyle w:val="Hipervnculo"/>
                <w:noProof/>
                <w:sz w:val="24"/>
                <w:szCs w:val="24"/>
              </w:rPr>
              <w:t>Riesgos en los Sistemas de pensiones del Estado</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_Toc16519904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33</w:t>
            </w:r>
            <w:r w:rsidR="00B82A4D" w:rsidRPr="00B82A4D">
              <w:rPr>
                <w:noProof/>
                <w:webHidden/>
                <w:sz w:val="24"/>
                <w:szCs w:val="24"/>
              </w:rPr>
              <w:fldChar w:fldCharType="end"/>
            </w:r>
          </w:hyperlink>
        </w:p>
        <w:p w14:paraId="3F1B74AF" w14:textId="2241A0E9" w:rsidR="00B82A4D" w:rsidRPr="00B82A4D" w:rsidRDefault="00000000">
          <w:pPr>
            <w:pStyle w:val="TDC3"/>
            <w:rPr>
              <w:rFonts w:eastAsiaTheme="minorEastAsia"/>
              <w:noProof/>
              <w:sz w:val="24"/>
              <w:szCs w:val="24"/>
              <w:lang w:val="en-US" w:eastAsia="en-US"/>
            </w:rPr>
          </w:pPr>
          <w:hyperlink w:anchor="_Toc16519905" w:history="1">
            <w:r w:rsidR="00B82A4D" w:rsidRPr="00B82A4D">
              <w:rPr>
                <w:rStyle w:val="Hipervnculo"/>
                <w:noProof/>
                <w:sz w:val="24"/>
                <w:szCs w:val="24"/>
              </w:rPr>
              <w:t>2.2.1.</w:t>
            </w:r>
            <w:r w:rsidR="00B82A4D" w:rsidRPr="00B82A4D">
              <w:rPr>
                <w:rFonts w:eastAsiaTheme="minorEastAsia"/>
                <w:noProof/>
                <w:sz w:val="24"/>
                <w:szCs w:val="24"/>
                <w:lang w:val="en-US" w:eastAsia="en-US"/>
              </w:rPr>
              <w:tab/>
            </w:r>
            <w:r w:rsidR="00B82A4D" w:rsidRPr="00B82A4D">
              <w:rPr>
                <w:rStyle w:val="Hipervnculo"/>
                <w:noProof/>
                <w:sz w:val="24"/>
                <w:szCs w:val="24"/>
              </w:rPr>
              <w:t>Antecedentes del Sistema de Clases Pasivas Civiles del Estado</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_Toc16519905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33</w:t>
            </w:r>
            <w:r w:rsidR="00B82A4D" w:rsidRPr="00B82A4D">
              <w:rPr>
                <w:noProof/>
                <w:webHidden/>
                <w:sz w:val="24"/>
                <w:szCs w:val="24"/>
              </w:rPr>
              <w:fldChar w:fldCharType="end"/>
            </w:r>
          </w:hyperlink>
        </w:p>
        <w:p w14:paraId="1B582103" w14:textId="488659C2" w:rsidR="00B82A4D" w:rsidRPr="00B82A4D" w:rsidRDefault="00000000">
          <w:pPr>
            <w:pStyle w:val="TDC3"/>
            <w:rPr>
              <w:rFonts w:eastAsiaTheme="minorEastAsia"/>
              <w:noProof/>
              <w:sz w:val="24"/>
              <w:szCs w:val="24"/>
              <w:lang w:val="en-US" w:eastAsia="en-US"/>
            </w:rPr>
          </w:pPr>
          <w:hyperlink w:anchor="_Toc16519906" w:history="1">
            <w:r w:rsidR="00B82A4D" w:rsidRPr="00B82A4D">
              <w:rPr>
                <w:rStyle w:val="Hipervnculo"/>
                <w:noProof/>
                <w:sz w:val="24"/>
                <w:szCs w:val="24"/>
              </w:rPr>
              <w:t>2.2.2.</w:t>
            </w:r>
            <w:r w:rsidR="00B82A4D" w:rsidRPr="00B82A4D">
              <w:rPr>
                <w:rFonts w:eastAsiaTheme="minorEastAsia"/>
                <w:noProof/>
                <w:sz w:val="24"/>
                <w:szCs w:val="24"/>
                <w:lang w:val="en-US" w:eastAsia="en-US"/>
              </w:rPr>
              <w:tab/>
            </w:r>
            <w:r w:rsidR="00B82A4D" w:rsidRPr="00B82A4D">
              <w:rPr>
                <w:rStyle w:val="Hipervnculo"/>
                <w:noProof/>
                <w:sz w:val="24"/>
                <w:szCs w:val="24"/>
              </w:rPr>
              <w:t>Situación actual del Régimen de Clases Pasivas Civiles del Estado</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_Toc16519906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33</w:t>
            </w:r>
            <w:r w:rsidR="00B82A4D" w:rsidRPr="00B82A4D">
              <w:rPr>
                <w:noProof/>
                <w:webHidden/>
                <w:sz w:val="24"/>
                <w:szCs w:val="24"/>
              </w:rPr>
              <w:fldChar w:fldCharType="end"/>
            </w:r>
          </w:hyperlink>
        </w:p>
        <w:p w14:paraId="1EF735DA" w14:textId="3939615C" w:rsidR="00B82A4D" w:rsidRPr="00B82A4D" w:rsidRDefault="00000000">
          <w:pPr>
            <w:pStyle w:val="TDC3"/>
            <w:rPr>
              <w:rFonts w:eastAsiaTheme="minorEastAsia"/>
              <w:noProof/>
              <w:sz w:val="24"/>
              <w:szCs w:val="24"/>
              <w:lang w:val="en-US" w:eastAsia="en-US"/>
            </w:rPr>
          </w:pPr>
          <w:hyperlink w:anchor="_Toc16519907" w:history="1">
            <w:r w:rsidR="00B82A4D" w:rsidRPr="00B82A4D">
              <w:rPr>
                <w:rStyle w:val="Hipervnculo"/>
                <w:noProof/>
                <w:sz w:val="24"/>
                <w:szCs w:val="24"/>
              </w:rPr>
              <w:t>2.2.3.</w:t>
            </w:r>
            <w:r w:rsidR="00B82A4D" w:rsidRPr="00B82A4D">
              <w:rPr>
                <w:rFonts w:eastAsiaTheme="minorEastAsia"/>
                <w:noProof/>
                <w:sz w:val="24"/>
                <w:szCs w:val="24"/>
                <w:lang w:val="en-US" w:eastAsia="en-US"/>
              </w:rPr>
              <w:tab/>
            </w:r>
            <w:r w:rsidR="00B82A4D" w:rsidRPr="00B82A4D">
              <w:rPr>
                <w:rStyle w:val="Hipervnculo"/>
                <w:noProof/>
                <w:sz w:val="24"/>
                <w:szCs w:val="24"/>
              </w:rPr>
              <w:t>Flujos del Régimen de Clases Pasivas Civiles del Estado</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_Toc16519907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34</w:t>
            </w:r>
            <w:r w:rsidR="00B82A4D" w:rsidRPr="00B82A4D">
              <w:rPr>
                <w:noProof/>
                <w:webHidden/>
                <w:sz w:val="24"/>
                <w:szCs w:val="24"/>
              </w:rPr>
              <w:fldChar w:fldCharType="end"/>
            </w:r>
          </w:hyperlink>
        </w:p>
        <w:p w14:paraId="0CD9A3CC" w14:textId="0FB1D242" w:rsidR="00B82A4D" w:rsidRPr="00B82A4D" w:rsidRDefault="00000000">
          <w:pPr>
            <w:pStyle w:val="TDC3"/>
            <w:rPr>
              <w:rFonts w:eastAsiaTheme="minorEastAsia"/>
              <w:noProof/>
              <w:sz w:val="24"/>
              <w:szCs w:val="24"/>
              <w:lang w:val="en-US" w:eastAsia="en-US"/>
            </w:rPr>
          </w:pPr>
          <w:hyperlink w:anchor="_Toc16519908" w:history="1">
            <w:r w:rsidR="00B82A4D" w:rsidRPr="00B82A4D">
              <w:rPr>
                <w:rStyle w:val="Hipervnculo"/>
                <w:noProof/>
                <w:sz w:val="24"/>
                <w:szCs w:val="24"/>
              </w:rPr>
              <w:t>2.2.4.</w:t>
            </w:r>
            <w:r w:rsidR="00B82A4D" w:rsidRPr="00B82A4D">
              <w:rPr>
                <w:rFonts w:eastAsiaTheme="minorEastAsia"/>
                <w:noProof/>
                <w:sz w:val="24"/>
                <w:szCs w:val="24"/>
                <w:lang w:val="en-US" w:eastAsia="en-US"/>
              </w:rPr>
              <w:tab/>
            </w:r>
            <w:r w:rsidR="00B82A4D" w:rsidRPr="00B82A4D">
              <w:rPr>
                <w:rStyle w:val="Hipervnculo"/>
                <w:noProof/>
                <w:sz w:val="24"/>
                <w:szCs w:val="24"/>
              </w:rPr>
              <w:t>Aspectos a seguir en el análisis de las clases pasivas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_Toc16519908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36</w:t>
            </w:r>
            <w:r w:rsidR="00B82A4D" w:rsidRPr="00B82A4D">
              <w:rPr>
                <w:noProof/>
                <w:webHidden/>
                <w:sz w:val="24"/>
                <w:szCs w:val="24"/>
              </w:rPr>
              <w:fldChar w:fldCharType="end"/>
            </w:r>
          </w:hyperlink>
        </w:p>
        <w:p w14:paraId="146D740C" w14:textId="18111209" w:rsidR="00B82A4D" w:rsidRPr="00B82A4D" w:rsidRDefault="00000000">
          <w:pPr>
            <w:pStyle w:val="TDC2"/>
            <w:rPr>
              <w:rFonts w:eastAsiaTheme="minorEastAsia"/>
              <w:noProof/>
              <w:sz w:val="24"/>
              <w:szCs w:val="24"/>
              <w:lang w:val="en-US" w:eastAsia="en-US"/>
            </w:rPr>
          </w:pPr>
          <w:hyperlink w:anchor="_Toc16519909" w:history="1">
            <w:r w:rsidR="00B82A4D" w:rsidRPr="00B82A4D">
              <w:rPr>
                <w:rStyle w:val="Hipervnculo"/>
                <w:noProof/>
                <w:sz w:val="24"/>
                <w:szCs w:val="24"/>
              </w:rPr>
              <w:t>2.3.</w:t>
            </w:r>
            <w:r w:rsidR="00B82A4D" w:rsidRPr="00B82A4D">
              <w:rPr>
                <w:rFonts w:eastAsiaTheme="minorEastAsia"/>
                <w:noProof/>
                <w:sz w:val="24"/>
                <w:szCs w:val="24"/>
                <w:lang w:val="en-US" w:eastAsia="en-US"/>
              </w:rPr>
              <w:tab/>
            </w:r>
            <w:r w:rsidR="00B82A4D" w:rsidRPr="00B82A4D">
              <w:rPr>
                <w:rStyle w:val="Hipervnculo"/>
                <w:noProof/>
                <w:sz w:val="24"/>
                <w:szCs w:val="24"/>
              </w:rPr>
              <w:t>Riesgo de Recursos Naturales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_Toc16519909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36</w:t>
            </w:r>
            <w:r w:rsidR="00B82A4D" w:rsidRPr="00B82A4D">
              <w:rPr>
                <w:noProof/>
                <w:webHidden/>
                <w:sz w:val="24"/>
                <w:szCs w:val="24"/>
              </w:rPr>
              <w:fldChar w:fldCharType="end"/>
            </w:r>
          </w:hyperlink>
        </w:p>
        <w:p w14:paraId="4609A6E8" w14:textId="7529D31F" w:rsidR="00B82A4D" w:rsidRPr="00B82A4D" w:rsidRDefault="00000000">
          <w:pPr>
            <w:pStyle w:val="TDC3"/>
            <w:rPr>
              <w:rFonts w:eastAsiaTheme="minorEastAsia"/>
              <w:noProof/>
              <w:sz w:val="24"/>
              <w:szCs w:val="24"/>
              <w:lang w:val="en-US" w:eastAsia="en-US"/>
            </w:rPr>
          </w:pPr>
          <w:hyperlink w:anchor="_Toc16519910" w:history="1">
            <w:r w:rsidR="00B82A4D" w:rsidRPr="00B82A4D">
              <w:rPr>
                <w:rStyle w:val="Hipervnculo"/>
                <w:noProof/>
                <w:sz w:val="24"/>
                <w:szCs w:val="24"/>
              </w:rPr>
              <w:t>2.3.1.</w:t>
            </w:r>
            <w:r w:rsidR="00B82A4D" w:rsidRPr="00B82A4D">
              <w:rPr>
                <w:rFonts w:eastAsiaTheme="minorEastAsia"/>
                <w:noProof/>
                <w:sz w:val="24"/>
                <w:szCs w:val="24"/>
                <w:lang w:val="en-US" w:eastAsia="en-US"/>
              </w:rPr>
              <w:tab/>
            </w:r>
            <w:r w:rsidR="00B82A4D" w:rsidRPr="00B82A4D">
              <w:rPr>
                <w:rStyle w:val="Hipervnculo"/>
                <w:noProof/>
                <w:sz w:val="24"/>
                <w:szCs w:val="24"/>
              </w:rPr>
              <w:t>La actividad extractiva en Guatemala</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_Toc16519910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37</w:t>
            </w:r>
            <w:r w:rsidR="00B82A4D" w:rsidRPr="00B82A4D">
              <w:rPr>
                <w:noProof/>
                <w:webHidden/>
                <w:sz w:val="24"/>
                <w:szCs w:val="24"/>
              </w:rPr>
              <w:fldChar w:fldCharType="end"/>
            </w:r>
          </w:hyperlink>
        </w:p>
        <w:p w14:paraId="7B54F51C" w14:textId="59671134" w:rsidR="00B82A4D" w:rsidRPr="00B82A4D" w:rsidRDefault="00000000">
          <w:pPr>
            <w:pStyle w:val="TDC3"/>
            <w:rPr>
              <w:rFonts w:eastAsiaTheme="minorEastAsia"/>
              <w:noProof/>
              <w:sz w:val="24"/>
              <w:szCs w:val="24"/>
              <w:lang w:val="en-US" w:eastAsia="en-US"/>
            </w:rPr>
          </w:pPr>
          <w:hyperlink w:anchor="_Toc16519911" w:history="1">
            <w:r w:rsidR="00B82A4D" w:rsidRPr="00B82A4D">
              <w:rPr>
                <w:rStyle w:val="Hipervnculo"/>
                <w:noProof/>
                <w:sz w:val="24"/>
                <w:szCs w:val="24"/>
              </w:rPr>
              <w:t>2.3.2.</w:t>
            </w:r>
            <w:r w:rsidR="00B82A4D" w:rsidRPr="00B82A4D">
              <w:rPr>
                <w:rFonts w:eastAsiaTheme="minorEastAsia"/>
                <w:noProof/>
                <w:sz w:val="24"/>
                <w:szCs w:val="24"/>
                <w:lang w:val="en-US" w:eastAsia="en-US"/>
              </w:rPr>
              <w:tab/>
            </w:r>
            <w:r w:rsidR="00B82A4D" w:rsidRPr="00B82A4D">
              <w:rPr>
                <w:rStyle w:val="Hipervnculo"/>
                <w:noProof/>
                <w:sz w:val="24"/>
                <w:szCs w:val="24"/>
              </w:rPr>
              <w:t>Actividad petrolera en Guatemala</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_Toc16519911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39</w:t>
            </w:r>
            <w:r w:rsidR="00B82A4D" w:rsidRPr="00B82A4D">
              <w:rPr>
                <w:noProof/>
                <w:webHidden/>
                <w:sz w:val="24"/>
                <w:szCs w:val="24"/>
              </w:rPr>
              <w:fldChar w:fldCharType="end"/>
            </w:r>
          </w:hyperlink>
        </w:p>
        <w:p w14:paraId="054C236B" w14:textId="7A65A582" w:rsidR="00B82A4D" w:rsidRPr="00B82A4D" w:rsidRDefault="00000000">
          <w:pPr>
            <w:pStyle w:val="TDC3"/>
            <w:rPr>
              <w:rFonts w:eastAsiaTheme="minorEastAsia"/>
              <w:noProof/>
              <w:sz w:val="24"/>
              <w:szCs w:val="24"/>
              <w:lang w:val="en-US" w:eastAsia="en-US"/>
            </w:rPr>
          </w:pPr>
          <w:hyperlink w:anchor="_Toc16519912" w:history="1">
            <w:r w:rsidR="00B82A4D" w:rsidRPr="00B82A4D">
              <w:rPr>
                <w:rStyle w:val="Hipervnculo"/>
                <w:noProof/>
                <w:sz w:val="24"/>
                <w:szCs w:val="24"/>
              </w:rPr>
              <w:t>2.3.3.</w:t>
            </w:r>
            <w:r w:rsidR="00B82A4D" w:rsidRPr="00B82A4D">
              <w:rPr>
                <w:rFonts w:eastAsiaTheme="minorEastAsia"/>
                <w:noProof/>
                <w:sz w:val="24"/>
                <w:szCs w:val="24"/>
                <w:lang w:val="en-US" w:eastAsia="en-US"/>
              </w:rPr>
              <w:tab/>
            </w:r>
            <w:r w:rsidR="00B82A4D" w:rsidRPr="00B82A4D">
              <w:rPr>
                <w:rStyle w:val="Hipervnculo"/>
                <w:noProof/>
                <w:sz w:val="24"/>
                <w:szCs w:val="24"/>
              </w:rPr>
              <w:t>Importancia fiscal de la actividad petrolera en Guatemala</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_Toc16519912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43</w:t>
            </w:r>
            <w:r w:rsidR="00B82A4D" w:rsidRPr="00B82A4D">
              <w:rPr>
                <w:noProof/>
                <w:webHidden/>
                <w:sz w:val="24"/>
                <w:szCs w:val="24"/>
              </w:rPr>
              <w:fldChar w:fldCharType="end"/>
            </w:r>
          </w:hyperlink>
        </w:p>
        <w:p w14:paraId="54F7773E" w14:textId="064D3AFD" w:rsidR="00B82A4D" w:rsidRPr="00B82A4D" w:rsidRDefault="00000000">
          <w:pPr>
            <w:pStyle w:val="TDC3"/>
            <w:rPr>
              <w:rFonts w:eastAsiaTheme="minorEastAsia"/>
              <w:noProof/>
              <w:sz w:val="24"/>
              <w:szCs w:val="24"/>
              <w:lang w:val="en-US" w:eastAsia="en-US"/>
            </w:rPr>
          </w:pPr>
          <w:hyperlink w:anchor="_Toc16519913" w:history="1">
            <w:r w:rsidR="00B82A4D" w:rsidRPr="00B82A4D">
              <w:rPr>
                <w:rStyle w:val="Hipervnculo"/>
                <w:noProof/>
                <w:sz w:val="24"/>
                <w:szCs w:val="24"/>
              </w:rPr>
              <w:t>2.3.4.</w:t>
            </w:r>
            <w:r w:rsidR="00B82A4D" w:rsidRPr="00B82A4D">
              <w:rPr>
                <w:rFonts w:eastAsiaTheme="minorEastAsia"/>
                <w:noProof/>
                <w:sz w:val="24"/>
                <w:szCs w:val="24"/>
                <w:lang w:val="en-US" w:eastAsia="en-US"/>
              </w:rPr>
              <w:tab/>
            </w:r>
            <w:r w:rsidR="00B82A4D" w:rsidRPr="00B82A4D">
              <w:rPr>
                <w:rStyle w:val="Hipervnculo"/>
                <w:noProof/>
                <w:sz w:val="24"/>
                <w:szCs w:val="24"/>
              </w:rPr>
              <w:t>Actividad minera en Guatemala</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_Toc16519913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46</w:t>
            </w:r>
            <w:r w:rsidR="00B82A4D" w:rsidRPr="00B82A4D">
              <w:rPr>
                <w:noProof/>
                <w:webHidden/>
                <w:sz w:val="24"/>
                <w:szCs w:val="24"/>
              </w:rPr>
              <w:fldChar w:fldCharType="end"/>
            </w:r>
          </w:hyperlink>
        </w:p>
        <w:p w14:paraId="34A66848" w14:textId="3A2D7290" w:rsidR="00B82A4D" w:rsidRPr="00B82A4D" w:rsidRDefault="00000000">
          <w:pPr>
            <w:pStyle w:val="TDC3"/>
            <w:rPr>
              <w:rFonts w:eastAsiaTheme="minorEastAsia"/>
              <w:noProof/>
              <w:sz w:val="24"/>
              <w:szCs w:val="24"/>
              <w:lang w:val="en-US" w:eastAsia="en-US"/>
            </w:rPr>
          </w:pPr>
          <w:hyperlink w:anchor="_Toc16519914" w:history="1">
            <w:r w:rsidR="00B82A4D" w:rsidRPr="00B82A4D">
              <w:rPr>
                <w:rStyle w:val="Hipervnculo"/>
                <w:noProof/>
                <w:sz w:val="24"/>
                <w:szCs w:val="24"/>
              </w:rPr>
              <w:t>2.3.5.</w:t>
            </w:r>
            <w:r w:rsidR="00B82A4D" w:rsidRPr="00B82A4D">
              <w:rPr>
                <w:rFonts w:eastAsiaTheme="minorEastAsia"/>
                <w:noProof/>
                <w:sz w:val="24"/>
                <w:szCs w:val="24"/>
                <w:lang w:val="en-US" w:eastAsia="en-US"/>
              </w:rPr>
              <w:tab/>
            </w:r>
            <w:r w:rsidR="00B82A4D" w:rsidRPr="00B82A4D">
              <w:rPr>
                <w:rStyle w:val="Hipervnculo"/>
                <w:noProof/>
                <w:sz w:val="24"/>
                <w:szCs w:val="24"/>
              </w:rPr>
              <w:t>Importancia fiscal de la actividad minera en Guatemala</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_Toc16519914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48</w:t>
            </w:r>
            <w:r w:rsidR="00B82A4D" w:rsidRPr="00B82A4D">
              <w:rPr>
                <w:noProof/>
                <w:webHidden/>
                <w:sz w:val="24"/>
                <w:szCs w:val="24"/>
              </w:rPr>
              <w:fldChar w:fldCharType="end"/>
            </w:r>
          </w:hyperlink>
        </w:p>
        <w:p w14:paraId="6EFB5511" w14:textId="5AF50B05" w:rsidR="00B82A4D" w:rsidRPr="00B82A4D" w:rsidRDefault="00000000">
          <w:pPr>
            <w:pStyle w:val="TDC4"/>
            <w:rPr>
              <w:rFonts w:asciiTheme="minorHAnsi" w:hAnsiTheme="minorHAnsi" w:cstheme="minorBidi"/>
              <w:sz w:val="24"/>
              <w:szCs w:val="24"/>
              <w:lang w:val="en-US"/>
            </w:rPr>
          </w:pPr>
          <w:hyperlink w:anchor="_Toc16519915" w:history="1">
            <w:r w:rsidR="00B82A4D" w:rsidRPr="00B82A4D">
              <w:rPr>
                <w:rStyle w:val="Hipervnculo"/>
                <w:sz w:val="24"/>
                <w:szCs w:val="24"/>
              </w:rPr>
              <w:t>2.3.5.1.</w:t>
            </w:r>
            <w:r w:rsidR="00B82A4D" w:rsidRPr="00B82A4D">
              <w:rPr>
                <w:sz w:val="24"/>
                <w:szCs w:val="24"/>
                <w:lang w:val="en-US"/>
              </w:rPr>
              <w:tab/>
            </w:r>
            <w:r w:rsidR="00B82A4D" w:rsidRPr="00B82A4D">
              <w:rPr>
                <w:rStyle w:val="Hipervnculo"/>
                <w:sz w:val="24"/>
                <w:szCs w:val="24"/>
              </w:rPr>
              <w:t>Aportes a la Administración Central</w:t>
            </w:r>
            <w:r w:rsidR="00DD14C8">
              <w:rPr>
                <w:webHidden/>
                <w:sz w:val="24"/>
                <w:szCs w:val="24"/>
              </w:rPr>
              <w:t>………………………………………………..</w:t>
            </w:r>
            <w:r w:rsidR="00B82A4D" w:rsidRPr="00B82A4D">
              <w:rPr>
                <w:webHidden/>
                <w:sz w:val="24"/>
                <w:szCs w:val="24"/>
              </w:rPr>
              <w:fldChar w:fldCharType="begin"/>
            </w:r>
            <w:r w:rsidR="00B82A4D" w:rsidRPr="00B82A4D">
              <w:rPr>
                <w:webHidden/>
                <w:sz w:val="24"/>
                <w:szCs w:val="24"/>
              </w:rPr>
              <w:instrText xml:space="preserve"> PAGEREF _Toc16519915 \h </w:instrText>
            </w:r>
            <w:r w:rsidR="00B82A4D" w:rsidRPr="00B82A4D">
              <w:rPr>
                <w:webHidden/>
                <w:sz w:val="24"/>
                <w:szCs w:val="24"/>
              </w:rPr>
            </w:r>
            <w:r w:rsidR="00B82A4D" w:rsidRPr="00B82A4D">
              <w:rPr>
                <w:webHidden/>
                <w:sz w:val="24"/>
                <w:szCs w:val="24"/>
              </w:rPr>
              <w:fldChar w:fldCharType="separate"/>
            </w:r>
            <w:r w:rsidR="004B2A60">
              <w:rPr>
                <w:webHidden/>
                <w:sz w:val="24"/>
                <w:szCs w:val="24"/>
              </w:rPr>
              <w:t>48</w:t>
            </w:r>
            <w:r w:rsidR="00B82A4D" w:rsidRPr="00B82A4D">
              <w:rPr>
                <w:webHidden/>
                <w:sz w:val="24"/>
                <w:szCs w:val="24"/>
              </w:rPr>
              <w:fldChar w:fldCharType="end"/>
            </w:r>
          </w:hyperlink>
        </w:p>
        <w:p w14:paraId="3AFB4EE2" w14:textId="7FDD8DD5" w:rsidR="00B82A4D" w:rsidRPr="00B82A4D" w:rsidRDefault="00000000">
          <w:pPr>
            <w:pStyle w:val="TDC4"/>
            <w:rPr>
              <w:rFonts w:asciiTheme="minorHAnsi" w:hAnsiTheme="minorHAnsi" w:cstheme="minorBidi"/>
              <w:sz w:val="24"/>
              <w:szCs w:val="24"/>
              <w:lang w:val="en-US"/>
            </w:rPr>
          </w:pPr>
          <w:hyperlink w:anchor="_Toc16519916" w:history="1">
            <w:r w:rsidR="00B82A4D" w:rsidRPr="00B82A4D">
              <w:rPr>
                <w:rStyle w:val="Hipervnculo"/>
                <w:sz w:val="24"/>
                <w:szCs w:val="24"/>
              </w:rPr>
              <w:t>2.3.5.2.</w:t>
            </w:r>
            <w:r w:rsidR="00B82A4D" w:rsidRPr="00B82A4D">
              <w:rPr>
                <w:rFonts w:asciiTheme="minorHAnsi" w:hAnsiTheme="minorHAnsi" w:cstheme="minorBidi"/>
                <w:sz w:val="24"/>
                <w:szCs w:val="24"/>
                <w:lang w:val="en-US"/>
              </w:rPr>
              <w:tab/>
            </w:r>
            <w:r w:rsidR="00B82A4D" w:rsidRPr="00B82A4D">
              <w:rPr>
                <w:rStyle w:val="Hipervnculo"/>
                <w:sz w:val="24"/>
                <w:szCs w:val="24"/>
              </w:rPr>
              <w:t>Aportes a las Municipalidades</w:t>
            </w:r>
            <w:r w:rsidR="00DD14C8">
              <w:rPr>
                <w:webHidden/>
                <w:sz w:val="24"/>
                <w:szCs w:val="24"/>
              </w:rPr>
              <w:t>………………………………………………………</w:t>
            </w:r>
            <w:r w:rsidR="00B82A4D" w:rsidRPr="00B82A4D">
              <w:rPr>
                <w:webHidden/>
                <w:sz w:val="24"/>
                <w:szCs w:val="24"/>
              </w:rPr>
              <w:fldChar w:fldCharType="begin"/>
            </w:r>
            <w:r w:rsidR="00B82A4D" w:rsidRPr="00B82A4D">
              <w:rPr>
                <w:webHidden/>
                <w:sz w:val="24"/>
                <w:szCs w:val="24"/>
              </w:rPr>
              <w:instrText xml:space="preserve"> PAGEREF _Toc16519916 \h </w:instrText>
            </w:r>
            <w:r w:rsidR="00B82A4D" w:rsidRPr="00B82A4D">
              <w:rPr>
                <w:webHidden/>
                <w:sz w:val="24"/>
                <w:szCs w:val="24"/>
              </w:rPr>
            </w:r>
            <w:r w:rsidR="00B82A4D" w:rsidRPr="00B82A4D">
              <w:rPr>
                <w:webHidden/>
                <w:sz w:val="24"/>
                <w:szCs w:val="24"/>
              </w:rPr>
              <w:fldChar w:fldCharType="separate"/>
            </w:r>
            <w:r w:rsidR="004B2A60">
              <w:rPr>
                <w:webHidden/>
                <w:sz w:val="24"/>
                <w:szCs w:val="24"/>
              </w:rPr>
              <w:t>50</w:t>
            </w:r>
            <w:r w:rsidR="00B82A4D" w:rsidRPr="00B82A4D">
              <w:rPr>
                <w:webHidden/>
                <w:sz w:val="24"/>
                <w:szCs w:val="24"/>
              </w:rPr>
              <w:fldChar w:fldCharType="end"/>
            </w:r>
          </w:hyperlink>
        </w:p>
        <w:p w14:paraId="560E088B" w14:textId="4EA27708" w:rsidR="00B82A4D" w:rsidRPr="00B82A4D" w:rsidRDefault="00000000">
          <w:pPr>
            <w:pStyle w:val="TDC4"/>
            <w:rPr>
              <w:rFonts w:asciiTheme="minorHAnsi" w:hAnsiTheme="minorHAnsi" w:cstheme="minorBidi"/>
              <w:sz w:val="24"/>
              <w:szCs w:val="24"/>
              <w:lang w:val="en-US"/>
            </w:rPr>
          </w:pPr>
          <w:hyperlink w:anchor="_Toc16519917" w:history="1">
            <w:r w:rsidR="00B82A4D" w:rsidRPr="00B82A4D">
              <w:rPr>
                <w:rStyle w:val="Hipervnculo"/>
                <w:sz w:val="24"/>
                <w:szCs w:val="24"/>
              </w:rPr>
              <w:t>2.3.5.3.</w:t>
            </w:r>
            <w:r w:rsidR="00B82A4D" w:rsidRPr="00B82A4D">
              <w:rPr>
                <w:rFonts w:asciiTheme="minorHAnsi" w:hAnsiTheme="minorHAnsi" w:cstheme="minorBidi"/>
                <w:sz w:val="24"/>
                <w:szCs w:val="24"/>
                <w:lang w:val="en-US"/>
              </w:rPr>
              <w:tab/>
            </w:r>
            <w:r w:rsidR="00B82A4D" w:rsidRPr="00B82A4D">
              <w:rPr>
                <w:rStyle w:val="Hipervnculo"/>
                <w:sz w:val="24"/>
                <w:szCs w:val="24"/>
              </w:rPr>
              <w:t>Descripción de las cuentas más representativ</w:t>
            </w:r>
            <w:r w:rsidR="00DD14C8">
              <w:rPr>
                <w:rStyle w:val="Hipervnculo"/>
                <w:sz w:val="24"/>
                <w:szCs w:val="24"/>
              </w:rPr>
              <w:t>as del gasto durante el periodo………</w:t>
            </w:r>
            <w:r w:rsidR="00B82A4D" w:rsidRPr="00B82A4D">
              <w:rPr>
                <w:webHidden/>
                <w:sz w:val="24"/>
                <w:szCs w:val="24"/>
              </w:rPr>
              <w:fldChar w:fldCharType="begin"/>
            </w:r>
            <w:r w:rsidR="00B82A4D" w:rsidRPr="00B82A4D">
              <w:rPr>
                <w:webHidden/>
                <w:sz w:val="24"/>
                <w:szCs w:val="24"/>
              </w:rPr>
              <w:instrText xml:space="preserve"> PAGEREF _Toc16519917 \h </w:instrText>
            </w:r>
            <w:r w:rsidR="00B82A4D" w:rsidRPr="00B82A4D">
              <w:rPr>
                <w:webHidden/>
                <w:sz w:val="24"/>
                <w:szCs w:val="24"/>
              </w:rPr>
            </w:r>
            <w:r w:rsidR="00B82A4D" w:rsidRPr="00B82A4D">
              <w:rPr>
                <w:webHidden/>
                <w:sz w:val="24"/>
                <w:szCs w:val="24"/>
              </w:rPr>
              <w:fldChar w:fldCharType="separate"/>
            </w:r>
            <w:r w:rsidR="004B2A60">
              <w:rPr>
                <w:webHidden/>
                <w:sz w:val="24"/>
                <w:szCs w:val="24"/>
              </w:rPr>
              <w:t>53</w:t>
            </w:r>
            <w:r w:rsidR="00B82A4D" w:rsidRPr="00B82A4D">
              <w:rPr>
                <w:webHidden/>
                <w:sz w:val="24"/>
                <w:szCs w:val="24"/>
              </w:rPr>
              <w:fldChar w:fldCharType="end"/>
            </w:r>
          </w:hyperlink>
        </w:p>
        <w:p w14:paraId="736AB188" w14:textId="7C5C88BB" w:rsidR="00B82A4D" w:rsidRPr="00B82A4D" w:rsidRDefault="00000000">
          <w:pPr>
            <w:pStyle w:val="TDC2"/>
            <w:rPr>
              <w:rFonts w:asciiTheme="minorHAnsi" w:eastAsiaTheme="minorEastAsia" w:hAnsiTheme="minorHAnsi" w:cstheme="minorBidi"/>
              <w:noProof/>
              <w:sz w:val="24"/>
              <w:szCs w:val="24"/>
              <w:lang w:val="en-US" w:eastAsia="en-US"/>
            </w:rPr>
          </w:pPr>
          <w:hyperlink w:anchor="_Toc16519918" w:history="1">
            <w:r w:rsidR="00B82A4D" w:rsidRPr="00B82A4D">
              <w:rPr>
                <w:rStyle w:val="Hipervnculo"/>
                <w:noProof/>
                <w:sz w:val="24"/>
                <w:szCs w:val="24"/>
              </w:rPr>
              <w:t>2.4.</w:t>
            </w:r>
            <w:r w:rsidR="00B82A4D" w:rsidRPr="00B82A4D">
              <w:rPr>
                <w:rFonts w:asciiTheme="minorHAnsi" w:eastAsiaTheme="minorEastAsia" w:hAnsiTheme="minorHAnsi" w:cstheme="minorBidi"/>
                <w:noProof/>
                <w:sz w:val="24"/>
                <w:szCs w:val="24"/>
                <w:lang w:val="en-US" w:eastAsia="en-US"/>
              </w:rPr>
              <w:tab/>
            </w:r>
            <w:r w:rsidR="00B82A4D" w:rsidRPr="00B82A4D">
              <w:rPr>
                <w:rStyle w:val="Hipervnculo"/>
                <w:noProof/>
                <w:sz w:val="24"/>
                <w:szCs w:val="24"/>
              </w:rPr>
              <w:t>Líneas de investigación futura sobre Riesgos Fiscales Específicos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_Toc16519918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55</w:t>
            </w:r>
            <w:r w:rsidR="00B82A4D" w:rsidRPr="00B82A4D">
              <w:rPr>
                <w:noProof/>
                <w:webHidden/>
                <w:sz w:val="24"/>
                <w:szCs w:val="24"/>
              </w:rPr>
              <w:fldChar w:fldCharType="end"/>
            </w:r>
          </w:hyperlink>
        </w:p>
        <w:p w14:paraId="5F29A3F8" w14:textId="7A232688" w:rsidR="00B82A4D" w:rsidRPr="00B82A4D" w:rsidRDefault="00000000">
          <w:pPr>
            <w:pStyle w:val="TDC3"/>
            <w:rPr>
              <w:rFonts w:asciiTheme="minorHAnsi" w:eastAsiaTheme="minorEastAsia" w:hAnsiTheme="minorHAnsi" w:cstheme="minorBidi"/>
              <w:noProof/>
              <w:sz w:val="24"/>
              <w:szCs w:val="24"/>
              <w:lang w:val="en-US" w:eastAsia="en-US"/>
            </w:rPr>
          </w:pPr>
          <w:hyperlink w:anchor="_Toc16519919" w:history="1">
            <w:r w:rsidR="00B82A4D" w:rsidRPr="00B82A4D">
              <w:rPr>
                <w:rStyle w:val="Hipervnculo"/>
                <w:noProof/>
                <w:sz w:val="24"/>
                <w:szCs w:val="24"/>
              </w:rPr>
              <w:t>2.4.1.</w:t>
            </w:r>
            <w:r w:rsidR="00B82A4D" w:rsidRPr="00B82A4D">
              <w:rPr>
                <w:rFonts w:asciiTheme="minorHAnsi" w:eastAsiaTheme="minorEastAsia" w:hAnsiTheme="minorHAnsi" w:cstheme="minorBidi"/>
                <w:noProof/>
                <w:sz w:val="24"/>
                <w:szCs w:val="24"/>
                <w:lang w:val="en-US" w:eastAsia="en-US"/>
              </w:rPr>
              <w:tab/>
            </w:r>
            <w:r w:rsidR="00B82A4D" w:rsidRPr="00B82A4D">
              <w:rPr>
                <w:rStyle w:val="Hipervnculo"/>
                <w:noProof/>
                <w:sz w:val="24"/>
                <w:szCs w:val="24"/>
              </w:rPr>
              <w:t>Mecanismos de Protección Financiera Sobre Impactos del Cambio Climático sobre el Sector Agroforestal (Sequia e Incendios Forestales)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_Toc16519919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55</w:t>
            </w:r>
            <w:r w:rsidR="00B82A4D" w:rsidRPr="00B82A4D">
              <w:rPr>
                <w:noProof/>
                <w:webHidden/>
                <w:sz w:val="24"/>
                <w:szCs w:val="24"/>
              </w:rPr>
              <w:fldChar w:fldCharType="end"/>
            </w:r>
          </w:hyperlink>
        </w:p>
        <w:p w14:paraId="5B843AC8" w14:textId="1C3A720A" w:rsidR="00B82A4D" w:rsidRPr="00B82A4D" w:rsidRDefault="00000000">
          <w:pPr>
            <w:pStyle w:val="TDC3"/>
            <w:rPr>
              <w:rFonts w:asciiTheme="minorHAnsi" w:eastAsiaTheme="minorEastAsia" w:hAnsiTheme="minorHAnsi" w:cstheme="minorBidi"/>
              <w:noProof/>
              <w:sz w:val="24"/>
              <w:szCs w:val="24"/>
              <w:lang w:val="en-US" w:eastAsia="en-US"/>
            </w:rPr>
          </w:pPr>
          <w:hyperlink w:anchor="_Toc16519920" w:history="1">
            <w:r w:rsidR="00B82A4D" w:rsidRPr="00B82A4D">
              <w:rPr>
                <w:rStyle w:val="Hipervnculo"/>
                <w:noProof/>
                <w:sz w:val="24"/>
                <w:szCs w:val="24"/>
              </w:rPr>
              <w:t>2.4.2.</w:t>
            </w:r>
            <w:r w:rsidR="00B82A4D" w:rsidRPr="00B82A4D">
              <w:rPr>
                <w:rFonts w:asciiTheme="minorHAnsi" w:eastAsiaTheme="minorEastAsia" w:hAnsiTheme="minorHAnsi" w:cstheme="minorBidi"/>
                <w:noProof/>
                <w:sz w:val="24"/>
                <w:szCs w:val="24"/>
                <w:lang w:val="en-US" w:eastAsia="en-US"/>
              </w:rPr>
              <w:tab/>
            </w:r>
            <w:r w:rsidR="00B82A4D" w:rsidRPr="00B82A4D">
              <w:rPr>
                <w:rStyle w:val="Hipervnculo"/>
                <w:noProof/>
                <w:sz w:val="24"/>
                <w:szCs w:val="24"/>
              </w:rPr>
              <w:t>La sequía y los incendios forestales como riesgos fiscales</w:t>
            </w:r>
            <w:r w:rsidR="00B82A4D" w:rsidRPr="00B82A4D">
              <w:rPr>
                <w:noProof/>
                <w:webHidden/>
                <w:sz w:val="24"/>
                <w:szCs w:val="24"/>
              </w:rPr>
              <w:tab/>
            </w:r>
            <w:r w:rsidR="00B82A4D" w:rsidRPr="00B82A4D">
              <w:rPr>
                <w:noProof/>
                <w:webHidden/>
                <w:sz w:val="24"/>
                <w:szCs w:val="24"/>
              </w:rPr>
              <w:fldChar w:fldCharType="begin"/>
            </w:r>
            <w:r w:rsidR="00B82A4D" w:rsidRPr="00B82A4D">
              <w:rPr>
                <w:noProof/>
                <w:webHidden/>
                <w:sz w:val="24"/>
                <w:szCs w:val="24"/>
              </w:rPr>
              <w:instrText xml:space="preserve"> PAGEREF _Toc16519920 \h </w:instrText>
            </w:r>
            <w:r w:rsidR="00B82A4D" w:rsidRPr="00B82A4D">
              <w:rPr>
                <w:noProof/>
                <w:webHidden/>
                <w:sz w:val="24"/>
                <w:szCs w:val="24"/>
              </w:rPr>
            </w:r>
            <w:r w:rsidR="00B82A4D" w:rsidRPr="00B82A4D">
              <w:rPr>
                <w:noProof/>
                <w:webHidden/>
                <w:sz w:val="24"/>
                <w:szCs w:val="24"/>
              </w:rPr>
              <w:fldChar w:fldCharType="separate"/>
            </w:r>
            <w:r w:rsidR="004B2A60">
              <w:rPr>
                <w:noProof/>
                <w:webHidden/>
                <w:sz w:val="24"/>
                <w:szCs w:val="24"/>
              </w:rPr>
              <w:t>56</w:t>
            </w:r>
            <w:r w:rsidR="00B82A4D" w:rsidRPr="00B82A4D">
              <w:rPr>
                <w:noProof/>
                <w:webHidden/>
                <w:sz w:val="24"/>
                <w:szCs w:val="24"/>
              </w:rPr>
              <w:fldChar w:fldCharType="end"/>
            </w:r>
          </w:hyperlink>
        </w:p>
        <w:p w14:paraId="7ACFF4C0" w14:textId="6D4879C2" w:rsidR="00B82A4D" w:rsidRPr="00B82A4D" w:rsidRDefault="00000000">
          <w:pPr>
            <w:pStyle w:val="TDC4"/>
            <w:rPr>
              <w:rFonts w:asciiTheme="minorHAnsi" w:hAnsiTheme="minorHAnsi" w:cstheme="minorBidi"/>
              <w:sz w:val="24"/>
              <w:szCs w:val="24"/>
              <w:lang w:val="en-US"/>
            </w:rPr>
          </w:pPr>
          <w:hyperlink w:anchor="_Toc16519921" w:history="1">
            <w:r w:rsidR="00B82A4D" w:rsidRPr="00B82A4D">
              <w:rPr>
                <w:rStyle w:val="Hipervnculo"/>
                <w:sz w:val="24"/>
                <w:szCs w:val="24"/>
              </w:rPr>
              <w:t>2.4.2.1.</w:t>
            </w:r>
            <w:r w:rsidR="00B82A4D" w:rsidRPr="00B82A4D">
              <w:rPr>
                <w:rFonts w:asciiTheme="minorHAnsi" w:hAnsiTheme="minorHAnsi" w:cstheme="minorBidi"/>
                <w:sz w:val="24"/>
                <w:szCs w:val="24"/>
                <w:lang w:val="en-US"/>
              </w:rPr>
              <w:tab/>
            </w:r>
            <w:r w:rsidR="00B82A4D" w:rsidRPr="00B82A4D">
              <w:rPr>
                <w:rStyle w:val="Hipervnculo"/>
                <w:sz w:val="24"/>
                <w:szCs w:val="24"/>
                <w:shd w:val="clear" w:color="auto" w:fill="FFFFFF"/>
              </w:rPr>
              <w:t>Gestión del riesgo de sequía</w:t>
            </w:r>
            <w:r w:rsidR="00DD14C8">
              <w:rPr>
                <w:webHidden/>
                <w:sz w:val="24"/>
                <w:szCs w:val="24"/>
              </w:rPr>
              <w:t>.......................................................................................</w:t>
            </w:r>
            <w:r w:rsidR="00B82A4D" w:rsidRPr="00B82A4D">
              <w:rPr>
                <w:webHidden/>
                <w:sz w:val="24"/>
                <w:szCs w:val="24"/>
              </w:rPr>
              <w:fldChar w:fldCharType="begin"/>
            </w:r>
            <w:r w:rsidR="00B82A4D" w:rsidRPr="00B82A4D">
              <w:rPr>
                <w:webHidden/>
                <w:sz w:val="24"/>
                <w:szCs w:val="24"/>
              </w:rPr>
              <w:instrText xml:space="preserve"> PAGEREF _Toc16519921 \h </w:instrText>
            </w:r>
            <w:r w:rsidR="00B82A4D" w:rsidRPr="00B82A4D">
              <w:rPr>
                <w:webHidden/>
                <w:sz w:val="24"/>
                <w:szCs w:val="24"/>
              </w:rPr>
            </w:r>
            <w:r w:rsidR="00B82A4D" w:rsidRPr="00B82A4D">
              <w:rPr>
                <w:webHidden/>
                <w:sz w:val="24"/>
                <w:szCs w:val="24"/>
              </w:rPr>
              <w:fldChar w:fldCharType="separate"/>
            </w:r>
            <w:r w:rsidR="004B2A60">
              <w:rPr>
                <w:webHidden/>
                <w:sz w:val="24"/>
                <w:szCs w:val="24"/>
              </w:rPr>
              <w:t>56</w:t>
            </w:r>
            <w:r w:rsidR="00B82A4D" w:rsidRPr="00B82A4D">
              <w:rPr>
                <w:webHidden/>
                <w:sz w:val="24"/>
                <w:szCs w:val="24"/>
              </w:rPr>
              <w:fldChar w:fldCharType="end"/>
            </w:r>
          </w:hyperlink>
        </w:p>
        <w:p w14:paraId="16ED71BF" w14:textId="4BCAED3D" w:rsidR="00B82A4D" w:rsidRDefault="00000000">
          <w:pPr>
            <w:pStyle w:val="TDC4"/>
            <w:rPr>
              <w:rFonts w:asciiTheme="minorHAnsi" w:hAnsiTheme="minorHAnsi" w:cstheme="minorBidi"/>
              <w:sz w:val="22"/>
              <w:szCs w:val="22"/>
              <w:lang w:val="en-US"/>
            </w:rPr>
          </w:pPr>
          <w:hyperlink w:anchor="_Toc16519922" w:history="1">
            <w:r w:rsidR="00B82A4D" w:rsidRPr="00B82A4D">
              <w:rPr>
                <w:rStyle w:val="Hipervnculo"/>
                <w:sz w:val="24"/>
                <w:szCs w:val="24"/>
              </w:rPr>
              <w:t>2.4.2.2.</w:t>
            </w:r>
            <w:r w:rsidR="00B82A4D" w:rsidRPr="00B82A4D">
              <w:rPr>
                <w:rFonts w:asciiTheme="minorHAnsi" w:hAnsiTheme="minorHAnsi" w:cstheme="minorBidi"/>
                <w:sz w:val="24"/>
                <w:szCs w:val="24"/>
                <w:lang w:val="en-US"/>
              </w:rPr>
              <w:tab/>
            </w:r>
            <w:r w:rsidR="00B82A4D" w:rsidRPr="00B82A4D">
              <w:rPr>
                <w:rStyle w:val="Hipervnculo"/>
                <w:sz w:val="24"/>
                <w:szCs w:val="24"/>
                <w:shd w:val="clear" w:color="auto" w:fill="FFFFFF"/>
              </w:rPr>
              <w:t>Gestión del riesgo de incendios forestales</w:t>
            </w:r>
            <w:r w:rsidR="00DD14C8">
              <w:rPr>
                <w:webHidden/>
                <w:sz w:val="24"/>
                <w:szCs w:val="24"/>
              </w:rPr>
              <w:t>..................................................................</w:t>
            </w:r>
            <w:r w:rsidR="00B82A4D" w:rsidRPr="00B82A4D">
              <w:rPr>
                <w:webHidden/>
                <w:sz w:val="24"/>
                <w:szCs w:val="24"/>
              </w:rPr>
              <w:fldChar w:fldCharType="begin"/>
            </w:r>
            <w:r w:rsidR="00B82A4D" w:rsidRPr="00B82A4D">
              <w:rPr>
                <w:webHidden/>
                <w:sz w:val="24"/>
                <w:szCs w:val="24"/>
              </w:rPr>
              <w:instrText xml:space="preserve"> PAGEREF _Toc16519922 \h </w:instrText>
            </w:r>
            <w:r w:rsidR="00B82A4D" w:rsidRPr="00B82A4D">
              <w:rPr>
                <w:webHidden/>
                <w:sz w:val="24"/>
                <w:szCs w:val="24"/>
              </w:rPr>
            </w:r>
            <w:r w:rsidR="00B82A4D" w:rsidRPr="00B82A4D">
              <w:rPr>
                <w:webHidden/>
                <w:sz w:val="24"/>
                <w:szCs w:val="24"/>
              </w:rPr>
              <w:fldChar w:fldCharType="separate"/>
            </w:r>
            <w:r w:rsidR="004B2A60">
              <w:rPr>
                <w:webHidden/>
                <w:sz w:val="24"/>
                <w:szCs w:val="24"/>
              </w:rPr>
              <w:t>60</w:t>
            </w:r>
            <w:r w:rsidR="00B82A4D" w:rsidRPr="00B82A4D">
              <w:rPr>
                <w:webHidden/>
                <w:sz w:val="24"/>
                <w:szCs w:val="24"/>
              </w:rPr>
              <w:fldChar w:fldCharType="end"/>
            </w:r>
          </w:hyperlink>
        </w:p>
        <w:p w14:paraId="2E3179F0" w14:textId="77777777" w:rsidR="008A5924" w:rsidRPr="00184700" w:rsidRDefault="008A5924" w:rsidP="008A5924">
          <w:r w:rsidRPr="00184700">
            <w:rPr>
              <w:rStyle w:val="Hipervnculo"/>
            </w:rPr>
            <w:fldChar w:fldCharType="end"/>
          </w:r>
        </w:p>
      </w:sdtContent>
    </w:sdt>
    <w:p w14:paraId="3B1FC5F4" w14:textId="77777777" w:rsidR="008A5924" w:rsidRPr="00784E7F" w:rsidRDefault="008A5924" w:rsidP="008A5924">
      <w:pPr>
        <w:pStyle w:val="Sinespaciado"/>
        <w:keepNext/>
        <w:rPr>
          <w:rFonts w:ascii="Times New Roman" w:hAnsi="Times New Roman"/>
          <w:b/>
          <w:sz w:val="28"/>
          <w:szCs w:val="28"/>
        </w:rPr>
      </w:pPr>
      <w:r w:rsidRPr="00784E7F">
        <w:rPr>
          <w:rFonts w:ascii="Times New Roman" w:hAnsi="Times New Roman"/>
          <w:b/>
          <w:sz w:val="28"/>
          <w:szCs w:val="28"/>
        </w:rPr>
        <w:t>Índice de cuadros</w:t>
      </w:r>
    </w:p>
    <w:p w14:paraId="4CF9EC58" w14:textId="77777777" w:rsidR="008A5924" w:rsidRPr="00184700" w:rsidRDefault="008A5924" w:rsidP="008A5924">
      <w:pPr>
        <w:pStyle w:val="Sinespaciado"/>
        <w:keepNext/>
        <w:rPr>
          <w:rFonts w:ascii="Times New Roman" w:hAnsi="Times New Roman"/>
          <w:b/>
        </w:rPr>
      </w:pPr>
    </w:p>
    <w:p w14:paraId="2AECC97B" w14:textId="2B27DD38" w:rsidR="008A5924" w:rsidRPr="00DD14C8" w:rsidRDefault="008A5924" w:rsidP="00DD14C8">
      <w:pPr>
        <w:pStyle w:val="Tabladeilustraciones"/>
        <w:tabs>
          <w:tab w:val="right" w:leader="dot" w:pos="8828"/>
        </w:tabs>
        <w:rPr>
          <w:rStyle w:val="Hipervnculo"/>
          <w:noProof/>
        </w:rPr>
      </w:pPr>
      <w:r w:rsidRPr="00184700">
        <w:rPr>
          <w:b/>
        </w:rPr>
        <w:fldChar w:fldCharType="begin"/>
      </w:r>
      <w:r w:rsidRPr="00184700">
        <w:rPr>
          <w:b/>
        </w:rPr>
        <w:instrText xml:space="preserve"> TOC \h \z \c "Cuadro " </w:instrText>
      </w:r>
      <w:r w:rsidRPr="00184700">
        <w:rPr>
          <w:b/>
        </w:rPr>
        <w:fldChar w:fldCharType="separate"/>
      </w:r>
      <w:hyperlink w:anchor="_Toc16242951" w:history="1">
        <w:r w:rsidRPr="00075DAA">
          <w:rPr>
            <w:rStyle w:val="Hipervnculo"/>
            <w:noProof/>
          </w:rPr>
          <w:t>Cuadro  1:</w:t>
        </w:r>
        <w:r w:rsidRPr="00DD14C8">
          <w:rPr>
            <w:rStyle w:val="Hipervnculo"/>
            <w:noProof/>
          </w:rPr>
          <w:t xml:space="preserve"> </w:t>
        </w:r>
        <w:r w:rsidRPr="00075DAA">
          <w:rPr>
            <w:rStyle w:val="Hipervnculo"/>
            <w:noProof/>
          </w:rPr>
          <w:t>Perspectivas de la Economía Mundial</w:t>
        </w:r>
        <w:r w:rsidR="00DD14C8">
          <w:rPr>
            <w:rStyle w:val="Hipervnculo"/>
            <w:noProof/>
            <w:webHidden/>
          </w:rPr>
          <w:t>.....................................................................................</w:t>
        </w:r>
        <w:r w:rsidRPr="00DD14C8">
          <w:rPr>
            <w:rStyle w:val="Hipervnculo"/>
            <w:noProof/>
            <w:webHidden/>
          </w:rPr>
          <w:fldChar w:fldCharType="begin"/>
        </w:r>
        <w:r w:rsidRPr="00DD14C8">
          <w:rPr>
            <w:rStyle w:val="Hipervnculo"/>
            <w:noProof/>
            <w:webHidden/>
          </w:rPr>
          <w:instrText xml:space="preserve"> PAGEREF _Toc16242951 \h </w:instrText>
        </w:r>
        <w:r w:rsidRPr="00DD14C8">
          <w:rPr>
            <w:rStyle w:val="Hipervnculo"/>
            <w:noProof/>
            <w:webHidden/>
          </w:rPr>
        </w:r>
        <w:r w:rsidRPr="00DD14C8">
          <w:rPr>
            <w:rStyle w:val="Hipervnculo"/>
            <w:noProof/>
            <w:webHidden/>
          </w:rPr>
          <w:fldChar w:fldCharType="separate"/>
        </w:r>
        <w:r w:rsidR="004B2A60">
          <w:rPr>
            <w:rStyle w:val="Hipervnculo"/>
            <w:noProof/>
            <w:webHidden/>
          </w:rPr>
          <w:t>2</w:t>
        </w:r>
        <w:r w:rsidRPr="00DD14C8">
          <w:rPr>
            <w:rStyle w:val="Hipervnculo"/>
            <w:noProof/>
            <w:webHidden/>
          </w:rPr>
          <w:fldChar w:fldCharType="end"/>
        </w:r>
      </w:hyperlink>
    </w:p>
    <w:p w14:paraId="58FA4188" w14:textId="4BC58FA2"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52" w:history="1">
        <w:r w:rsidR="008A5924" w:rsidRPr="00075DAA">
          <w:rPr>
            <w:rStyle w:val="Hipervnculo"/>
            <w:noProof/>
          </w:rPr>
          <w:t>Cuadro  2: Principales Riesgos en los Principales Socios Comerciales</w:t>
        </w:r>
        <w:r w:rsidR="00DD14C8">
          <w:rPr>
            <w:rStyle w:val="Hipervnculo"/>
            <w:noProof/>
          </w:rPr>
          <w:t>…………………………………</w:t>
        </w:r>
        <w:r w:rsidR="008A5924">
          <w:rPr>
            <w:noProof/>
            <w:webHidden/>
          </w:rPr>
          <w:fldChar w:fldCharType="begin"/>
        </w:r>
        <w:r w:rsidR="008A5924">
          <w:rPr>
            <w:noProof/>
            <w:webHidden/>
          </w:rPr>
          <w:instrText xml:space="preserve"> PAGEREF _Toc16242952 \h </w:instrText>
        </w:r>
        <w:r w:rsidR="008A5924">
          <w:rPr>
            <w:noProof/>
            <w:webHidden/>
          </w:rPr>
        </w:r>
        <w:r w:rsidR="008A5924">
          <w:rPr>
            <w:noProof/>
            <w:webHidden/>
          </w:rPr>
          <w:fldChar w:fldCharType="separate"/>
        </w:r>
        <w:r w:rsidR="004B2A60">
          <w:rPr>
            <w:noProof/>
            <w:webHidden/>
          </w:rPr>
          <w:t>2</w:t>
        </w:r>
        <w:r w:rsidR="008A5924">
          <w:rPr>
            <w:noProof/>
            <w:webHidden/>
          </w:rPr>
          <w:fldChar w:fldCharType="end"/>
        </w:r>
      </w:hyperlink>
    </w:p>
    <w:p w14:paraId="13B0F40C" w14:textId="07307B27"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53" w:history="1">
        <w:r w:rsidR="008A5924" w:rsidRPr="00075DAA">
          <w:rPr>
            <w:rStyle w:val="Hipervnculo"/>
            <w:noProof/>
          </w:rPr>
          <w:t>Cuadro  3: Valores estimados de daños y pérdidas para distintos períodos de retornos</w:t>
        </w:r>
        <w:r w:rsidR="00DD14C8">
          <w:rPr>
            <w:rStyle w:val="Hipervnculo"/>
            <w:noProof/>
          </w:rPr>
          <w:t>.........................</w:t>
        </w:r>
        <w:r w:rsidR="008A5924">
          <w:rPr>
            <w:noProof/>
            <w:webHidden/>
          </w:rPr>
          <w:fldChar w:fldCharType="begin"/>
        </w:r>
        <w:r w:rsidR="008A5924">
          <w:rPr>
            <w:noProof/>
            <w:webHidden/>
          </w:rPr>
          <w:instrText xml:space="preserve"> PAGEREF _Toc16242953 \h </w:instrText>
        </w:r>
        <w:r w:rsidR="008A5924">
          <w:rPr>
            <w:noProof/>
            <w:webHidden/>
          </w:rPr>
        </w:r>
        <w:r w:rsidR="008A5924">
          <w:rPr>
            <w:noProof/>
            <w:webHidden/>
          </w:rPr>
          <w:fldChar w:fldCharType="separate"/>
        </w:r>
        <w:r w:rsidR="004B2A60">
          <w:rPr>
            <w:noProof/>
            <w:webHidden/>
          </w:rPr>
          <w:t>32</w:t>
        </w:r>
        <w:r w:rsidR="008A5924">
          <w:rPr>
            <w:noProof/>
            <w:webHidden/>
          </w:rPr>
          <w:fldChar w:fldCharType="end"/>
        </w:r>
      </w:hyperlink>
    </w:p>
    <w:p w14:paraId="068F2A95" w14:textId="67BC8E18"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54" w:history="1">
        <w:r w:rsidR="008A5924" w:rsidRPr="00075DAA">
          <w:rPr>
            <w:rStyle w:val="Hipervnculo"/>
            <w:noProof/>
          </w:rPr>
          <w:t>Cuadro  4: Situación de las Clases Pasivas Civiles del Estado</w:t>
        </w:r>
        <w:r w:rsidR="00DD14C8">
          <w:rPr>
            <w:noProof/>
            <w:webHidden/>
          </w:rPr>
          <w:t>…………………………………………</w:t>
        </w:r>
        <w:r w:rsidR="008A5924">
          <w:rPr>
            <w:noProof/>
            <w:webHidden/>
          </w:rPr>
          <w:fldChar w:fldCharType="begin"/>
        </w:r>
        <w:r w:rsidR="008A5924">
          <w:rPr>
            <w:noProof/>
            <w:webHidden/>
          </w:rPr>
          <w:instrText xml:space="preserve"> PAGEREF _Toc16242954 \h </w:instrText>
        </w:r>
        <w:r w:rsidR="008A5924">
          <w:rPr>
            <w:noProof/>
            <w:webHidden/>
          </w:rPr>
        </w:r>
        <w:r w:rsidR="008A5924">
          <w:rPr>
            <w:noProof/>
            <w:webHidden/>
          </w:rPr>
          <w:fldChar w:fldCharType="separate"/>
        </w:r>
        <w:r w:rsidR="004B2A60">
          <w:rPr>
            <w:noProof/>
            <w:webHidden/>
          </w:rPr>
          <w:t>34</w:t>
        </w:r>
        <w:r w:rsidR="008A5924">
          <w:rPr>
            <w:noProof/>
            <w:webHidden/>
          </w:rPr>
          <w:fldChar w:fldCharType="end"/>
        </w:r>
      </w:hyperlink>
    </w:p>
    <w:p w14:paraId="3D614EC6" w14:textId="7B78E127"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55" w:history="1">
        <w:r w:rsidR="008A5924" w:rsidRPr="00075DAA">
          <w:rPr>
            <w:rStyle w:val="Hipervnculo"/>
            <w:noProof/>
          </w:rPr>
          <w:t>Cuadro  5: Contratos de Explotación de Petróleo</w:t>
        </w:r>
        <w:r w:rsidR="00DD14C8">
          <w:rPr>
            <w:noProof/>
            <w:webHidden/>
          </w:rPr>
          <w:t>………………………………………………………</w:t>
        </w:r>
        <w:r w:rsidR="008A5924">
          <w:rPr>
            <w:noProof/>
            <w:webHidden/>
          </w:rPr>
          <w:fldChar w:fldCharType="begin"/>
        </w:r>
        <w:r w:rsidR="008A5924">
          <w:rPr>
            <w:noProof/>
            <w:webHidden/>
          </w:rPr>
          <w:instrText xml:space="preserve"> PAGEREF _Toc16242955 \h </w:instrText>
        </w:r>
        <w:r w:rsidR="008A5924">
          <w:rPr>
            <w:noProof/>
            <w:webHidden/>
          </w:rPr>
        </w:r>
        <w:r w:rsidR="008A5924">
          <w:rPr>
            <w:noProof/>
            <w:webHidden/>
          </w:rPr>
          <w:fldChar w:fldCharType="separate"/>
        </w:r>
        <w:r w:rsidR="004B2A60">
          <w:rPr>
            <w:noProof/>
            <w:webHidden/>
          </w:rPr>
          <w:t>41</w:t>
        </w:r>
        <w:r w:rsidR="008A5924">
          <w:rPr>
            <w:noProof/>
            <w:webHidden/>
          </w:rPr>
          <w:fldChar w:fldCharType="end"/>
        </w:r>
      </w:hyperlink>
    </w:p>
    <w:p w14:paraId="5917E80E" w14:textId="49D5C89B"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56" w:history="1">
        <w:r w:rsidR="008A5924" w:rsidRPr="00075DAA">
          <w:rPr>
            <w:rStyle w:val="Hipervnculo"/>
            <w:noProof/>
          </w:rPr>
          <w:t>Cuadro  6: Recaudación del Sector Hidrocarburos</w:t>
        </w:r>
        <w:r w:rsidR="008A5924" w:rsidRPr="00075DAA">
          <w:rPr>
            <w:rStyle w:val="Hipervnculo"/>
            <w:noProof/>
            <w:vertAlign w:val="superscript"/>
          </w:rPr>
          <w:t>1/</w:t>
        </w:r>
        <w:r w:rsidR="00DD14C8">
          <w:rPr>
            <w:noProof/>
            <w:webHidden/>
          </w:rPr>
          <w:t>……………………………………………………</w:t>
        </w:r>
        <w:r w:rsidR="008A5924">
          <w:rPr>
            <w:noProof/>
            <w:webHidden/>
          </w:rPr>
          <w:fldChar w:fldCharType="begin"/>
        </w:r>
        <w:r w:rsidR="008A5924">
          <w:rPr>
            <w:noProof/>
            <w:webHidden/>
          </w:rPr>
          <w:instrText xml:space="preserve"> PAGEREF _Toc16242956 \h </w:instrText>
        </w:r>
        <w:r w:rsidR="008A5924">
          <w:rPr>
            <w:noProof/>
            <w:webHidden/>
          </w:rPr>
        </w:r>
        <w:r w:rsidR="008A5924">
          <w:rPr>
            <w:noProof/>
            <w:webHidden/>
          </w:rPr>
          <w:fldChar w:fldCharType="separate"/>
        </w:r>
        <w:r w:rsidR="004B2A60">
          <w:rPr>
            <w:noProof/>
            <w:webHidden/>
          </w:rPr>
          <w:t>43</w:t>
        </w:r>
        <w:r w:rsidR="008A5924">
          <w:rPr>
            <w:noProof/>
            <w:webHidden/>
          </w:rPr>
          <w:fldChar w:fldCharType="end"/>
        </w:r>
      </w:hyperlink>
    </w:p>
    <w:p w14:paraId="052E5108" w14:textId="58F2609A"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57" w:history="1">
        <w:r w:rsidR="008A5924" w:rsidRPr="00075DAA">
          <w:rPr>
            <w:rStyle w:val="Hipervnculo"/>
            <w:noProof/>
          </w:rPr>
          <w:t>Cuadro  7: Duración estimada en años de las Reservas de hidrocarburos</w:t>
        </w:r>
        <w:r w:rsidR="00DD14C8">
          <w:rPr>
            <w:noProof/>
            <w:webHidden/>
          </w:rPr>
          <w:t>...............................................</w:t>
        </w:r>
        <w:r w:rsidR="008A5924">
          <w:rPr>
            <w:noProof/>
            <w:webHidden/>
          </w:rPr>
          <w:fldChar w:fldCharType="begin"/>
        </w:r>
        <w:r w:rsidR="008A5924">
          <w:rPr>
            <w:noProof/>
            <w:webHidden/>
          </w:rPr>
          <w:instrText xml:space="preserve"> PAGEREF _Toc16242957 \h </w:instrText>
        </w:r>
        <w:r w:rsidR="008A5924">
          <w:rPr>
            <w:noProof/>
            <w:webHidden/>
          </w:rPr>
        </w:r>
        <w:r w:rsidR="008A5924">
          <w:rPr>
            <w:noProof/>
            <w:webHidden/>
          </w:rPr>
          <w:fldChar w:fldCharType="separate"/>
        </w:r>
        <w:r w:rsidR="004B2A60">
          <w:rPr>
            <w:noProof/>
            <w:webHidden/>
          </w:rPr>
          <w:t>46</w:t>
        </w:r>
        <w:r w:rsidR="008A5924">
          <w:rPr>
            <w:noProof/>
            <w:webHidden/>
          </w:rPr>
          <w:fldChar w:fldCharType="end"/>
        </w:r>
      </w:hyperlink>
    </w:p>
    <w:p w14:paraId="5CE7619E" w14:textId="37399FA9"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58" w:history="1">
        <w:r w:rsidR="008A5924" w:rsidRPr="00075DAA">
          <w:rPr>
            <w:rStyle w:val="Hipervnculo"/>
            <w:noProof/>
          </w:rPr>
          <w:t>Cuadro  8: Recaudación del Sector Minería</w:t>
        </w:r>
        <w:r w:rsidR="008A5924" w:rsidRPr="00075DAA">
          <w:rPr>
            <w:rStyle w:val="Hipervnculo"/>
            <w:noProof/>
            <w:vertAlign w:val="superscript"/>
          </w:rPr>
          <w:t>1/</w:t>
        </w:r>
        <w:r w:rsidR="00DD14C8">
          <w:rPr>
            <w:noProof/>
            <w:webHidden/>
          </w:rPr>
          <w:t>..........................................................................................</w:t>
        </w:r>
        <w:r w:rsidR="008A5924">
          <w:rPr>
            <w:noProof/>
            <w:webHidden/>
          </w:rPr>
          <w:fldChar w:fldCharType="begin"/>
        </w:r>
        <w:r w:rsidR="008A5924">
          <w:rPr>
            <w:noProof/>
            <w:webHidden/>
          </w:rPr>
          <w:instrText xml:space="preserve"> PAGEREF _Toc16242958 \h </w:instrText>
        </w:r>
        <w:r w:rsidR="008A5924">
          <w:rPr>
            <w:noProof/>
            <w:webHidden/>
          </w:rPr>
        </w:r>
        <w:r w:rsidR="008A5924">
          <w:rPr>
            <w:noProof/>
            <w:webHidden/>
          </w:rPr>
          <w:fldChar w:fldCharType="separate"/>
        </w:r>
        <w:r w:rsidR="004B2A60">
          <w:rPr>
            <w:noProof/>
            <w:webHidden/>
          </w:rPr>
          <w:t>48</w:t>
        </w:r>
        <w:r w:rsidR="008A5924">
          <w:rPr>
            <w:noProof/>
            <w:webHidden/>
          </w:rPr>
          <w:fldChar w:fldCharType="end"/>
        </w:r>
      </w:hyperlink>
    </w:p>
    <w:p w14:paraId="3398CFB4" w14:textId="2AB31A6D"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59" w:history="1">
        <w:r w:rsidR="008A5924" w:rsidRPr="00075DAA">
          <w:rPr>
            <w:rStyle w:val="Hipervnculo"/>
            <w:noProof/>
          </w:rPr>
          <w:t>Cuadro  9: Participación de las regalías mineras en las finanzas municipales</w:t>
        </w:r>
        <w:r w:rsidR="00DD14C8">
          <w:rPr>
            <w:noProof/>
            <w:webHidden/>
          </w:rPr>
          <w:t>........................................</w:t>
        </w:r>
        <w:r w:rsidR="008A5924">
          <w:rPr>
            <w:noProof/>
            <w:webHidden/>
          </w:rPr>
          <w:fldChar w:fldCharType="begin"/>
        </w:r>
        <w:r w:rsidR="008A5924">
          <w:rPr>
            <w:noProof/>
            <w:webHidden/>
          </w:rPr>
          <w:instrText xml:space="preserve"> PAGEREF _Toc16242959 \h </w:instrText>
        </w:r>
        <w:r w:rsidR="008A5924">
          <w:rPr>
            <w:noProof/>
            <w:webHidden/>
          </w:rPr>
        </w:r>
        <w:r w:rsidR="008A5924">
          <w:rPr>
            <w:noProof/>
            <w:webHidden/>
          </w:rPr>
          <w:fldChar w:fldCharType="separate"/>
        </w:r>
        <w:r w:rsidR="004B2A60">
          <w:rPr>
            <w:noProof/>
            <w:webHidden/>
          </w:rPr>
          <w:t>52</w:t>
        </w:r>
        <w:r w:rsidR="008A5924">
          <w:rPr>
            <w:noProof/>
            <w:webHidden/>
          </w:rPr>
          <w:fldChar w:fldCharType="end"/>
        </w:r>
      </w:hyperlink>
    </w:p>
    <w:p w14:paraId="0864F60D" w14:textId="6F5B04AD"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60" w:history="1">
        <w:r w:rsidR="008A5924" w:rsidRPr="00075DAA">
          <w:rPr>
            <w:rStyle w:val="Hipervnculo"/>
            <w:noProof/>
          </w:rPr>
          <w:t>Cuadro  10: Gasto municipal por función</w:t>
        </w:r>
        <w:r w:rsidR="00DD14C8">
          <w:rPr>
            <w:noProof/>
            <w:webHidden/>
          </w:rPr>
          <w:t>………………………………………………………………</w:t>
        </w:r>
        <w:r w:rsidR="008A5924">
          <w:rPr>
            <w:noProof/>
            <w:webHidden/>
          </w:rPr>
          <w:fldChar w:fldCharType="begin"/>
        </w:r>
        <w:r w:rsidR="008A5924">
          <w:rPr>
            <w:noProof/>
            <w:webHidden/>
          </w:rPr>
          <w:instrText xml:space="preserve"> PAGEREF _Toc16242960 \h </w:instrText>
        </w:r>
        <w:r w:rsidR="008A5924">
          <w:rPr>
            <w:noProof/>
            <w:webHidden/>
          </w:rPr>
        </w:r>
        <w:r w:rsidR="008A5924">
          <w:rPr>
            <w:noProof/>
            <w:webHidden/>
          </w:rPr>
          <w:fldChar w:fldCharType="separate"/>
        </w:r>
        <w:r w:rsidR="004B2A60">
          <w:rPr>
            <w:noProof/>
            <w:webHidden/>
          </w:rPr>
          <w:t>53</w:t>
        </w:r>
        <w:r w:rsidR="008A5924">
          <w:rPr>
            <w:noProof/>
            <w:webHidden/>
          </w:rPr>
          <w:fldChar w:fldCharType="end"/>
        </w:r>
      </w:hyperlink>
    </w:p>
    <w:p w14:paraId="243FF30B" w14:textId="5C189E0D"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61" w:history="1">
        <w:r w:rsidR="008A5924" w:rsidRPr="00075DAA">
          <w:rPr>
            <w:rStyle w:val="Hipervnculo"/>
            <w:noProof/>
          </w:rPr>
          <w:t>Cuadro  11 Gasto municipal por función</w:t>
        </w:r>
        <w:r w:rsidR="00DD14C8">
          <w:rPr>
            <w:noProof/>
            <w:webHidden/>
          </w:rPr>
          <w:t>……………………………………………………………….</w:t>
        </w:r>
        <w:r w:rsidR="008A5924">
          <w:rPr>
            <w:noProof/>
            <w:webHidden/>
          </w:rPr>
          <w:fldChar w:fldCharType="begin"/>
        </w:r>
        <w:r w:rsidR="008A5924">
          <w:rPr>
            <w:noProof/>
            <w:webHidden/>
          </w:rPr>
          <w:instrText xml:space="preserve"> PAGEREF _Toc16242961 \h </w:instrText>
        </w:r>
        <w:r w:rsidR="008A5924">
          <w:rPr>
            <w:noProof/>
            <w:webHidden/>
          </w:rPr>
        </w:r>
        <w:r w:rsidR="008A5924">
          <w:rPr>
            <w:noProof/>
            <w:webHidden/>
          </w:rPr>
          <w:fldChar w:fldCharType="separate"/>
        </w:r>
        <w:r w:rsidR="004B2A60">
          <w:rPr>
            <w:noProof/>
            <w:webHidden/>
          </w:rPr>
          <w:t>54</w:t>
        </w:r>
        <w:r w:rsidR="008A5924">
          <w:rPr>
            <w:noProof/>
            <w:webHidden/>
          </w:rPr>
          <w:fldChar w:fldCharType="end"/>
        </w:r>
      </w:hyperlink>
    </w:p>
    <w:p w14:paraId="445BA7D1" w14:textId="025C921D"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62" w:history="1">
        <w:r w:rsidR="008A5924" w:rsidRPr="00075DAA">
          <w:rPr>
            <w:rStyle w:val="Hipervnculo"/>
            <w:noProof/>
          </w:rPr>
          <w:t>Cuadro  12: Ministerio de Agricultura, Ganadería y Alimentación</w:t>
        </w:r>
        <w:r w:rsidR="00DD14C8">
          <w:rPr>
            <w:noProof/>
            <w:webHidden/>
          </w:rPr>
          <w:t>…………………………………….</w:t>
        </w:r>
        <w:r w:rsidR="008A5924">
          <w:rPr>
            <w:noProof/>
            <w:webHidden/>
          </w:rPr>
          <w:fldChar w:fldCharType="begin"/>
        </w:r>
        <w:r w:rsidR="008A5924">
          <w:rPr>
            <w:noProof/>
            <w:webHidden/>
          </w:rPr>
          <w:instrText xml:space="preserve"> PAGEREF _Toc16242962 \h </w:instrText>
        </w:r>
        <w:r w:rsidR="008A5924">
          <w:rPr>
            <w:noProof/>
            <w:webHidden/>
          </w:rPr>
        </w:r>
        <w:r w:rsidR="008A5924">
          <w:rPr>
            <w:noProof/>
            <w:webHidden/>
          </w:rPr>
          <w:fldChar w:fldCharType="separate"/>
        </w:r>
        <w:r w:rsidR="004B2A60">
          <w:rPr>
            <w:noProof/>
            <w:webHidden/>
          </w:rPr>
          <w:t>58</w:t>
        </w:r>
        <w:r w:rsidR="008A5924">
          <w:rPr>
            <w:noProof/>
            <w:webHidden/>
          </w:rPr>
          <w:fldChar w:fldCharType="end"/>
        </w:r>
      </w:hyperlink>
    </w:p>
    <w:p w14:paraId="0B41C6F5" w14:textId="197F1742"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63" w:history="1">
        <w:r w:rsidR="008A5924" w:rsidRPr="00075DAA">
          <w:rPr>
            <w:rStyle w:val="Hipervnculo"/>
            <w:noProof/>
          </w:rPr>
          <w:t xml:space="preserve">Cuadro  13: </w:t>
        </w:r>
        <w:r w:rsidR="008A5924" w:rsidRPr="00075DAA">
          <w:rPr>
            <w:rStyle w:val="Hipervnculo"/>
            <w:noProof/>
            <w:lang w:val="es-MX"/>
          </w:rPr>
          <w:t>Presupuesto destinado a la atención de incendios forestales en Guatemala</w:t>
        </w:r>
        <w:r w:rsidR="00DD14C8">
          <w:rPr>
            <w:noProof/>
            <w:webHidden/>
          </w:rPr>
          <w:t>........................</w:t>
        </w:r>
        <w:r w:rsidR="008A5924">
          <w:rPr>
            <w:noProof/>
            <w:webHidden/>
          </w:rPr>
          <w:fldChar w:fldCharType="begin"/>
        </w:r>
        <w:r w:rsidR="008A5924">
          <w:rPr>
            <w:noProof/>
            <w:webHidden/>
          </w:rPr>
          <w:instrText xml:space="preserve"> PAGEREF _Toc16242963 \h </w:instrText>
        </w:r>
        <w:r w:rsidR="008A5924">
          <w:rPr>
            <w:noProof/>
            <w:webHidden/>
          </w:rPr>
        </w:r>
        <w:r w:rsidR="008A5924">
          <w:rPr>
            <w:noProof/>
            <w:webHidden/>
          </w:rPr>
          <w:fldChar w:fldCharType="separate"/>
        </w:r>
        <w:r w:rsidR="004B2A60">
          <w:rPr>
            <w:noProof/>
            <w:webHidden/>
          </w:rPr>
          <w:t>62</w:t>
        </w:r>
        <w:r w:rsidR="008A5924">
          <w:rPr>
            <w:noProof/>
            <w:webHidden/>
          </w:rPr>
          <w:fldChar w:fldCharType="end"/>
        </w:r>
      </w:hyperlink>
    </w:p>
    <w:p w14:paraId="757A6A29" w14:textId="77777777" w:rsidR="008A5924" w:rsidRPr="00184700" w:rsidRDefault="008A5924" w:rsidP="008A5924">
      <w:pPr>
        <w:pStyle w:val="Sinespaciado"/>
        <w:jc w:val="center"/>
        <w:rPr>
          <w:rFonts w:ascii="Times New Roman" w:hAnsi="Times New Roman"/>
          <w:b/>
        </w:rPr>
      </w:pPr>
      <w:r w:rsidRPr="00184700">
        <w:rPr>
          <w:rFonts w:ascii="Times New Roman" w:hAnsi="Times New Roman"/>
          <w:b/>
        </w:rPr>
        <w:fldChar w:fldCharType="end"/>
      </w:r>
    </w:p>
    <w:p w14:paraId="744799D5" w14:textId="77777777" w:rsidR="008A5924" w:rsidRPr="00784E7F" w:rsidRDefault="008A5924" w:rsidP="008A5924">
      <w:pPr>
        <w:pStyle w:val="Sinespaciado"/>
        <w:keepNext/>
        <w:rPr>
          <w:rFonts w:ascii="Times New Roman" w:hAnsi="Times New Roman"/>
          <w:b/>
          <w:sz w:val="28"/>
          <w:szCs w:val="28"/>
        </w:rPr>
      </w:pPr>
      <w:r w:rsidRPr="00784E7F">
        <w:rPr>
          <w:rFonts w:ascii="Times New Roman" w:hAnsi="Times New Roman"/>
          <w:b/>
          <w:sz w:val="28"/>
          <w:szCs w:val="28"/>
        </w:rPr>
        <w:t>Índice de gráficos</w:t>
      </w:r>
    </w:p>
    <w:p w14:paraId="79E572CB" w14:textId="77777777" w:rsidR="008A5924" w:rsidRPr="00784E7F" w:rsidRDefault="008A5924" w:rsidP="008A5924">
      <w:pPr>
        <w:pStyle w:val="Sinespaciado"/>
        <w:keepNext/>
        <w:rPr>
          <w:rFonts w:ascii="Times New Roman" w:hAnsi="Times New Roman"/>
          <w:b/>
          <w:sz w:val="28"/>
          <w:szCs w:val="28"/>
        </w:rPr>
      </w:pPr>
    </w:p>
    <w:p w14:paraId="7271BDAB" w14:textId="4EA95C00" w:rsidR="008A5924" w:rsidRDefault="008A5924" w:rsidP="008A5924">
      <w:pPr>
        <w:pStyle w:val="Tabladeilustraciones"/>
        <w:tabs>
          <w:tab w:val="right" w:leader="dot" w:pos="8828"/>
        </w:tabs>
        <w:rPr>
          <w:rFonts w:asciiTheme="minorHAnsi" w:hAnsiTheme="minorHAnsi" w:cstheme="minorBidi"/>
          <w:noProof/>
          <w:sz w:val="22"/>
          <w:szCs w:val="22"/>
          <w:lang w:eastAsia="es-GT"/>
        </w:rPr>
      </w:pPr>
      <w:r w:rsidRPr="00184700">
        <w:rPr>
          <w:b/>
        </w:rPr>
        <w:fldChar w:fldCharType="begin"/>
      </w:r>
      <w:r w:rsidRPr="00184700">
        <w:rPr>
          <w:b/>
        </w:rPr>
        <w:instrText xml:space="preserve"> TOC \h \z \c "Gráfico " </w:instrText>
      </w:r>
      <w:r w:rsidRPr="00184700">
        <w:rPr>
          <w:b/>
        </w:rPr>
        <w:fldChar w:fldCharType="separate"/>
      </w:r>
      <w:hyperlink w:anchor="_Toc16242964" w:history="1">
        <w:r w:rsidRPr="000738D7">
          <w:rPr>
            <w:rStyle w:val="Hipervnculo"/>
            <w:noProof/>
          </w:rPr>
          <w:t>Gráfico  1: Proyección de Crecimiento Económico para Centroamérica</w:t>
        </w:r>
        <w:r w:rsidR="00DD14C8">
          <w:rPr>
            <w:noProof/>
            <w:webHidden/>
          </w:rPr>
          <w:t>………………………………..</w:t>
        </w:r>
        <w:r>
          <w:rPr>
            <w:noProof/>
            <w:webHidden/>
          </w:rPr>
          <w:fldChar w:fldCharType="begin"/>
        </w:r>
        <w:r>
          <w:rPr>
            <w:noProof/>
            <w:webHidden/>
          </w:rPr>
          <w:instrText xml:space="preserve"> PAGEREF _Toc16242964 \h </w:instrText>
        </w:r>
        <w:r>
          <w:rPr>
            <w:noProof/>
            <w:webHidden/>
          </w:rPr>
        </w:r>
        <w:r>
          <w:rPr>
            <w:noProof/>
            <w:webHidden/>
          </w:rPr>
          <w:fldChar w:fldCharType="separate"/>
        </w:r>
        <w:r w:rsidR="004B2A60">
          <w:rPr>
            <w:noProof/>
            <w:webHidden/>
          </w:rPr>
          <w:t>3</w:t>
        </w:r>
        <w:r>
          <w:rPr>
            <w:noProof/>
            <w:webHidden/>
          </w:rPr>
          <w:fldChar w:fldCharType="end"/>
        </w:r>
      </w:hyperlink>
    </w:p>
    <w:p w14:paraId="108646EE" w14:textId="49BBFAB4"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65" w:history="1">
        <w:r w:rsidR="008A5924" w:rsidRPr="000738D7">
          <w:rPr>
            <w:rStyle w:val="Hipervnculo"/>
            <w:noProof/>
          </w:rPr>
          <w:t>Gráfico  2: Entrada de remesas en miles de millones de dólares</w:t>
        </w:r>
        <w:r w:rsidR="00DD14C8">
          <w:rPr>
            <w:noProof/>
            <w:webHidden/>
          </w:rPr>
          <w:t>………………………………………...</w:t>
        </w:r>
        <w:r w:rsidR="008A5924">
          <w:rPr>
            <w:noProof/>
            <w:webHidden/>
          </w:rPr>
          <w:fldChar w:fldCharType="begin"/>
        </w:r>
        <w:r w:rsidR="008A5924">
          <w:rPr>
            <w:noProof/>
            <w:webHidden/>
          </w:rPr>
          <w:instrText xml:space="preserve"> PAGEREF _Toc16242965 \h </w:instrText>
        </w:r>
        <w:r w:rsidR="008A5924">
          <w:rPr>
            <w:noProof/>
            <w:webHidden/>
          </w:rPr>
        </w:r>
        <w:r w:rsidR="008A5924">
          <w:rPr>
            <w:noProof/>
            <w:webHidden/>
          </w:rPr>
          <w:fldChar w:fldCharType="separate"/>
        </w:r>
        <w:r w:rsidR="004B2A60">
          <w:rPr>
            <w:noProof/>
            <w:webHidden/>
          </w:rPr>
          <w:t>4</w:t>
        </w:r>
        <w:r w:rsidR="008A5924">
          <w:rPr>
            <w:noProof/>
            <w:webHidden/>
          </w:rPr>
          <w:fldChar w:fldCharType="end"/>
        </w:r>
      </w:hyperlink>
    </w:p>
    <w:p w14:paraId="0A5BCB0B" w14:textId="16084317"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66" w:history="1">
        <w:r w:rsidR="008A5924" w:rsidRPr="000738D7">
          <w:rPr>
            <w:rStyle w:val="Hipervnculo"/>
            <w:noProof/>
          </w:rPr>
          <w:t>Gráfico  3: Variaciones en las tasas de Crecimiento del PIB</w:t>
        </w:r>
        <w:r w:rsidR="00DD14C8">
          <w:rPr>
            <w:noProof/>
            <w:webHidden/>
          </w:rPr>
          <w:t>…………………………………………...</w:t>
        </w:r>
        <w:r w:rsidR="008A5924">
          <w:rPr>
            <w:noProof/>
            <w:webHidden/>
          </w:rPr>
          <w:fldChar w:fldCharType="begin"/>
        </w:r>
        <w:r w:rsidR="008A5924">
          <w:rPr>
            <w:noProof/>
            <w:webHidden/>
          </w:rPr>
          <w:instrText xml:space="preserve"> PAGEREF _Toc16242966 \h </w:instrText>
        </w:r>
        <w:r w:rsidR="008A5924">
          <w:rPr>
            <w:noProof/>
            <w:webHidden/>
          </w:rPr>
        </w:r>
        <w:r w:rsidR="008A5924">
          <w:rPr>
            <w:noProof/>
            <w:webHidden/>
          </w:rPr>
          <w:fldChar w:fldCharType="separate"/>
        </w:r>
        <w:r w:rsidR="004B2A60">
          <w:rPr>
            <w:noProof/>
            <w:webHidden/>
          </w:rPr>
          <w:t>6</w:t>
        </w:r>
        <w:r w:rsidR="008A5924">
          <w:rPr>
            <w:noProof/>
            <w:webHidden/>
          </w:rPr>
          <w:fldChar w:fldCharType="end"/>
        </w:r>
      </w:hyperlink>
    </w:p>
    <w:p w14:paraId="7E890968" w14:textId="37B851D9"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67" w:history="1">
        <w:r w:rsidR="008A5924" w:rsidRPr="000738D7">
          <w:rPr>
            <w:rStyle w:val="Hipervnculo"/>
            <w:noProof/>
          </w:rPr>
          <w:t>Gráfico  4: Variaciones en las tasas de Crecimiento de Importaciones y Exportaciones</w:t>
        </w:r>
        <w:r w:rsidR="00DD14C8">
          <w:rPr>
            <w:noProof/>
            <w:webHidden/>
          </w:rPr>
          <w:t>………………</w:t>
        </w:r>
        <w:r w:rsidR="008A5924">
          <w:rPr>
            <w:noProof/>
            <w:webHidden/>
          </w:rPr>
          <w:fldChar w:fldCharType="begin"/>
        </w:r>
        <w:r w:rsidR="008A5924">
          <w:rPr>
            <w:noProof/>
            <w:webHidden/>
          </w:rPr>
          <w:instrText xml:space="preserve"> PAGEREF _Toc16242967 \h </w:instrText>
        </w:r>
        <w:r w:rsidR="008A5924">
          <w:rPr>
            <w:noProof/>
            <w:webHidden/>
          </w:rPr>
        </w:r>
        <w:r w:rsidR="008A5924">
          <w:rPr>
            <w:noProof/>
            <w:webHidden/>
          </w:rPr>
          <w:fldChar w:fldCharType="separate"/>
        </w:r>
        <w:r w:rsidR="004B2A60">
          <w:rPr>
            <w:noProof/>
            <w:webHidden/>
          </w:rPr>
          <w:t>6</w:t>
        </w:r>
        <w:r w:rsidR="008A5924">
          <w:rPr>
            <w:noProof/>
            <w:webHidden/>
          </w:rPr>
          <w:fldChar w:fldCharType="end"/>
        </w:r>
      </w:hyperlink>
    </w:p>
    <w:p w14:paraId="6A3AE59F" w14:textId="7509C5F8"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68" w:history="1">
        <w:r w:rsidR="008A5924" w:rsidRPr="000738D7">
          <w:rPr>
            <w:rStyle w:val="Hipervnculo"/>
            <w:noProof/>
          </w:rPr>
          <w:t>Gráfico  5: Variaciones en las tasas de Crecimiento del PIB nominal y exportaciones</w:t>
        </w:r>
        <w:r w:rsidR="00E25115">
          <w:rPr>
            <w:rStyle w:val="Hipervnculo"/>
            <w:noProof/>
          </w:rPr>
          <w:t xml:space="preserve">                            </w:t>
        </w:r>
        <w:r w:rsidR="008A5924" w:rsidRPr="000738D7">
          <w:rPr>
            <w:rStyle w:val="Hipervnculo"/>
            <w:noProof/>
          </w:rPr>
          <w:t xml:space="preserve"> nominal</w:t>
        </w:r>
        <w:r w:rsidR="00DD14C8">
          <w:rPr>
            <w:noProof/>
            <w:webHidden/>
          </w:rPr>
          <w:t>………………………………………………………………………………………………….</w:t>
        </w:r>
        <w:r w:rsidR="008A5924">
          <w:rPr>
            <w:noProof/>
            <w:webHidden/>
          </w:rPr>
          <w:fldChar w:fldCharType="begin"/>
        </w:r>
        <w:r w:rsidR="008A5924">
          <w:rPr>
            <w:noProof/>
            <w:webHidden/>
          </w:rPr>
          <w:instrText xml:space="preserve"> PAGEREF _Toc16242968 \h </w:instrText>
        </w:r>
        <w:r w:rsidR="008A5924">
          <w:rPr>
            <w:noProof/>
            <w:webHidden/>
          </w:rPr>
        </w:r>
        <w:r w:rsidR="008A5924">
          <w:rPr>
            <w:noProof/>
            <w:webHidden/>
          </w:rPr>
          <w:fldChar w:fldCharType="separate"/>
        </w:r>
        <w:r w:rsidR="004B2A60">
          <w:rPr>
            <w:noProof/>
            <w:webHidden/>
          </w:rPr>
          <w:t>7</w:t>
        </w:r>
        <w:r w:rsidR="008A5924">
          <w:rPr>
            <w:noProof/>
            <w:webHidden/>
          </w:rPr>
          <w:fldChar w:fldCharType="end"/>
        </w:r>
      </w:hyperlink>
    </w:p>
    <w:p w14:paraId="7087F4ED" w14:textId="03F22CA3" w:rsidR="00C96FDA" w:rsidRDefault="00000000" w:rsidP="008A5924">
      <w:pPr>
        <w:pStyle w:val="Tabladeilustraciones"/>
        <w:tabs>
          <w:tab w:val="right" w:leader="dot" w:pos="8828"/>
        </w:tabs>
        <w:rPr>
          <w:noProof/>
        </w:rPr>
      </w:pPr>
      <w:hyperlink w:anchor="_Toc16242969" w:history="1">
        <w:r w:rsidR="008A5924" w:rsidRPr="000738D7">
          <w:rPr>
            <w:rStyle w:val="Hipervnculo"/>
            <w:noProof/>
          </w:rPr>
          <w:t>Gráfico  6: Desviaciones de los escenarios fiscales</w:t>
        </w:r>
        <w:r w:rsidR="00DD14C8">
          <w:rPr>
            <w:noProof/>
            <w:webHidden/>
          </w:rPr>
          <w:t>…………………………………………………….</w:t>
        </w:r>
        <w:r w:rsidR="008A5924">
          <w:rPr>
            <w:noProof/>
            <w:webHidden/>
          </w:rPr>
          <w:fldChar w:fldCharType="begin"/>
        </w:r>
        <w:r w:rsidR="008A5924">
          <w:rPr>
            <w:noProof/>
            <w:webHidden/>
          </w:rPr>
          <w:instrText xml:space="preserve"> PAGEREF _Toc16242969 \h </w:instrText>
        </w:r>
        <w:r w:rsidR="008A5924">
          <w:rPr>
            <w:noProof/>
            <w:webHidden/>
          </w:rPr>
        </w:r>
        <w:r w:rsidR="008A5924">
          <w:rPr>
            <w:noProof/>
            <w:webHidden/>
          </w:rPr>
          <w:fldChar w:fldCharType="separate"/>
        </w:r>
        <w:r w:rsidR="004B2A60">
          <w:rPr>
            <w:noProof/>
            <w:webHidden/>
          </w:rPr>
          <w:t>9</w:t>
        </w:r>
        <w:r w:rsidR="008A5924">
          <w:rPr>
            <w:noProof/>
            <w:webHidden/>
          </w:rPr>
          <w:fldChar w:fldCharType="end"/>
        </w:r>
      </w:hyperlink>
    </w:p>
    <w:p w14:paraId="2ACC2514" w14:textId="3246A100"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0" w:history="1">
        <w:r w:rsidR="008A5924" w:rsidRPr="000738D7">
          <w:rPr>
            <w:rStyle w:val="Hipervnculo"/>
            <w:noProof/>
          </w:rPr>
          <w:t>Gráfico  7: Indicadores de Solvencia de la Deuda Pública</w:t>
        </w:r>
        <w:r w:rsidR="00DD14C8">
          <w:rPr>
            <w:noProof/>
            <w:webHidden/>
          </w:rPr>
          <w:t xml:space="preserve">……………………………………………. </w:t>
        </w:r>
        <w:r w:rsidR="008A5924">
          <w:rPr>
            <w:noProof/>
            <w:webHidden/>
          </w:rPr>
          <w:fldChar w:fldCharType="begin"/>
        </w:r>
        <w:r w:rsidR="008A5924">
          <w:rPr>
            <w:noProof/>
            <w:webHidden/>
          </w:rPr>
          <w:instrText xml:space="preserve"> PAGEREF _Toc16242970 \h </w:instrText>
        </w:r>
        <w:r w:rsidR="008A5924">
          <w:rPr>
            <w:noProof/>
            <w:webHidden/>
          </w:rPr>
        </w:r>
        <w:r w:rsidR="008A5924">
          <w:rPr>
            <w:noProof/>
            <w:webHidden/>
          </w:rPr>
          <w:fldChar w:fldCharType="separate"/>
        </w:r>
        <w:r w:rsidR="004B2A60">
          <w:rPr>
            <w:noProof/>
            <w:webHidden/>
          </w:rPr>
          <w:t>11</w:t>
        </w:r>
        <w:r w:rsidR="008A5924">
          <w:rPr>
            <w:noProof/>
            <w:webHidden/>
          </w:rPr>
          <w:fldChar w:fldCharType="end"/>
        </w:r>
      </w:hyperlink>
    </w:p>
    <w:p w14:paraId="74B74934" w14:textId="119C2798"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1" w:history="1">
        <w:r w:rsidR="008A5924" w:rsidRPr="000738D7">
          <w:rPr>
            <w:rStyle w:val="Hipervnculo"/>
            <w:noProof/>
          </w:rPr>
          <w:t>Gráfico  8: Indicadores de Solvencia en Centroamérica</w:t>
        </w:r>
        <w:r w:rsidR="00DD14C8">
          <w:rPr>
            <w:noProof/>
            <w:webHidden/>
          </w:rPr>
          <w:t xml:space="preserve">………………………………………………. </w:t>
        </w:r>
        <w:r w:rsidR="008A5924">
          <w:rPr>
            <w:noProof/>
            <w:webHidden/>
          </w:rPr>
          <w:fldChar w:fldCharType="begin"/>
        </w:r>
        <w:r w:rsidR="008A5924">
          <w:rPr>
            <w:noProof/>
            <w:webHidden/>
          </w:rPr>
          <w:instrText xml:space="preserve"> PAGEREF _Toc16242971 \h </w:instrText>
        </w:r>
        <w:r w:rsidR="008A5924">
          <w:rPr>
            <w:noProof/>
            <w:webHidden/>
          </w:rPr>
        </w:r>
        <w:r w:rsidR="008A5924">
          <w:rPr>
            <w:noProof/>
            <w:webHidden/>
          </w:rPr>
          <w:fldChar w:fldCharType="separate"/>
        </w:r>
        <w:r w:rsidR="004B2A60">
          <w:rPr>
            <w:noProof/>
            <w:webHidden/>
          </w:rPr>
          <w:t>12</w:t>
        </w:r>
        <w:r w:rsidR="008A5924">
          <w:rPr>
            <w:noProof/>
            <w:webHidden/>
          </w:rPr>
          <w:fldChar w:fldCharType="end"/>
        </w:r>
      </w:hyperlink>
    </w:p>
    <w:p w14:paraId="36804109" w14:textId="72EDD3EB"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2" w:history="1">
        <w:r w:rsidR="008A5924" w:rsidRPr="000738D7">
          <w:rPr>
            <w:rStyle w:val="Hipervnculo"/>
            <w:noProof/>
          </w:rPr>
          <w:t>Gráfico  9: Reservas Monetarias Internacionales/Deuda Externa</w:t>
        </w:r>
        <w:r w:rsidR="00DD14C8">
          <w:rPr>
            <w:noProof/>
            <w:webHidden/>
          </w:rPr>
          <w:t xml:space="preserve">……………………………………... </w:t>
        </w:r>
        <w:r w:rsidR="008A5924">
          <w:rPr>
            <w:noProof/>
            <w:webHidden/>
          </w:rPr>
          <w:fldChar w:fldCharType="begin"/>
        </w:r>
        <w:r w:rsidR="008A5924">
          <w:rPr>
            <w:noProof/>
            <w:webHidden/>
          </w:rPr>
          <w:instrText xml:space="preserve"> PAGEREF _Toc16242972 \h </w:instrText>
        </w:r>
        <w:r w:rsidR="008A5924">
          <w:rPr>
            <w:noProof/>
            <w:webHidden/>
          </w:rPr>
        </w:r>
        <w:r w:rsidR="008A5924">
          <w:rPr>
            <w:noProof/>
            <w:webHidden/>
          </w:rPr>
          <w:fldChar w:fldCharType="separate"/>
        </w:r>
        <w:r w:rsidR="004B2A60">
          <w:rPr>
            <w:noProof/>
            <w:webHidden/>
          </w:rPr>
          <w:t>13</w:t>
        </w:r>
        <w:r w:rsidR="008A5924">
          <w:rPr>
            <w:noProof/>
            <w:webHidden/>
          </w:rPr>
          <w:fldChar w:fldCharType="end"/>
        </w:r>
      </w:hyperlink>
    </w:p>
    <w:p w14:paraId="714BB488" w14:textId="5DCEF323"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3" w:history="1">
        <w:r w:rsidR="008A5924" w:rsidRPr="000738D7">
          <w:rPr>
            <w:rStyle w:val="Hipervnculo"/>
            <w:noProof/>
          </w:rPr>
          <w:t>Gráfico  10: Indicadores de Liquidez de la Deuda Pública</w:t>
        </w:r>
        <w:r w:rsidR="00DD14C8">
          <w:rPr>
            <w:noProof/>
            <w:webHidden/>
          </w:rPr>
          <w:t xml:space="preserve">……………………………………………. </w:t>
        </w:r>
        <w:r w:rsidR="008A5924">
          <w:rPr>
            <w:noProof/>
            <w:webHidden/>
          </w:rPr>
          <w:fldChar w:fldCharType="begin"/>
        </w:r>
        <w:r w:rsidR="008A5924">
          <w:rPr>
            <w:noProof/>
            <w:webHidden/>
          </w:rPr>
          <w:instrText xml:space="preserve"> PAGEREF _Toc16242973 \h </w:instrText>
        </w:r>
        <w:r w:rsidR="008A5924">
          <w:rPr>
            <w:noProof/>
            <w:webHidden/>
          </w:rPr>
        </w:r>
        <w:r w:rsidR="008A5924">
          <w:rPr>
            <w:noProof/>
            <w:webHidden/>
          </w:rPr>
          <w:fldChar w:fldCharType="separate"/>
        </w:r>
        <w:r w:rsidR="004B2A60">
          <w:rPr>
            <w:noProof/>
            <w:webHidden/>
          </w:rPr>
          <w:t>13</w:t>
        </w:r>
        <w:r w:rsidR="008A5924">
          <w:rPr>
            <w:noProof/>
            <w:webHidden/>
          </w:rPr>
          <w:fldChar w:fldCharType="end"/>
        </w:r>
      </w:hyperlink>
    </w:p>
    <w:p w14:paraId="0059C371" w14:textId="6030E4D9"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4" w:history="1">
        <w:r w:rsidR="008A5924" w:rsidRPr="000738D7">
          <w:rPr>
            <w:rStyle w:val="Hipervnculo"/>
            <w:noProof/>
          </w:rPr>
          <w:t>Gráfico  11: Vulnerabilidad del Perfil de la Deuda Pública</w:t>
        </w:r>
        <w:r w:rsidR="00DD14C8">
          <w:rPr>
            <w:noProof/>
            <w:webHidden/>
          </w:rPr>
          <w:t xml:space="preserve">…………………………………………… </w:t>
        </w:r>
        <w:r w:rsidR="008A5924">
          <w:rPr>
            <w:noProof/>
            <w:webHidden/>
          </w:rPr>
          <w:fldChar w:fldCharType="begin"/>
        </w:r>
        <w:r w:rsidR="008A5924">
          <w:rPr>
            <w:noProof/>
            <w:webHidden/>
          </w:rPr>
          <w:instrText xml:space="preserve"> PAGEREF _Toc16242974 \h </w:instrText>
        </w:r>
        <w:r w:rsidR="008A5924">
          <w:rPr>
            <w:noProof/>
            <w:webHidden/>
          </w:rPr>
        </w:r>
        <w:r w:rsidR="008A5924">
          <w:rPr>
            <w:noProof/>
            <w:webHidden/>
          </w:rPr>
          <w:fldChar w:fldCharType="separate"/>
        </w:r>
        <w:r w:rsidR="004B2A60">
          <w:rPr>
            <w:noProof/>
            <w:webHidden/>
          </w:rPr>
          <w:t>15</w:t>
        </w:r>
        <w:r w:rsidR="008A5924">
          <w:rPr>
            <w:noProof/>
            <w:webHidden/>
          </w:rPr>
          <w:fldChar w:fldCharType="end"/>
        </w:r>
      </w:hyperlink>
    </w:p>
    <w:p w14:paraId="0EAB673F" w14:textId="746EBE12"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5" w:history="1">
        <w:r w:rsidR="008A5924" w:rsidRPr="000738D7">
          <w:rPr>
            <w:rStyle w:val="Hipervnculo"/>
            <w:noProof/>
          </w:rPr>
          <w:t>Gráfico  12: EMBI Calculado para Países de América Latina</w:t>
        </w:r>
        <w:r w:rsidR="00DD14C8">
          <w:rPr>
            <w:noProof/>
            <w:webHidden/>
          </w:rPr>
          <w:t xml:space="preserve">………………………………………… </w:t>
        </w:r>
        <w:r w:rsidR="008A5924">
          <w:rPr>
            <w:noProof/>
            <w:webHidden/>
          </w:rPr>
          <w:fldChar w:fldCharType="begin"/>
        </w:r>
        <w:r w:rsidR="008A5924">
          <w:rPr>
            <w:noProof/>
            <w:webHidden/>
          </w:rPr>
          <w:instrText xml:space="preserve"> PAGEREF _Toc16242975 \h </w:instrText>
        </w:r>
        <w:r w:rsidR="008A5924">
          <w:rPr>
            <w:noProof/>
            <w:webHidden/>
          </w:rPr>
        </w:r>
        <w:r w:rsidR="008A5924">
          <w:rPr>
            <w:noProof/>
            <w:webHidden/>
          </w:rPr>
          <w:fldChar w:fldCharType="separate"/>
        </w:r>
        <w:r w:rsidR="004B2A60">
          <w:rPr>
            <w:noProof/>
            <w:webHidden/>
          </w:rPr>
          <w:t>15</w:t>
        </w:r>
        <w:r w:rsidR="008A5924">
          <w:rPr>
            <w:noProof/>
            <w:webHidden/>
          </w:rPr>
          <w:fldChar w:fldCharType="end"/>
        </w:r>
      </w:hyperlink>
    </w:p>
    <w:p w14:paraId="60A4A145" w14:textId="339C0188"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6" w:history="1">
        <w:r w:rsidR="008A5924" w:rsidRPr="000738D7">
          <w:rPr>
            <w:rStyle w:val="Hipervnculo"/>
            <w:noProof/>
          </w:rPr>
          <w:t xml:space="preserve">Gráfico  13: </w:t>
        </w:r>
        <w:r w:rsidR="008A5924" w:rsidRPr="000738D7">
          <w:rPr>
            <w:rStyle w:val="Hipervnculo"/>
            <w:noProof/>
            <w:lang w:val="es-MX"/>
          </w:rPr>
          <w:t>Flujos Creadores de Deuda Pública</w:t>
        </w:r>
        <w:r w:rsidR="00DD14C8">
          <w:rPr>
            <w:noProof/>
            <w:webHidden/>
          </w:rPr>
          <w:t xml:space="preserve">……………………………………………………… </w:t>
        </w:r>
        <w:r w:rsidR="008A5924">
          <w:rPr>
            <w:noProof/>
            <w:webHidden/>
          </w:rPr>
          <w:fldChar w:fldCharType="begin"/>
        </w:r>
        <w:r w:rsidR="008A5924">
          <w:rPr>
            <w:noProof/>
            <w:webHidden/>
          </w:rPr>
          <w:instrText xml:space="preserve"> PAGEREF _Toc16242976 \h </w:instrText>
        </w:r>
        <w:r w:rsidR="008A5924">
          <w:rPr>
            <w:noProof/>
            <w:webHidden/>
          </w:rPr>
        </w:r>
        <w:r w:rsidR="008A5924">
          <w:rPr>
            <w:noProof/>
            <w:webHidden/>
          </w:rPr>
          <w:fldChar w:fldCharType="separate"/>
        </w:r>
        <w:r w:rsidR="004B2A60">
          <w:rPr>
            <w:noProof/>
            <w:webHidden/>
          </w:rPr>
          <w:t>17</w:t>
        </w:r>
        <w:r w:rsidR="008A5924">
          <w:rPr>
            <w:noProof/>
            <w:webHidden/>
          </w:rPr>
          <w:fldChar w:fldCharType="end"/>
        </w:r>
      </w:hyperlink>
    </w:p>
    <w:p w14:paraId="26CBC3EB" w14:textId="56441923"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7" w:history="1">
        <w:r w:rsidR="008A5924" w:rsidRPr="000738D7">
          <w:rPr>
            <w:rStyle w:val="Hipervnculo"/>
            <w:noProof/>
          </w:rPr>
          <w:t xml:space="preserve">Gráfico  14: </w:t>
        </w:r>
        <w:r w:rsidR="008A5924" w:rsidRPr="000738D7">
          <w:rPr>
            <w:rStyle w:val="Hipervnculo"/>
            <w:noProof/>
            <w:lang w:val="es-MX"/>
          </w:rPr>
          <w:t>Pruebas de Tensión para el Análisis de Sostenibilidad de la Deuda</w:t>
        </w:r>
        <w:r w:rsidR="00DD14C8">
          <w:rPr>
            <w:noProof/>
            <w:webHidden/>
          </w:rPr>
          <w:t xml:space="preserve">…………………….. </w:t>
        </w:r>
        <w:r w:rsidR="008A5924">
          <w:rPr>
            <w:noProof/>
            <w:webHidden/>
          </w:rPr>
          <w:fldChar w:fldCharType="begin"/>
        </w:r>
        <w:r w:rsidR="008A5924">
          <w:rPr>
            <w:noProof/>
            <w:webHidden/>
          </w:rPr>
          <w:instrText xml:space="preserve"> PAGEREF _Toc16242977 \h </w:instrText>
        </w:r>
        <w:r w:rsidR="008A5924">
          <w:rPr>
            <w:noProof/>
            <w:webHidden/>
          </w:rPr>
        </w:r>
        <w:r w:rsidR="008A5924">
          <w:rPr>
            <w:noProof/>
            <w:webHidden/>
          </w:rPr>
          <w:fldChar w:fldCharType="separate"/>
        </w:r>
        <w:r w:rsidR="004B2A60">
          <w:rPr>
            <w:noProof/>
            <w:webHidden/>
          </w:rPr>
          <w:t>19</w:t>
        </w:r>
        <w:r w:rsidR="008A5924">
          <w:rPr>
            <w:noProof/>
            <w:webHidden/>
          </w:rPr>
          <w:fldChar w:fldCharType="end"/>
        </w:r>
      </w:hyperlink>
    </w:p>
    <w:p w14:paraId="7227D0FB" w14:textId="4814F610"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8" w:history="1">
        <w:r w:rsidR="008A5924" w:rsidRPr="000738D7">
          <w:rPr>
            <w:rStyle w:val="Hipervnculo"/>
            <w:noProof/>
          </w:rPr>
          <w:t xml:space="preserve">Gráfico  15: </w:t>
        </w:r>
        <w:r w:rsidR="008A5924" w:rsidRPr="000738D7">
          <w:rPr>
            <w:rStyle w:val="Hipervnculo"/>
            <w:noProof/>
            <w:lang w:val="es-MX"/>
          </w:rPr>
          <w:t>Trayectoria de la Deuda Pública (Fan chart)</w:t>
        </w:r>
        <w:r w:rsidR="00DD14C8">
          <w:rPr>
            <w:noProof/>
            <w:webHidden/>
          </w:rPr>
          <w:t xml:space="preserve">…………………………………………….. </w:t>
        </w:r>
        <w:r w:rsidR="008A5924">
          <w:rPr>
            <w:noProof/>
            <w:webHidden/>
          </w:rPr>
          <w:fldChar w:fldCharType="begin"/>
        </w:r>
        <w:r w:rsidR="008A5924">
          <w:rPr>
            <w:noProof/>
            <w:webHidden/>
          </w:rPr>
          <w:instrText xml:space="preserve"> PAGEREF _Toc16242978 \h </w:instrText>
        </w:r>
        <w:r w:rsidR="008A5924">
          <w:rPr>
            <w:noProof/>
            <w:webHidden/>
          </w:rPr>
        </w:r>
        <w:r w:rsidR="008A5924">
          <w:rPr>
            <w:noProof/>
            <w:webHidden/>
          </w:rPr>
          <w:fldChar w:fldCharType="separate"/>
        </w:r>
        <w:r w:rsidR="004B2A60">
          <w:rPr>
            <w:noProof/>
            <w:webHidden/>
          </w:rPr>
          <w:t>20</w:t>
        </w:r>
        <w:r w:rsidR="008A5924">
          <w:rPr>
            <w:noProof/>
            <w:webHidden/>
          </w:rPr>
          <w:fldChar w:fldCharType="end"/>
        </w:r>
      </w:hyperlink>
    </w:p>
    <w:p w14:paraId="7C891960" w14:textId="515607BC"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79" w:history="1">
        <w:r w:rsidR="008A5924" w:rsidRPr="000738D7">
          <w:rPr>
            <w:rStyle w:val="Hipervnculo"/>
            <w:noProof/>
          </w:rPr>
          <w:t>Gráfico  16: Escenarios del Comportamiento de la Deuda Pública en el Largo Plazo</w:t>
        </w:r>
        <w:r w:rsidR="00DD14C8">
          <w:rPr>
            <w:noProof/>
            <w:webHidden/>
          </w:rPr>
          <w:t xml:space="preserve">………………... </w:t>
        </w:r>
        <w:r w:rsidR="008A5924">
          <w:rPr>
            <w:noProof/>
            <w:webHidden/>
          </w:rPr>
          <w:fldChar w:fldCharType="begin"/>
        </w:r>
        <w:r w:rsidR="008A5924">
          <w:rPr>
            <w:noProof/>
            <w:webHidden/>
          </w:rPr>
          <w:instrText xml:space="preserve"> PAGEREF _Toc16242979 \h </w:instrText>
        </w:r>
        <w:r w:rsidR="008A5924">
          <w:rPr>
            <w:noProof/>
            <w:webHidden/>
          </w:rPr>
        </w:r>
        <w:r w:rsidR="008A5924">
          <w:rPr>
            <w:noProof/>
            <w:webHidden/>
          </w:rPr>
          <w:fldChar w:fldCharType="separate"/>
        </w:r>
        <w:r w:rsidR="004B2A60">
          <w:rPr>
            <w:noProof/>
            <w:webHidden/>
          </w:rPr>
          <w:t>21</w:t>
        </w:r>
        <w:r w:rsidR="008A5924">
          <w:rPr>
            <w:noProof/>
            <w:webHidden/>
          </w:rPr>
          <w:fldChar w:fldCharType="end"/>
        </w:r>
      </w:hyperlink>
    </w:p>
    <w:p w14:paraId="329F832B" w14:textId="26F5D003"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0" w:history="1">
        <w:r w:rsidR="008A5924" w:rsidRPr="000738D7">
          <w:rPr>
            <w:rStyle w:val="Hipervnculo"/>
            <w:noProof/>
          </w:rPr>
          <w:t xml:space="preserve">Gráfico  17: </w:t>
        </w:r>
        <w:r w:rsidR="008A5924" w:rsidRPr="000738D7">
          <w:rPr>
            <w:rStyle w:val="Hipervnculo"/>
            <w:noProof/>
            <w:lang w:val="es-MX"/>
          </w:rPr>
          <w:t>Escenarios de Ajuste Fiscal para Atenuar Choques</w:t>
        </w:r>
        <w:r w:rsidR="00DD14C8">
          <w:rPr>
            <w:noProof/>
            <w:webHidden/>
          </w:rPr>
          <w:t xml:space="preserve">……………………………………… </w:t>
        </w:r>
        <w:r w:rsidR="008A5924">
          <w:rPr>
            <w:noProof/>
            <w:webHidden/>
          </w:rPr>
          <w:fldChar w:fldCharType="begin"/>
        </w:r>
        <w:r w:rsidR="008A5924">
          <w:rPr>
            <w:noProof/>
            <w:webHidden/>
          </w:rPr>
          <w:instrText xml:space="preserve"> PAGEREF _Toc16242980 \h </w:instrText>
        </w:r>
        <w:r w:rsidR="008A5924">
          <w:rPr>
            <w:noProof/>
            <w:webHidden/>
          </w:rPr>
        </w:r>
        <w:r w:rsidR="008A5924">
          <w:rPr>
            <w:noProof/>
            <w:webHidden/>
          </w:rPr>
          <w:fldChar w:fldCharType="separate"/>
        </w:r>
        <w:r w:rsidR="004B2A60">
          <w:rPr>
            <w:noProof/>
            <w:webHidden/>
          </w:rPr>
          <w:t>22</w:t>
        </w:r>
        <w:r w:rsidR="008A5924">
          <w:rPr>
            <w:noProof/>
            <w:webHidden/>
          </w:rPr>
          <w:fldChar w:fldCharType="end"/>
        </w:r>
      </w:hyperlink>
    </w:p>
    <w:p w14:paraId="2C77D5E0" w14:textId="26C40BD4"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1" w:history="1">
        <w:r w:rsidR="008A5924" w:rsidRPr="000738D7">
          <w:rPr>
            <w:rStyle w:val="Hipervnculo"/>
            <w:noProof/>
          </w:rPr>
          <w:t>Gráfico  18: Impulso Fiscal</w:t>
        </w:r>
        <w:r w:rsidR="00DD14C8">
          <w:rPr>
            <w:noProof/>
            <w:webHidden/>
          </w:rPr>
          <w:t xml:space="preserve">……………………………………………………………………………. </w:t>
        </w:r>
        <w:r w:rsidR="008A5924">
          <w:rPr>
            <w:noProof/>
            <w:webHidden/>
          </w:rPr>
          <w:fldChar w:fldCharType="begin"/>
        </w:r>
        <w:r w:rsidR="008A5924">
          <w:rPr>
            <w:noProof/>
            <w:webHidden/>
          </w:rPr>
          <w:instrText xml:space="preserve"> PAGEREF _Toc16242981 \h </w:instrText>
        </w:r>
        <w:r w:rsidR="008A5924">
          <w:rPr>
            <w:noProof/>
            <w:webHidden/>
          </w:rPr>
        </w:r>
        <w:r w:rsidR="008A5924">
          <w:rPr>
            <w:noProof/>
            <w:webHidden/>
          </w:rPr>
          <w:fldChar w:fldCharType="separate"/>
        </w:r>
        <w:r w:rsidR="004B2A60">
          <w:rPr>
            <w:noProof/>
            <w:webHidden/>
          </w:rPr>
          <w:t>25</w:t>
        </w:r>
        <w:r w:rsidR="008A5924">
          <w:rPr>
            <w:noProof/>
            <w:webHidden/>
          </w:rPr>
          <w:fldChar w:fldCharType="end"/>
        </w:r>
      </w:hyperlink>
    </w:p>
    <w:p w14:paraId="0C54B045" w14:textId="78CC0448"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2" w:history="1">
        <w:r w:rsidR="008A5924" w:rsidRPr="000738D7">
          <w:rPr>
            <w:rStyle w:val="Hipervnculo"/>
            <w:noProof/>
          </w:rPr>
          <w:t>Gráfico  19: Distribución de desastres naturales por tipo de evento</w:t>
        </w:r>
        <w:r w:rsidR="00DD14C8">
          <w:rPr>
            <w:noProof/>
            <w:webHidden/>
          </w:rPr>
          <w:t xml:space="preserve">…………………………………... </w:t>
        </w:r>
        <w:r w:rsidR="008A5924">
          <w:rPr>
            <w:noProof/>
            <w:webHidden/>
          </w:rPr>
          <w:fldChar w:fldCharType="begin"/>
        </w:r>
        <w:r w:rsidR="008A5924">
          <w:rPr>
            <w:noProof/>
            <w:webHidden/>
          </w:rPr>
          <w:instrText xml:space="preserve"> PAGEREF _Toc16242982 \h </w:instrText>
        </w:r>
        <w:r w:rsidR="008A5924">
          <w:rPr>
            <w:noProof/>
            <w:webHidden/>
          </w:rPr>
        </w:r>
        <w:r w:rsidR="008A5924">
          <w:rPr>
            <w:noProof/>
            <w:webHidden/>
          </w:rPr>
          <w:fldChar w:fldCharType="separate"/>
        </w:r>
        <w:r w:rsidR="004B2A60">
          <w:rPr>
            <w:noProof/>
            <w:webHidden/>
          </w:rPr>
          <w:t>26</w:t>
        </w:r>
        <w:r w:rsidR="008A5924">
          <w:rPr>
            <w:noProof/>
            <w:webHidden/>
          </w:rPr>
          <w:fldChar w:fldCharType="end"/>
        </w:r>
      </w:hyperlink>
    </w:p>
    <w:p w14:paraId="27FAFBE5" w14:textId="6DB0233C"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3" w:history="1">
        <w:r w:rsidR="008A5924" w:rsidRPr="000738D7">
          <w:rPr>
            <w:rStyle w:val="Hipervnculo"/>
            <w:noProof/>
          </w:rPr>
          <w:t>Gráfico  20: Asignación de presupuesto a CONRED en millones de quetzales</w:t>
        </w:r>
        <w:r w:rsidR="00DD14C8">
          <w:rPr>
            <w:noProof/>
            <w:webHidden/>
          </w:rPr>
          <w:t xml:space="preserve">………………………. </w:t>
        </w:r>
        <w:r w:rsidR="008A5924">
          <w:rPr>
            <w:noProof/>
            <w:webHidden/>
          </w:rPr>
          <w:fldChar w:fldCharType="begin"/>
        </w:r>
        <w:r w:rsidR="008A5924">
          <w:rPr>
            <w:noProof/>
            <w:webHidden/>
          </w:rPr>
          <w:instrText xml:space="preserve"> PAGEREF _Toc16242983 \h </w:instrText>
        </w:r>
        <w:r w:rsidR="008A5924">
          <w:rPr>
            <w:noProof/>
            <w:webHidden/>
          </w:rPr>
        </w:r>
        <w:r w:rsidR="008A5924">
          <w:rPr>
            <w:noProof/>
            <w:webHidden/>
          </w:rPr>
          <w:fldChar w:fldCharType="separate"/>
        </w:r>
        <w:r w:rsidR="004B2A60">
          <w:rPr>
            <w:noProof/>
            <w:webHidden/>
          </w:rPr>
          <w:t>27</w:t>
        </w:r>
        <w:r w:rsidR="008A5924">
          <w:rPr>
            <w:noProof/>
            <w:webHidden/>
          </w:rPr>
          <w:fldChar w:fldCharType="end"/>
        </w:r>
      </w:hyperlink>
    </w:p>
    <w:p w14:paraId="629E35D7" w14:textId="7B3CBA31"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4" w:history="1">
        <w:r w:rsidR="008A5924" w:rsidRPr="000738D7">
          <w:rPr>
            <w:rStyle w:val="Hipervnculo"/>
            <w:noProof/>
          </w:rPr>
          <w:t>Gráfico  21: Gasto por función de CONRED en porcentajes respecto del total devengado</w:t>
        </w:r>
        <w:r w:rsidR="00DD14C8">
          <w:rPr>
            <w:noProof/>
            <w:webHidden/>
          </w:rPr>
          <w:t xml:space="preserve">…………... </w:t>
        </w:r>
        <w:r w:rsidR="008A5924">
          <w:rPr>
            <w:noProof/>
            <w:webHidden/>
          </w:rPr>
          <w:fldChar w:fldCharType="begin"/>
        </w:r>
        <w:r w:rsidR="008A5924">
          <w:rPr>
            <w:noProof/>
            <w:webHidden/>
          </w:rPr>
          <w:instrText xml:space="preserve"> PAGEREF _Toc16242984 \h </w:instrText>
        </w:r>
        <w:r w:rsidR="008A5924">
          <w:rPr>
            <w:noProof/>
            <w:webHidden/>
          </w:rPr>
        </w:r>
        <w:r w:rsidR="008A5924">
          <w:rPr>
            <w:noProof/>
            <w:webHidden/>
          </w:rPr>
          <w:fldChar w:fldCharType="separate"/>
        </w:r>
        <w:r w:rsidR="004B2A60">
          <w:rPr>
            <w:noProof/>
            <w:webHidden/>
          </w:rPr>
          <w:t>28</w:t>
        </w:r>
        <w:r w:rsidR="008A5924">
          <w:rPr>
            <w:noProof/>
            <w:webHidden/>
          </w:rPr>
          <w:fldChar w:fldCharType="end"/>
        </w:r>
      </w:hyperlink>
    </w:p>
    <w:p w14:paraId="6A84550A" w14:textId="517BBCF9"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5" w:history="1">
        <w:r w:rsidR="008A5924" w:rsidRPr="000738D7">
          <w:rPr>
            <w:rStyle w:val="Hipervnculo"/>
            <w:noProof/>
          </w:rPr>
          <w:t>Gráfico  22: Asignación de presupuesto a INSIVUMEH en millones de quetzales</w:t>
        </w:r>
        <w:r w:rsidR="00DD14C8">
          <w:rPr>
            <w:noProof/>
            <w:webHidden/>
          </w:rPr>
          <w:t xml:space="preserve">…………………... </w:t>
        </w:r>
        <w:r w:rsidR="008A5924">
          <w:rPr>
            <w:noProof/>
            <w:webHidden/>
          </w:rPr>
          <w:fldChar w:fldCharType="begin"/>
        </w:r>
        <w:r w:rsidR="008A5924">
          <w:rPr>
            <w:noProof/>
            <w:webHidden/>
          </w:rPr>
          <w:instrText xml:space="preserve"> PAGEREF _Toc16242985 \h </w:instrText>
        </w:r>
        <w:r w:rsidR="008A5924">
          <w:rPr>
            <w:noProof/>
            <w:webHidden/>
          </w:rPr>
        </w:r>
        <w:r w:rsidR="008A5924">
          <w:rPr>
            <w:noProof/>
            <w:webHidden/>
          </w:rPr>
          <w:fldChar w:fldCharType="separate"/>
        </w:r>
        <w:r w:rsidR="004B2A60">
          <w:rPr>
            <w:noProof/>
            <w:webHidden/>
          </w:rPr>
          <w:t>28</w:t>
        </w:r>
        <w:r w:rsidR="008A5924">
          <w:rPr>
            <w:noProof/>
            <w:webHidden/>
          </w:rPr>
          <w:fldChar w:fldCharType="end"/>
        </w:r>
      </w:hyperlink>
    </w:p>
    <w:p w14:paraId="71BF5BF6" w14:textId="07ED22DC"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6" w:history="1">
        <w:r w:rsidR="008A5924" w:rsidRPr="000738D7">
          <w:rPr>
            <w:rStyle w:val="Hipervnculo"/>
            <w:noProof/>
          </w:rPr>
          <w:t>Gráfico  23: Gasto por función de INSIVUMEH en</w:t>
        </w:r>
        <w:r w:rsidR="00DD14C8">
          <w:rPr>
            <w:rStyle w:val="Hipervnculo"/>
            <w:noProof/>
          </w:rPr>
          <w:t xml:space="preserve"> porcentajes respecto del total </w:t>
        </w:r>
        <w:r w:rsidR="00DD14C8" w:rsidRPr="00DD14C8">
          <w:rPr>
            <w:rStyle w:val="Hipervnculo"/>
            <w:noProof/>
          </w:rPr>
          <w:t>devengado</w:t>
        </w:r>
        <w:r w:rsidR="00DD14C8">
          <w:rPr>
            <w:rStyle w:val="Hipervnculo"/>
            <w:noProof/>
          </w:rPr>
          <w:t xml:space="preserve">………. </w:t>
        </w:r>
        <w:r w:rsidR="00DD14C8" w:rsidRPr="00DD14C8">
          <w:rPr>
            <w:rStyle w:val="Hipervnculo"/>
            <w:noProof/>
            <w:webHidden/>
          </w:rPr>
          <w:fldChar w:fldCharType="begin"/>
        </w:r>
        <w:r w:rsidR="00DD14C8" w:rsidRPr="00DD14C8">
          <w:rPr>
            <w:rStyle w:val="Hipervnculo"/>
            <w:noProof/>
            <w:webHidden/>
          </w:rPr>
          <w:instrText xml:space="preserve"> PAGEREF _Toc16242986 \h </w:instrText>
        </w:r>
        <w:r w:rsidR="00DD14C8" w:rsidRPr="00DD14C8">
          <w:rPr>
            <w:rStyle w:val="Hipervnculo"/>
            <w:noProof/>
            <w:webHidden/>
          </w:rPr>
        </w:r>
        <w:r w:rsidR="00DD14C8" w:rsidRPr="00DD14C8">
          <w:rPr>
            <w:rStyle w:val="Hipervnculo"/>
            <w:noProof/>
            <w:webHidden/>
          </w:rPr>
          <w:fldChar w:fldCharType="separate"/>
        </w:r>
        <w:r w:rsidR="004B2A60">
          <w:rPr>
            <w:rStyle w:val="Hipervnculo"/>
            <w:noProof/>
            <w:webHidden/>
          </w:rPr>
          <w:t>29</w:t>
        </w:r>
        <w:r w:rsidR="00DD14C8" w:rsidRPr="00DD14C8">
          <w:rPr>
            <w:rStyle w:val="Hipervnculo"/>
            <w:noProof/>
            <w:webHidden/>
          </w:rPr>
          <w:fldChar w:fldCharType="end"/>
        </w:r>
        <w:r w:rsidR="00E25115">
          <w:rPr>
            <w:rStyle w:val="Hipervnculo"/>
            <w:noProof/>
          </w:rPr>
          <w:t xml:space="preserve">               </w:t>
        </w:r>
      </w:hyperlink>
    </w:p>
    <w:p w14:paraId="5537EBD2" w14:textId="6D5BB4D5"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7" w:history="1">
        <w:r w:rsidR="008A5924" w:rsidRPr="000738D7">
          <w:rPr>
            <w:rStyle w:val="Hipervnculo"/>
            <w:noProof/>
          </w:rPr>
          <w:t>Gráfico  24: Ahorros esperados respecto a la línea base</w:t>
        </w:r>
        <w:r w:rsidR="00DD14C8">
          <w:rPr>
            <w:noProof/>
            <w:webHidden/>
          </w:rPr>
          <w:t xml:space="preserve">……………………………………………..... </w:t>
        </w:r>
        <w:r w:rsidR="008A5924">
          <w:rPr>
            <w:noProof/>
            <w:webHidden/>
          </w:rPr>
          <w:fldChar w:fldCharType="begin"/>
        </w:r>
        <w:r w:rsidR="008A5924">
          <w:rPr>
            <w:noProof/>
            <w:webHidden/>
          </w:rPr>
          <w:instrText xml:space="preserve"> PAGEREF _Toc16242987 \h </w:instrText>
        </w:r>
        <w:r w:rsidR="008A5924">
          <w:rPr>
            <w:noProof/>
            <w:webHidden/>
          </w:rPr>
        </w:r>
        <w:r w:rsidR="008A5924">
          <w:rPr>
            <w:noProof/>
            <w:webHidden/>
          </w:rPr>
          <w:fldChar w:fldCharType="separate"/>
        </w:r>
        <w:r w:rsidR="004B2A60">
          <w:rPr>
            <w:noProof/>
            <w:webHidden/>
          </w:rPr>
          <w:t>32</w:t>
        </w:r>
        <w:r w:rsidR="008A5924">
          <w:rPr>
            <w:noProof/>
            <w:webHidden/>
          </w:rPr>
          <w:fldChar w:fldCharType="end"/>
        </w:r>
      </w:hyperlink>
    </w:p>
    <w:p w14:paraId="5D5EB014" w14:textId="02157AA3"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8" w:history="1">
        <w:r w:rsidR="008A5924" w:rsidRPr="000738D7">
          <w:rPr>
            <w:rStyle w:val="Hipervnculo"/>
            <w:noProof/>
          </w:rPr>
          <w:t>Gráfico  25: Aporte laboral y del Estado al Pla</w:t>
        </w:r>
        <w:r w:rsidR="00DD14C8">
          <w:rPr>
            <w:rStyle w:val="Hipervnculo"/>
            <w:noProof/>
          </w:rPr>
          <w:t xml:space="preserve">n de Clases Pasivas Civiles del </w:t>
        </w:r>
        <w:r w:rsidR="00DD14C8" w:rsidRPr="00DD14C8">
          <w:rPr>
            <w:rStyle w:val="Hipervnculo"/>
            <w:noProof/>
          </w:rPr>
          <w:t>Estado 1998-2018</w:t>
        </w:r>
        <w:r w:rsidR="00DD14C8">
          <w:rPr>
            <w:rStyle w:val="Hipervnculo"/>
            <w:noProof/>
          </w:rPr>
          <w:t xml:space="preserve">…... </w:t>
        </w:r>
        <w:r w:rsidR="00DD14C8">
          <w:rPr>
            <w:noProof/>
            <w:webHidden/>
          </w:rPr>
          <w:fldChar w:fldCharType="begin"/>
        </w:r>
        <w:r w:rsidR="00DD14C8">
          <w:rPr>
            <w:noProof/>
            <w:webHidden/>
          </w:rPr>
          <w:instrText xml:space="preserve"> PAGEREF _Toc16242988 \h </w:instrText>
        </w:r>
        <w:r w:rsidR="00DD14C8">
          <w:rPr>
            <w:noProof/>
            <w:webHidden/>
          </w:rPr>
        </w:r>
        <w:r w:rsidR="00DD14C8">
          <w:rPr>
            <w:noProof/>
            <w:webHidden/>
          </w:rPr>
          <w:fldChar w:fldCharType="separate"/>
        </w:r>
        <w:r w:rsidR="004B2A60">
          <w:rPr>
            <w:noProof/>
            <w:webHidden/>
          </w:rPr>
          <w:t>35</w:t>
        </w:r>
        <w:r w:rsidR="00DD14C8">
          <w:rPr>
            <w:noProof/>
            <w:webHidden/>
          </w:rPr>
          <w:fldChar w:fldCharType="end"/>
        </w:r>
        <w:r w:rsidR="00E25115">
          <w:rPr>
            <w:rStyle w:val="Hipervnculo"/>
            <w:noProof/>
          </w:rPr>
          <w:t xml:space="preserve">                            </w:t>
        </w:r>
      </w:hyperlink>
    </w:p>
    <w:p w14:paraId="1495D279" w14:textId="7CE2D286"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89" w:history="1">
        <w:r w:rsidR="008A5924" w:rsidRPr="000738D7">
          <w:rPr>
            <w:rStyle w:val="Hipervnculo"/>
            <w:noProof/>
          </w:rPr>
          <w:t xml:space="preserve">Gráfico  26: </w:t>
        </w:r>
        <w:r w:rsidR="008A5924" w:rsidRPr="000738D7">
          <w:rPr>
            <w:rStyle w:val="Hipervnculo"/>
            <w:rFonts w:eastAsia="Times New Roman"/>
            <w:noProof/>
            <w:lang w:val="es-ES"/>
          </w:rPr>
          <w:t>Proporción del aporte del Estado re</w:t>
        </w:r>
        <w:r w:rsidR="00E25115">
          <w:rPr>
            <w:rStyle w:val="Hipervnculo"/>
            <w:rFonts w:eastAsia="Times New Roman"/>
            <w:noProof/>
            <w:lang w:val="es-ES"/>
          </w:rPr>
          <w:t>specto al Ingresos Tributarios,</w:t>
        </w:r>
        <w:r w:rsidR="008A5924" w:rsidRPr="000738D7">
          <w:rPr>
            <w:rStyle w:val="Hipervnculo"/>
            <w:rFonts w:eastAsia="Times New Roman"/>
            <w:noProof/>
            <w:lang w:val="es-ES"/>
          </w:rPr>
          <w:t>1998 -2018</w:t>
        </w:r>
        <w:r w:rsidR="00DD14C8">
          <w:rPr>
            <w:rStyle w:val="Hipervnculo"/>
            <w:rFonts w:eastAsia="Times New Roman"/>
            <w:noProof/>
            <w:lang w:val="es-ES"/>
          </w:rPr>
          <w:t xml:space="preserve">................. </w:t>
        </w:r>
        <w:r w:rsidR="008A5924">
          <w:rPr>
            <w:noProof/>
            <w:webHidden/>
          </w:rPr>
          <w:fldChar w:fldCharType="begin"/>
        </w:r>
        <w:r w:rsidR="008A5924">
          <w:rPr>
            <w:noProof/>
            <w:webHidden/>
          </w:rPr>
          <w:instrText xml:space="preserve"> PAGEREF _Toc16242989 \h </w:instrText>
        </w:r>
        <w:r w:rsidR="008A5924">
          <w:rPr>
            <w:noProof/>
            <w:webHidden/>
          </w:rPr>
        </w:r>
        <w:r w:rsidR="008A5924">
          <w:rPr>
            <w:noProof/>
            <w:webHidden/>
          </w:rPr>
          <w:fldChar w:fldCharType="separate"/>
        </w:r>
        <w:r w:rsidR="004B2A60">
          <w:rPr>
            <w:noProof/>
            <w:webHidden/>
          </w:rPr>
          <w:t>35</w:t>
        </w:r>
        <w:r w:rsidR="008A5924">
          <w:rPr>
            <w:noProof/>
            <w:webHidden/>
          </w:rPr>
          <w:fldChar w:fldCharType="end"/>
        </w:r>
      </w:hyperlink>
    </w:p>
    <w:p w14:paraId="52B83250" w14:textId="123CC38B"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0" w:history="1">
        <w:r w:rsidR="008A5924" w:rsidRPr="000738D7">
          <w:rPr>
            <w:rStyle w:val="Hipervnculo"/>
            <w:noProof/>
          </w:rPr>
          <w:t xml:space="preserve">Gráfico  27 : </w:t>
        </w:r>
        <w:r w:rsidR="008A5924" w:rsidRPr="000738D7">
          <w:rPr>
            <w:rStyle w:val="Hipervnculo"/>
            <w:rFonts w:eastAsia="Times New Roman"/>
            <w:noProof/>
            <w:lang w:val="es-ES"/>
          </w:rPr>
          <w:t>Tamaño del Régimen de Clases Pasiva</w:t>
        </w:r>
        <w:r w:rsidR="00DD14C8">
          <w:rPr>
            <w:rStyle w:val="Hipervnculo"/>
            <w:rFonts w:eastAsia="Times New Roman"/>
            <w:noProof/>
            <w:lang w:val="es-ES"/>
          </w:rPr>
          <w:t xml:space="preserve">s respecto del PIB. 2009 – 2018……………….. </w:t>
        </w:r>
        <w:r w:rsidR="008A5924">
          <w:rPr>
            <w:noProof/>
            <w:webHidden/>
          </w:rPr>
          <w:fldChar w:fldCharType="begin"/>
        </w:r>
        <w:r w:rsidR="008A5924">
          <w:rPr>
            <w:noProof/>
            <w:webHidden/>
          </w:rPr>
          <w:instrText xml:space="preserve"> PAGEREF _Toc16242990 \h </w:instrText>
        </w:r>
        <w:r w:rsidR="008A5924">
          <w:rPr>
            <w:noProof/>
            <w:webHidden/>
          </w:rPr>
        </w:r>
        <w:r w:rsidR="008A5924">
          <w:rPr>
            <w:noProof/>
            <w:webHidden/>
          </w:rPr>
          <w:fldChar w:fldCharType="separate"/>
        </w:r>
        <w:r w:rsidR="004B2A60">
          <w:rPr>
            <w:noProof/>
            <w:webHidden/>
          </w:rPr>
          <w:t>36</w:t>
        </w:r>
        <w:r w:rsidR="008A5924">
          <w:rPr>
            <w:noProof/>
            <w:webHidden/>
          </w:rPr>
          <w:fldChar w:fldCharType="end"/>
        </w:r>
      </w:hyperlink>
    </w:p>
    <w:p w14:paraId="7F6F1667" w14:textId="196FBB24"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1" w:history="1">
        <w:r w:rsidR="008A5924" w:rsidRPr="000738D7">
          <w:rPr>
            <w:rStyle w:val="Hipervnculo"/>
            <w:noProof/>
          </w:rPr>
          <w:t>Gráfico  28: Participación en la conformación del Producto Interno Bruto</w:t>
        </w:r>
        <w:r w:rsidR="00DD14C8">
          <w:rPr>
            <w:noProof/>
            <w:webHidden/>
          </w:rPr>
          <w:t xml:space="preserve">…………………………... </w:t>
        </w:r>
        <w:r w:rsidR="008A5924">
          <w:rPr>
            <w:noProof/>
            <w:webHidden/>
          </w:rPr>
          <w:fldChar w:fldCharType="begin"/>
        </w:r>
        <w:r w:rsidR="008A5924">
          <w:rPr>
            <w:noProof/>
            <w:webHidden/>
          </w:rPr>
          <w:instrText xml:space="preserve"> PAGEREF _Toc16242991 \h </w:instrText>
        </w:r>
        <w:r w:rsidR="008A5924">
          <w:rPr>
            <w:noProof/>
            <w:webHidden/>
          </w:rPr>
        </w:r>
        <w:r w:rsidR="008A5924">
          <w:rPr>
            <w:noProof/>
            <w:webHidden/>
          </w:rPr>
          <w:fldChar w:fldCharType="separate"/>
        </w:r>
        <w:r w:rsidR="004B2A60">
          <w:rPr>
            <w:noProof/>
            <w:webHidden/>
          </w:rPr>
          <w:t>38</w:t>
        </w:r>
        <w:r w:rsidR="008A5924">
          <w:rPr>
            <w:noProof/>
            <w:webHidden/>
          </w:rPr>
          <w:fldChar w:fldCharType="end"/>
        </w:r>
      </w:hyperlink>
    </w:p>
    <w:p w14:paraId="63BB6A79" w14:textId="1F8890A9"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2" w:history="1">
        <w:r w:rsidR="008A5924" w:rsidRPr="000738D7">
          <w:rPr>
            <w:rStyle w:val="Hipervnculo"/>
            <w:noProof/>
          </w:rPr>
          <w:t>Gráfico  29: Flujos de Inversión Extranjera Directa</w:t>
        </w:r>
        <w:r w:rsidR="00DD14C8">
          <w:rPr>
            <w:noProof/>
            <w:webHidden/>
          </w:rPr>
          <w:t xml:space="preserve">…………………………………………………... </w:t>
        </w:r>
        <w:r w:rsidR="008A5924">
          <w:rPr>
            <w:noProof/>
            <w:webHidden/>
          </w:rPr>
          <w:fldChar w:fldCharType="begin"/>
        </w:r>
        <w:r w:rsidR="008A5924">
          <w:rPr>
            <w:noProof/>
            <w:webHidden/>
          </w:rPr>
          <w:instrText xml:space="preserve"> PAGEREF _Toc16242992 \h </w:instrText>
        </w:r>
        <w:r w:rsidR="008A5924">
          <w:rPr>
            <w:noProof/>
            <w:webHidden/>
          </w:rPr>
        </w:r>
        <w:r w:rsidR="008A5924">
          <w:rPr>
            <w:noProof/>
            <w:webHidden/>
          </w:rPr>
          <w:fldChar w:fldCharType="separate"/>
        </w:r>
        <w:r w:rsidR="004B2A60">
          <w:rPr>
            <w:noProof/>
            <w:webHidden/>
          </w:rPr>
          <w:t>39</w:t>
        </w:r>
        <w:r w:rsidR="008A5924">
          <w:rPr>
            <w:noProof/>
            <w:webHidden/>
          </w:rPr>
          <w:fldChar w:fldCharType="end"/>
        </w:r>
      </w:hyperlink>
    </w:p>
    <w:p w14:paraId="27F083F1" w14:textId="22293226"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3" w:history="1">
        <w:r w:rsidR="008A5924" w:rsidRPr="000738D7">
          <w:rPr>
            <w:rStyle w:val="Hipervnculo"/>
            <w:noProof/>
          </w:rPr>
          <w:t>Gráfico  30: Producción Petrolera en Guatemala</w:t>
        </w:r>
        <w:r w:rsidR="00DD14C8">
          <w:rPr>
            <w:noProof/>
            <w:webHidden/>
          </w:rPr>
          <w:t xml:space="preserve">……………………………………………………... </w:t>
        </w:r>
        <w:r w:rsidR="008A5924">
          <w:rPr>
            <w:noProof/>
            <w:webHidden/>
          </w:rPr>
          <w:fldChar w:fldCharType="begin"/>
        </w:r>
        <w:r w:rsidR="008A5924">
          <w:rPr>
            <w:noProof/>
            <w:webHidden/>
          </w:rPr>
          <w:instrText xml:space="preserve"> PAGEREF _Toc16242993 \h </w:instrText>
        </w:r>
        <w:r w:rsidR="008A5924">
          <w:rPr>
            <w:noProof/>
            <w:webHidden/>
          </w:rPr>
        </w:r>
        <w:r w:rsidR="008A5924">
          <w:rPr>
            <w:noProof/>
            <w:webHidden/>
          </w:rPr>
          <w:fldChar w:fldCharType="separate"/>
        </w:r>
        <w:r w:rsidR="004B2A60">
          <w:rPr>
            <w:noProof/>
            <w:webHidden/>
          </w:rPr>
          <w:t>41</w:t>
        </w:r>
        <w:r w:rsidR="008A5924">
          <w:rPr>
            <w:noProof/>
            <w:webHidden/>
          </w:rPr>
          <w:fldChar w:fldCharType="end"/>
        </w:r>
      </w:hyperlink>
    </w:p>
    <w:p w14:paraId="5102822D" w14:textId="3B30D357"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4" w:history="1">
        <w:r w:rsidR="008A5924" w:rsidRPr="000738D7">
          <w:rPr>
            <w:rStyle w:val="Hipervnculo"/>
            <w:noProof/>
          </w:rPr>
          <w:t>Gráfico  31: Participación por contrato en la explotación de petróleo en 2018</w:t>
        </w:r>
        <w:r w:rsidR="00DD14C8">
          <w:rPr>
            <w:noProof/>
            <w:webHidden/>
          </w:rPr>
          <w:t xml:space="preserve">………………………. </w:t>
        </w:r>
        <w:r w:rsidR="008A5924">
          <w:rPr>
            <w:noProof/>
            <w:webHidden/>
          </w:rPr>
          <w:fldChar w:fldCharType="begin"/>
        </w:r>
        <w:r w:rsidR="008A5924">
          <w:rPr>
            <w:noProof/>
            <w:webHidden/>
          </w:rPr>
          <w:instrText xml:space="preserve"> PAGEREF _Toc16242994 \h </w:instrText>
        </w:r>
        <w:r w:rsidR="008A5924">
          <w:rPr>
            <w:noProof/>
            <w:webHidden/>
          </w:rPr>
        </w:r>
        <w:r w:rsidR="008A5924">
          <w:rPr>
            <w:noProof/>
            <w:webHidden/>
          </w:rPr>
          <w:fldChar w:fldCharType="separate"/>
        </w:r>
        <w:r w:rsidR="004B2A60">
          <w:rPr>
            <w:noProof/>
            <w:webHidden/>
          </w:rPr>
          <w:t>42</w:t>
        </w:r>
        <w:r w:rsidR="008A5924">
          <w:rPr>
            <w:noProof/>
            <w:webHidden/>
          </w:rPr>
          <w:fldChar w:fldCharType="end"/>
        </w:r>
      </w:hyperlink>
    </w:p>
    <w:p w14:paraId="6848D914" w14:textId="3AE16548"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5" w:history="1">
        <w:r w:rsidR="008A5924" w:rsidRPr="000738D7">
          <w:rPr>
            <w:rStyle w:val="Hipervnculo"/>
            <w:noProof/>
          </w:rPr>
          <w:t>Gráfico  32: Exportaciones de petróleo y participación en las exportaciones totales</w:t>
        </w:r>
        <w:r w:rsidR="00DD14C8">
          <w:rPr>
            <w:noProof/>
            <w:webHidden/>
          </w:rPr>
          <w:t xml:space="preserve">………………… </w:t>
        </w:r>
        <w:r w:rsidR="008A5924">
          <w:rPr>
            <w:noProof/>
            <w:webHidden/>
          </w:rPr>
          <w:fldChar w:fldCharType="begin"/>
        </w:r>
        <w:r w:rsidR="008A5924">
          <w:rPr>
            <w:noProof/>
            <w:webHidden/>
          </w:rPr>
          <w:instrText xml:space="preserve"> PAGEREF _Toc16242995 \h </w:instrText>
        </w:r>
        <w:r w:rsidR="008A5924">
          <w:rPr>
            <w:noProof/>
            <w:webHidden/>
          </w:rPr>
        </w:r>
        <w:r w:rsidR="008A5924">
          <w:rPr>
            <w:noProof/>
            <w:webHidden/>
          </w:rPr>
          <w:fldChar w:fldCharType="separate"/>
        </w:r>
        <w:r w:rsidR="004B2A60">
          <w:rPr>
            <w:noProof/>
            <w:webHidden/>
          </w:rPr>
          <w:t>42</w:t>
        </w:r>
        <w:r w:rsidR="008A5924">
          <w:rPr>
            <w:noProof/>
            <w:webHidden/>
          </w:rPr>
          <w:fldChar w:fldCharType="end"/>
        </w:r>
      </w:hyperlink>
    </w:p>
    <w:p w14:paraId="4DBCC136" w14:textId="6F1AB39F"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6" w:history="1">
        <w:r w:rsidR="008A5924" w:rsidRPr="000738D7">
          <w:rPr>
            <w:rStyle w:val="Hipervnculo"/>
            <w:noProof/>
          </w:rPr>
          <w:t>Gráfico  33: Ingresos Fiscales: regalías y participación estatal en la producción petrolera</w:t>
        </w:r>
        <w:r w:rsidR="00DD14C8">
          <w:rPr>
            <w:noProof/>
            <w:webHidden/>
          </w:rPr>
          <w:t xml:space="preserve">………….. </w:t>
        </w:r>
        <w:r w:rsidR="008A5924">
          <w:rPr>
            <w:noProof/>
            <w:webHidden/>
          </w:rPr>
          <w:fldChar w:fldCharType="begin"/>
        </w:r>
        <w:r w:rsidR="008A5924">
          <w:rPr>
            <w:noProof/>
            <w:webHidden/>
          </w:rPr>
          <w:instrText xml:space="preserve"> PAGEREF _Toc16242996 \h </w:instrText>
        </w:r>
        <w:r w:rsidR="008A5924">
          <w:rPr>
            <w:noProof/>
            <w:webHidden/>
          </w:rPr>
        </w:r>
        <w:r w:rsidR="008A5924">
          <w:rPr>
            <w:noProof/>
            <w:webHidden/>
          </w:rPr>
          <w:fldChar w:fldCharType="separate"/>
        </w:r>
        <w:r w:rsidR="004B2A60">
          <w:rPr>
            <w:noProof/>
            <w:webHidden/>
          </w:rPr>
          <w:t>44</w:t>
        </w:r>
        <w:r w:rsidR="008A5924">
          <w:rPr>
            <w:noProof/>
            <w:webHidden/>
          </w:rPr>
          <w:fldChar w:fldCharType="end"/>
        </w:r>
      </w:hyperlink>
    </w:p>
    <w:p w14:paraId="5D4D1280" w14:textId="6BFC9EC1"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7" w:history="1">
        <w:r w:rsidR="008A5924" w:rsidRPr="000738D7">
          <w:rPr>
            <w:rStyle w:val="Hipervnculo"/>
            <w:noProof/>
          </w:rPr>
          <w:t>Gráfico  34: Recursos transferidos a los Consejos Departamentales de Desarrollo</w:t>
        </w:r>
        <w:r w:rsidR="00DD14C8">
          <w:rPr>
            <w:noProof/>
            <w:webHidden/>
          </w:rPr>
          <w:t xml:space="preserve">………………….. </w:t>
        </w:r>
        <w:r w:rsidR="008A5924">
          <w:rPr>
            <w:noProof/>
            <w:webHidden/>
          </w:rPr>
          <w:fldChar w:fldCharType="begin"/>
        </w:r>
        <w:r w:rsidR="008A5924">
          <w:rPr>
            <w:noProof/>
            <w:webHidden/>
          </w:rPr>
          <w:instrText xml:space="preserve"> PAGEREF _Toc16242997 \h </w:instrText>
        </w:r>
        <w:r w:rsidR="008A5924">
          <w:rPr>
            <w:noProof/>
            <w:webHidden/>
          </w:rPr>
        </w:r>
        <w:r w:rsidR="008A5924">
          <w:rPr>
            <w:noProof/>
            <w:webHidden/>
          </w:rPr>
          <w:fldChar w:fldCharType="separate"/>
        </w:r>
        <w:r w:rsidR="004B2A60">
          <w:rPr>
            <w:noProof/>
            <w:webHidden/>
          </w:rPr>
          <w:t>45</w:t>
        </w:r>
        <w:r w:rsidR="008A5924">
          <w:rPr>
            <w:noProof/>
            <w:webHidden/>
          </w:rPr>
          <w:fldChar w:fldCharType="end"/>
        </w:r>
      </w:hyperlink>
    </w:p>
    <w:p w14:paraId="70CBA931" w14:textId="5B855FC3"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8" w:history="1">
        <w:r w:rsidR="008A5924" w:rsidRPr="000738D7">
          <w:rPr>
            <w:rStyle w:val="Hipervnculo"/>
            <w:noProof/>
          </w:rPr>
          <w:t>Gráfico  35: Producción Minera en Guatemala</w:t>
        </w:r>
        <w:r w:rsidR="00DD14C8">
          <w:rPr>
            <w:noProof/>
            <w:webHidden/>
          </w:rPr>
          <w:t xml:space="preserve">………………………………………………………. </w:t>
        </w:r>
        <w:r w:rsidR="008A5924">
          <w:rPr>
            <w:noProof/>
            <w:webHidden/>
          </w:rPr>
          <w:fldChar w:fldCharType="begin"/>
        </w:r>
        <w:r w:rsidR="008A5924">
          <w:rPr>
            <w:noProof/>
            <w:webHidden/>
          </w:rPr>
          <w:instrText xml:space="preserve"> PAGEREF _Toc16242998 \h </w:instrText>
        </w:r>
        <w:r w:rsidR="008A5924">
          <w:rPr>
            <w:noProof/>
            <w:webHidden/>
          </w:rPr>
        </w:r>
        <w:r w:rsidR="008A5924">
          <w:rPr>
            <w:noProof/>
            <w:webHidden/>
          </w:rPr>
          <w:fldChar w:fldCharType="separate"/>
        </w:r>
        <w:r w:rsidR="004B2A60">
          <w:rPr>
            <w:noProof/>
            <w:webHidden/>
          </w:rPr>
          <w:t>47</w:t>
        </w:r>
        <w:r w:rsidR="008A5924">
          <w:rPr>
            <w:noProof/>
            <w:webHidden/>
          </w:rPr>
          <w:fldChar w:fldCharType="end"/>
        </w:r>
      </w:hyperlink>
    </w:p>
    <w:p w14:paraId="50269DD5" w14:textId="6D5795F9"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2999" w:history="1">
        <w:r w:rsidR="008A5924" w:rsidRPr="000738D7">
          <w:rPr>
            <w:rStyle w:val="Hipervnculo"/>
            <w:noProof/>
          </w:rPr>
          <w:t>Gráfico  36: Regalías mineras Administración Central</w:t>
        </w:r>
        <w:r w:rsidR="00DD14C8">
          <w:rPr>
            <w:noProof/>
            <w:webHidden/>
          </w:rPr>
          <w:t xml:space="preserve">………………………………………………. </w:t>
        </w:r>
        <w:r w:rsidR="008A5924">
          <w:rPr>
            <w:noProof/>
            <w:webHidden/>
          </w:rPr>
          <w:fldChar w:fldCharType="begin"/>
        </w:r>
        <w:r w:rsidR="008A5924">
          <w:rPr>
            <w:noProof/>
            <w:webHidden/>
          </w:rPr>
          <w:instrText xml:space="preserve"> PAGEREF _Toc16242999 \h </w:instrText>
        </w:r>
        <w:r w:rsidR="008A5924">
          <w:rPr>
            <w:noProof/>
            <w:webHidden/>
          </w:rPr>
        </w:r>
        <w:r w:rsidR="008A5924">
          <w:rPr>
            <w:noProof/>
            <w:webHidden/>
          </w:rPr>
          <w:fldChar w:fldCharType="separate"/>
        </w:r>
        <w:r w:rsidR="004B2A60">
          <w:rPr>
            <w:noProof/>
            <w:webHidden/>
          </w:rPr>
          <w:t>49</w:t>
        </w:r>
        <w:r w:rsidR="008A5924">
          <w:rPr>
            <w:noProof/>
            <w:webHidden/>
          </w:rPr>
          <w:fldChar w:fldCharType="end"/>
        </w:r>
      </w:hyperlink>
    </w:p>
    <w:p w14:paraId="7481D6E8" w14:textId="20C7A0F1"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3000" w:history="1">
        <w:r w:rsidR="008A5924" w:rsidRPr="000738D7">
          <w:rPr>
            <w:rStyle w:val="Hipervnculo"/>
            <w:noProof/>
          </w:rPr>
          <w:t>Gráfico  37: Regalías mineras voluntarias a favor de la Administración Central</w:t>
        </w:r>
        <w:r w:rsidR="00DD14C8">
          <w:rPr>
            <w:noProof/>
            <w:webHidden/>
          </w:rPr>
          <w:t xml:space="preserve">……………………. </w:t>
        </w:r>
        <w:r w:rsidR="008A5924">
          <w:rPr>
            <w:noProof/>
            <w:webHidden/>
          </w:rPr>
          <w:fldChar w:fldCharType="begin"/>
        </w:r>
        <w:r w:rsidR="008A5924">
          <w:rPr>
            <w:noProof/>
            <w:webHidden/>
          </w:rPr>
          <w:instrText xml:space="preserve"> PAGEREF _Toc16243000 \h </w:instrText>
        </w:r>
        <w:r w:rsidR="008A5924">
          <w:rPr>
            <w:noProof/>
            <w:webHidden/>
          </w:rPr>
        </w:r>
        <w:r w:rsidR="008A5924">
          <w:rPr>
            <w:noProof/>
            <w:webHidden/>
          </w:rPr>
          <w:fldChar w:fldCharType="separate"/>
        </w:r>
        <w:r w:rsidR="004B2A60">
          <w:rPr>
            <w:noProof/>
            <w:webHidden/>
          </w:rPr>
          <w:t>50</w:t>
        </w:r>
        <w:r w:rsidR="008A5924">
          <w:rPr>
            <w:noProof/>
            <w:webHidden/>
          </w:rPr>
          <w:fldChar w:fldCharType="end"/>
        </w:r>
      </w:hyperlink>
    </w:p>
    <w:p w14:paraId="341E7D04" w14:textId="3AA37495"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3001" w:history="1">
        <w:r w:rsidR="008A5924" w:rsidRPr="000738D7">
          <w:rPr>
            <w:rStyle w:val="Hipervnculo"/>
            <w:noProof/>
          </w:rPr>
          <w:t>Gráfico  38: Regalías mineras a las Municipalidades</w:t>
        </w:r>
        <w:r w:rsidR="00DD14C8">
          <w:rPr>
            <w:noProof/>
            <w:webHidden/>
          </w:rPr>
          <w:t xml:space="preserve">………………………………………………... </w:t>
        </w:r>
        <w:r w:rsidR="008A5924">
          <w:rPr>
            <w:noProof/>
            <w:webHidden/>
          </w:rPr>
          <w:fldChar w:fldCharType="begin"/>
        </w:r>
        <w:r w:rsidR="008A5924">
          <w:rPr>
            <w:noProof/>
            <w:webHidden/>
          </w:rPr>
          <w:instrText xml:space="preserve"> PAGEREF _Toc16243001 \h </w:instrText>
        </w:r>
        <w:r w:rsidR="008A5924">
          <w:rPr>
            <w:noProof/>
            <w:webHidden/>
          </w:rPr>
        </w:r>
        <w:r w:rsidR="008A5924">
          <w:rPr>
            <w:noProof/>
            <w:webHidden/>
          </w:rPr>
          <w:fldChar w:fldCharType="separate"/>
        </w:r>
        <w:r w:rsidR="004B2A60">
          <w:rPr>
            <w:noProof/>
            <w:webHidden/>
          </w:rPr>
          <w:t>51</w:t>
        </w:r>
        <w:r w:rsidR="008A5924">
          <w:rPr>
            <w:noProof/>
            <w:webHidden/>
          </w:rPr>
          <w:fldChar w:fldCharType="end"/>
        </w:r>
      </w:hyperlink>
    </w:p>
    <w:p w14:paraId="10AECA50" w14:textId="73B83C38"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3002" w:history="1">
        <w:r w:rsidR="008A5924" w:rsidRPr="000738D7">
          <w:rPr>
            <w:rStyle w:val="Hipervnculo"/>
            <w:noProof/>
          </w:rPr>
          <w:t>Gráfico  39: Calendario estacional de producción de alimentos en Guatemala</w:t>
        </w:r>
        <w:r w:rsidR="00DD14C8">
          <w:rPr>
            <w:noProof/>
            <w:webHidden/>
          </w:rPr>
          <w:t xml:space="preserve">……………………... </w:t>
        </w:r>
        <w:r w:rsidR="008A5924">
          <w:rPr>
            <w:noProof/>
            <w:webHidden/>
          </w:rPr>
          <w:fldChar w:fldCharType="begin"/>
        </w:r>
        <w:r w:rsidR="008A5924">
          <w:rPr>
            <w:noProof/>
            <w:webHidden/>
          </w:rPr>
          <w:instrText xml:space="preserve"> PAGEREF _Toc16243002 \h </w:instrText>
        </w:r>
        <w:r w:rsidR="008A5924">
          <w:rPr>
            <w:noProof/>
            <w:webHidden/>
          </w:rPr>
        </w:r>
        <w:r w:rsidR="008A5924">
          <w:rPr>
            <w:noProof/>
            <w:webHidden/>
          </w:rPr>
          <w:fldChar w:fldCharType="separate"/>
        </w:r>
        <w:r w:rsidR="004B2A60">
          <w:rPr>
            <w:noProof/>
            <w:webHidden/>
          </w:rPr>
          <w:t>57</w:t>
        </w:r>
        <w:r w:rsidR="008A5924">
          <w:rPr>
            <w:noProof/>
            <w:webHidden/>
          </w:rPr>
          <w:fldChar w:fldCharType="end"/>
        </w:r>
      </w:hyperlink>
    </w:p>
    <w:p w14:paraId="1C9419F5" w14:textId="4036F943" w:rsidR="008A5924" w:rsidRDefault="00000000" w:rsidP="008A5924">
      <w:pPr>
        <w:pStyle w:val="Tabladeilustraciones"/>
        <w:tabs>
          <w:tab w:val="right" w:leader="dot" w:pos="8828"/>
        </w:tabs>
        <w:rPr>
          <w:rFonts w:asciiTheme="minorHAnsi" w:hAnsiTheme="minorHAnsi" w:cstheme="minorBidi"/>
          <w:noProof/>
          <w:sz w:val="22"/>
          <w:szCs w:val="22"/>
          <w:lang w:eastAsia="es-GT"/>
        </w:rPr>
      </w:pPr>
      <w:hyperlink w:anchor="_Toc16243003" w:history="1">
        <w:r w:rsidR="008A5924" w:rsidRPr="000738D7">
          <w:rPr>
            <w:rStyle w:val="Hipervnculo"/>
            <w:noProof/>
          </w:rPr>
          <w:t>Gráfico  40: Número de incendios forestales y Hectáreas afectadas</w:t>
        </w:r>
        <w:r w:rsidR="00DD14C8">
          <w:rPr>
            <w:noProof/>
            <w:webHidden/>
          </w:rPr>
          <w:t xml:space="preserve">……………………………….... </w:t>
        </w:r>
        <w:r w:rsidR="008A5924">
          <w:rPr>
            <w:noProof/>
            <w:webHidden/>
          </w:rPr>
          <w:fldChar w:fldCharType="begin"/>
        </w:r>
        <w:r w:rsidR="008A5924">
          <w:rPr>
            <w:noProof/>
            <w:webHidden/>
          </w:rPr>
          <w:instrText xml:space="preserve"> PAGEREF _Toc16243003 \h </w:instrText>
        </w:r>
        <w:r w:rsidR="008A5924">
          <w:rPr>
            <w:noProof/>
            <w:webHidden/>
          </w:rPr>
        </w:r>
        <w:r w:rsidR="008A5924">
          <w:rPr>
            <w:noProof/>
            <w:webHidden/>
          </w:rPr>
          <w:fldChar w:fldCharType="separate"/>
        </w:r>
        <w:r w:rsidR="004B2A60">
          <w:rPr>
            <w:noProof/>
            <w:webHidden/>
          </w:rPr>
          <w:t>61</w:t>
        </w:r>
        <w:r w:rsidR="008A5924">
          <w:rPr>
            <w:noProof/>
            <w:webHidden/>
          </w:rPr>
          <w:fldChar w:fldCharType="end"/>
        </w:r>
      </w:hyperlink>
    </w:p>
    <w:p w14:paraId="78B49D00" w14:textId="77777777" w:rsidR="008A5924" w:rsidRPr="00184700" w:rsidRDefault="008A5924" w:rsidP="008A5924">
      <w:pPr>
        <w:pStyle w:val="Sinespaciado"/>
        <w:tabs>
          <w:tab w:val="left" w:pos="1134"/>
          <w:tab w:val="left" w:pos="1418"/>
          <w:tab w:val="right" w:pos="8789"/>
        </w:tabs>
        <w:spacing w:line="276" w:lineRule="auto"/>
        <w:ind w:left="1276" w:hanging="1276"/>
        <w:jc w:val="center"/>
        <w:rPr>
          <w:rFonts w:ascii="Times New Roman" w:hAnsi="Times New Roman"/>
          <w:b/>
        </w:rPr>
      </w:pPr>
      <w:r w:rsidRPr="00184700">
        <w:rPr>
          <w:rFonts w:ascii="Times New Roman" w:hAnsi="Times New Roman"/>
          <w:b/>
          <w:szCs w:val="24"/>
        </w:rPr>
        <w:fldChar w:fldCharType="end"/>
      </w:r>
    </w:p>
    <w:p w14:paraId="43F7F067" w14:textId="77777777" w:rsidR="008A5924" w:rsidRDefault="008A5924" w:rsidP="008A5924">
      <w:pPr>
        <w:rPr>
          <w:b/>
        </w:rPr>
      </w:pPr>
    </w:p>
    <w:p w14:paraId="19CE6C5F" w14:textId="7F054DE2" w:rsidR="006812CD" w:rsidRDefault="006812CD">
      <w:pPr>
        <w:widowControl/>
        <w:spacing w:after="200" w:line="276" w:lineRule="auto"/>
        <w:rPr>
          <w:shd w:val="clear" w:color="auto" w:fill="FFFFFF"/>
          <w:lang w:val="es-ES"/>
        </w:rPr>
      </w:pPr>
      <w:r>
        <w:rPr>
          <w:shd w:val="clear" w:color="auto" w:fill="FFFFFF"/>
          <w:lang w:val="es-ES"/>
        </w:rPr>
        <w:br w:type="page"/>
      </w:r>
    </w:p>
    <w:p w14:paraId="33FB01D5" w14:textId="77777777" w:rsidR="006812CD" w:rsidRDefault="006812CD" w:rsidP="00DD6292">
      <w:pPr>
        <w:pStyle w:val="Ttulo1"/>
        <w:widowControl/>
        <w:numPr>
          <w:ilvl w:val="0"/>
          <w:numId w:val="5"/>
        </w:numPr>
        <w:spacing w:before="240" w:after="60"/>
        <w:jc w:val="left"/>
        <w:rPr>
          <w:sz w:val="28"/>
          <w:szCs w:val="28"/>
        </w:rPr>
        <w:sectPr w:rsidR="006812CD" w:rsidSect="006812CD">
          <w:headerReference w:type="even" r:id="rId10"/>
          <w:footerReference w:type="default" r:id="rId11"/>
          <w:pgSz w:w="12240" w:h="15840" w:code="1"/>
          <w:pgMar w:top="1531" w:right="1134" w:bottom="1418" w:left="1134" w:header="397" w:footer="590" w:gutter="0"/>
          <w:pgNumType w:fmt="lowerLetter" w:start="0"/>
          <w:cols w:space="720"/>
          <w:titlePg/>
          <w:docGrid w:linePitch="272"/>
        </w:sectPr>
      </w:pPr>
      <w:bookmarkStart w:id="0" w:name="_Toc16519881"/>
    </w:p>
    <w:p w14:paraId="1F2040E5" w14:textId="27383FF9" w:rsidR="008A5924" w:rsidRPr="00784E7F" w:rsidRDefault="008A5924" w:rsidP="00DD6292">
      <w:pPr>
        <w:pStyle w:val="Ttulo1"/>
        <w:widowControl/>
        <w:numPr>
          <w:ilvl w:val="0"/>
          <w:numId w:val="5"/>
        </w:numPr>
        <w:spacing w:before="240" w:after="60"/>
        <w:jc w:val="left"/>
        <w:rPr>
          <w:sz w:val="28"/>
          <w:szCs w:val="28"/>
        </w:rPr>
      </w:pPr>
      <w:r w:rsidRPr="00784E7F">
        <w:rPr>
          <w:sz w:val="28"/>
          <w:szCs w:val="28"/>
        </w:rPr>
        <w:t>Riesgos Macroeconómicos</w:t>
      </w:r>
      <w:bookmarkEnd w:id="0"/>
    </w:p>
    <w:p w14:paraId="33665680" w14:textId="77777777" w:rsidR="008A5924" w:rsidRPr="00184700" w:rsidRDefault="008A5924" w:rsidP="008A5924">
      <w:pPr>
        <w:pStyle w:val="Sinespaciado"/>
        <w:jc w:val="both"/>
        <w:rPr>
          <w:rFonts w:ascii="Times New Roman" w:hAnsi="Times New Roman"/>
        </w:rPr>
      </w:pPr>
    </w:p>
    <w:p w14:paraId="78114703" w14:textId="77777777" w:rsidR="008A5924" w:rsidRPr="00E25115" w:rsidRDefault="008A5924" w:rsidP="008A5924">
      <w:pPr>
        <w:pStyle w:val="Sinespaciado"/>
        <w:jc w:val="both"/>
        <w:rPr>
          <w:rFonts w:ascii="Times New Roman" w:hAnsi="Times New Roman"/>
          <w:sz w:val="24"/>
          <w:szCs w:val="24"/>
          <w:lang w:val="es-MX"/>
        </w:rPr>
      </w:pPr>
      <w:r w:rsidRPr="00E25115">
        <w:rPr>
          <w:rFonts w:ascii="Times New Roman" w:hAnsi="Times New Roman"/>
          <w:sz w:val="24"/>
          <w:szCs w:val="24"/>
          <w:lang w:val="es-MX"/>
        </w:rPr>
        <w:t xml:space="preserve">Los riesgos macroeconómicos están determinados por los cambios en la trayectoria de las variables macroeconómicas tanto del sector externo como de la economía doméstica, en este último haciendo especial énfasis en el crecimiento nominal y real de la economía, el comportamiento del comercio exterior (exportaciones e importaciones), algunos precios macroeconómicos como la inflación, las tasas de interés, el tipo de cambio, y otros factores como la liquidez del gobierno y de la economía, así como la materialización de pasivos contingentes.  </w:t>
      </w:r>
    </w:p>
    <w:p w14:paraId="49DE281D" w14:textId="77777777" w:rsidR="008A5924" w:rsidRPr="00E25115" w:rsidRDefault="008A5924" w:rsidP="008A5924">
      <w:pPr>
        <w:pStyle w:val="Sinespaciado"/>
        <w:jc w:val="both"/>
        <w:rPr>
          <w:rFonts w:ascii="Times New Roman" w:hAnsi="Times New Roman"/>
          <w:sz w:val="24"/>
          <w:szCs w:val="24"/>
          <w:lang w:val="es-MX"/>
        </w:rPr>
      </w:pPr>
    </w:p>
    <w:p w14:paraId="6AB5BB45" w14:textId="77777777" w:rsidR="008A5924" w:rsidRPr="00784E7F" w:rsidRDefault="008A5924" w:rsidP="00DD6292">
      <w:pPr>
        <w:pStyle w:val="Ttulo2"/>
        <w:widowControl/>
        <w:numPr>
          <w:ilvl w:val="1"/>
          <w:numId w:val="5"/>
        </w:numPr>
        <w:spacing w:before="240" w:after="60"/>
        <w:ind w:left="993" w:hanging="633"/>
        <w:rPr>
          <w:sz w:val="24"/>
          <w:szCs w:val="24"/>
        </w:rPr>
      </w:pPr>
      <w:bookmarkStart w:id="1" w:name="_Toc16519882"/>
      <w:bookmarkStart w:id="2" w:name="_Toc522000434"/>
      <w:bookmarkStart w:id="3" w:name="_Toc523294530"/>
      <w:r w:rsidRPr="00784E7F">
        <w:rPr>
          <w:sz w:val="24"/>
          <w:szCs w:val="24"/>
        </w:rPr>
        <w:t>Riesgos en el Sector Externo</w:t>
      </w:r>
      <w:bookmarkEnd w:id="1"/>
    </w:p>
    <w:p w14:paraId="58DE44FE" w14:textId="77777777" w:rsidR="008A5924" w:rsidRPr="00184700" w:rsidRDefault="008A5924" w:rsidP="008A5924">
      <w:pPr>
        <w:pStyle w:val="Sinespaciado"/>
        <w:jc w:val="both"/>
        <w:rPr>
          <w:rFonts w:ascii="Times New Roman" w:hAnsi="Times New Roman"/>
          <w:b/>
          <w:szCs w:val="24"/>
        </w:rPr>
      </w:pPr>
    </w:p>
    <w:p w14:paraId="6209B8EF" w14:textId="77777777" w:rsidR="008A5924" w:rsidRPr="00E25115" w:rsidRDefault="008A5924" w:rsidP="008A5924">
      <w:pPr>
        <w:pStyle w:val="Sinespaciado"/>
        <w:jc w:val="both"/>
        <w:rPr>
          <w:rFonts w:ascii="Times New Roman" w:hAnsi="Times New Roman"/>
          <w:sz w:val="24"/>
          <w:szCs w:val="24"/>
        </w:rPr>
      </w:pPr>
      <w:r w:rsidRPr="00E25115">
        <w:rPr>
          <w:rFonts w:ascii="Times New Roman" w:hAnsi="Times New Roman"/>
          <w:sz w:val="24"/>
          <w:szCs w:val="24"/>
        </w:rPr>
        <w:t>La economía mundial desaceleró su rit</w:t>
      </w:r>
      <w:r w:rsidR="00197E56">
        <w:rPr>
          <w:rFonts w:ascii="Times New Roman" w:hAnsi="Times New Roman"/>
          <w:sz w:val="24"/>
          <w:szCs w:val="24"/>
        </w:rPr>
        <w:t>mo de crecimiento en 2018 a 3.6 por ciento</w:t>
      </w:r>
      <w:r w:rsidRPr="00E25115">
        <w:rPr>
          <w:rFonts w:ascii="Times New Roman" w:hAnsi="Times New Roman"/>
          <w:sz w:val="24"/>
          <w:szCs w:val="24"/>
        </w:rPr>
        <w:t xml:space="preserve">, debido a las tensiones comerciales entre Estados Unidos de América –EEUU- y China, la desaceleración en la Zona del Euro, las condiciones macroeconómicas de las economías avanzadas y emergentes, el endurecimiento de las regulaciones del crédito en China y también la normalización de la política monetaria en economías avanzadas tuvo repercusión en las condiciones financieras.  </w:t>
      </w:r>
    </w:p>
    <w:p w14:paraId="2A08A1E9" w14:textId="77777777" w:rsidR="008A5924" w:rsidRPr="00E25115" w:rsidRDefault="008A5924" w:rsidP="008A5924">
      <w:pPr>
        <w:pStyle w:val="Sinespaciado"/>
        <w:jc w:val="both"/>
        <w:rPr>
          <w:rFonts w:ascii="Times New Roman" w:hAnsi="Times New Roman"/>
          <w:sz w:val="24"/>
          <w:szCs w:val="24"/>
        </w:rPr>
      </w:pPr>
    </w:p>
    <w:p w14:paraId="28382F81" w14:textId="77777777" w:rsidR="008A5924" w:rsidRPr="00E25115" w:rsidRDefault="008A5924" w:rsidP="008A5924">
      <w:pPr>
        <w:pStyle w:val="Sinespaciado"/>
        <w:jc w:val="both"/>
        <w:rPr>
          <w:rFonts w:ascii="Times New Roman" w:hAnsi="Times New Roman"/>
          <w:sz w:val="24"/>
          <w:szCs w:val="24"/>
        </w:rPr>
      </w:pPr>
      <w:r w:rsidRPr="00E25115">
        <w:rPr>
          <w:rFonts w:ascii="Times New Roman" w:hAnsi="Times New Roman"/>
          <w:sz w:val="24"/>
          <w:szCs w:val="24"/>
        </w:rPr>
        <w:t>A principios del 2019 aún se tiene el arrastre de estos efectos, pero de acuerdo algunas entidades se esperaba un repunte en el segundo semestre del presente año en la economía mundial por los efectos del estímulo fiscal y monetario de China, una política monetaria acomodaticia en varios países sería posible por la baja inflación, planes de estímulos fiscales en la Zona del Euro y la recuperación de Argentina y Turquía. Sin embargo, en julio 2019 y de acuerdo a pronósticos de la OCDE, el Banco Mundial y la CEPAL, difícilmente esta tendencia logre tener cambios.</w:t>
      </w:r>
    </w:p>
    <w:p w14:paraId="0E8322C3" w14:textId="77777777" w:rsidR="008A5924" w:rsidRPr="00E25115" w:rsidRDefault="008A5924" w:rsidP="008A5924">
      <w:pPr>
        <w:pStyle w:val="Sinespaciado"/>
        <w:jc w:val="both"/>
        <w:rPr>
          <w:rFonts w:ascii="Times New Roman" w:hAnsi="Times New Roman"/>
          <w:sz w:val="24"/>
          <w:szCs w:val="24"/>
        </w:rPr>
      </w:pPr>
    </w:p>
    <w:p w14:paraId="57D93D79" w14:textId="77777777" w:rsidR="008A5924" w:rsidRPr="00E25115" w:rsidRDefault="008A5924" w:rsidP="008A5924">
      <w:pPr>
        <w:pStyle w:val="Sinespaciado"/>
        <w:jc w:val="both"/>
        <w:rPr>
          <w:rFonts w:ascii="Times New Roman" w:hAnsi="Times New Roman"/>
          <w:sz w:val="24"/>
          <w:szCs w:val="24"/>
        </w:rPr>
      </w:pPr>
      <w:r w:rsidRPr="00E25115">
        <w:rPr>
          <w:rFonts w:ascii="Times New Roman" w:hAnsi="Times New Roman"/>
          <w:sz w:val="24"/>
          <w:szCs w:val="24"/>
        </w:rPr>
        <w:t xml:space="preserve">Se estima que el crecimiento </w:t>
      </w:r>
      <w:r w:rsidR="00197E56">
        <w:rPr>
          <w:rFonts w:ascii="Times New Roman" w:hAnsi="Times New Roman"/>
          <w:sz w:val="24"/>
          <w:szCs w:val="24"/>
        </w:rPr>
        <w:t>mundial para el 2019 sea de 3.2 y 3.5 por ciento</w:t>
      </w:r>
      <w:r w:rsidRPr="00E25115">
        <w:rPr>
          <w:rFonts w:ascii="Times New Roman" w:hAnsi="Times New Roman"/>
          <w:sz w:val="24"/>
          <w:szCs w:val="24"/>
        </w:rPr>
        <w:t xml:space="preserve"> para el 2020. El repunte del 2020 se basa en el crecimiento de China e India mayormente. Se proyecta que las economías avanzadas tengan un creci</w:t>
      </w:r>
      <w:r w:rsidR="00197E56">
        <w:rPr>
          <w:rFonts w:ascii="Times New Roman" w:hAnsi="Times New Roman"/>
          <w:sz w:val="24"/>
          <w:szCs w:val="24"/>
        </w:rPr>
        <w:t>miento de 1.9 y 1.7 por ciento</w:t>
      </w:r>
      <w:r w:rsidRPr="00E25115">
        <w:rPr>
          <w:rFonts w:ascii="Times New Roman" w:hAnsi="Times New Roman"/>
          <w:sz w:val="24"/>
          <w:szCs w:val="24"/>
        </w:rPr>
        <w:t xml:space="preserve"> para el año 2019 y 2020 respectivamente.  Para las economías de mercados emergentes y en desarrollo </w:t>
      </w:r>
      <w:r w:rsidR="00197E56">
        <w:rPr>
          <w:rFonts w:ascii="Times New Roman" w:hAnsi="Times New Roman"/>
          <w:sz w:val="24"/>
          <w:szCs w:val="24"/>
        </w:rPr>
        <w:t>se espera un crecimiento de 4.1 y 4.7 por ciento</w:t>
      </w:r>
      <w:r w:rsidRPr="00E25115">
        <w:rPr>
          <w:rFonts w:ascii="Times New Roman" w:hAnsi="Times New Roman"/>
          <w:sz w:val="24"/>
          <w:szCs w:val="24"/>
        </w:rPr>
        <w:t xml:space="preserve"> para dichos años.   Las proyecciones de corto y mediano plazos están sujetas a que las tensiones comerciales de EEUU y China no aumenten para que la confianza de las empresas y la situación financiera mejoren, así como el crecimiento de la Zona del Euro y China no se desaceleren más de lo previsto y aumente la incertidumbre por la salida del Reino Unido de La Unión Europea.</w:t>
      </w:r>
    </w:p>
    <w:p w14:paraId="4418325C" w14:textId="77777777" w:rsidR="008A5924" w:rsidRPr="00E25115" w:rsidRDefault="008A5924" w:rsidP="008A5924">
      <w:pPr>
        <w:pStyle w:val="Sinespaciado"/>
        <w:jc w:val="both"/>
        <w:rPr>
          <w:rFonts w:ascii="Times New Roman" w:hAnsi="Times New Roman"/>
          <w:sz w:val="24"/>
          <w:szCs w:val="24"/>
        </w:rPr>
      </w:pPr>
    </w:p>
    <w:p w14:paraId="6F50C05F" w14:textId="77777777" w:rsidR="008A5924" w:rsidRPr="00E25115" w:rsidRDefault="008A5924" w:rsidP="008A5924">
      <w:pPr>
        <w:pStyle w:val="Sinespaciado"/>
        <w:jc w:val="both"/>
        <w:rPr>
          <w:rFonts w:ascii="Times New Roman" w:hAnsi="Times New Roman"/>
          <w:sz w:val="24"/>
          <w:szCs w:val="24"/>
        </w:rPr>
      </w:pPr>
      <w:r w:rsidRPr="00E25115">
        <w:rPr>
          <w:rFonts w:ascii="Times New Roman" w:hAnsi="Times New Roman"/>
          <w:sz w:val="24"/>
          <w:szCs w:val="24"/>
        </w:rPr>
        <w:t xml:space="preserve">El crecimiento proyectado ha ido en disminución para 2020, en las publicaciones del informe de Perspectivas de la Economía Mundial del FMI, tanto en las publicaciones de octubre de 2018 como en las más recientes de abril de 2019, han reducido el crecimiento mundial, debido a la baja en las perspectivas de las Economías de Mercados Emergentes y en América Latina, situación que es más dramática en las proyecciones para 2019.  </w:t>
      </w:r>
    </w:p>
    <w:p w14:paraId="07F0EB42" w14:textId="663DD819" w:rsidR="008A5924" w:rsidRPr="00784E7F" w:rsidRDefault="008A5924" w:rsidP="00841FD7">
      <w:pPr>
        <w:pStyle w:val="Descripcin"/>
        <w:rPr>
          <w:color w:val="000000" w:themeColor="text1"/>
        </w:rPr>
      </w:pPr>
      <w:r w:rsidRPr="00E25115">
        <w:rPr>
          <w:b w:val="0"/>
          <w:sz w:val="24"/>
          <w:szCs w:val="24"/>
        </w:rPr>
        <w:br w:type="page"/>
      </w:r>
      <w:bookmarkStart w:id="4" w:name="_Toc16242951"/>
      <w:r w:rsidRPr="00784E7F">
        <w:rPr>
          <w:color w:val="000000" w:themeColor="text1"/>
        </w:rPr>
        <w:t xml:space="preserve">Cuadro  </w:t>
      </w:r>
      <w:r w:rsidRPr="00784E7F">
        <w:rPr>
          <w:color w:val="000000" w:themeColor="text1"/>
        </w:rPr>
        <w:fldChar w:fldCharType="begin"/>
      </w:r>
      <w:r w:rsidRPr="00784E7F">
        <w:rPr>
          <w:color w:val="000000" w:themeColor="text1"/>
        </w:rPr>
        <w:instrText xml:space="preserve"> SEQ Cuadro_ \* ARABIC </w:instrText>
      </w:r>
      <w:r w:rsidRPr="00784E7F">
        <w:rPr>
          <w:color w:val="000000" w:themeColor="text1"/>
        </w:rPr>
        <w:fldChar w:fldCharType="separate"/>
      </w:r>
      <w:r w:rsidR="004B2A60">
        <w:rPr>
          <w:noProof/>
          <w:color w:val="000000" w:themeColor="text1"/>
        </w:rPr>
        <w:t>1</w:t>
      </w:r>
      <w:r w:rsidRPr="00784E7F">
        <w:rPr>
          <w:color w:val="000000" w:themeColor="text1"/>
        </w:rPr>
        <w:fldChar w:fldCharType="end"/>
      </w:r>
      <w:r w:rsidRPr="00784E7F">
        <w:rPr>
          <w:color w:val="000000" w:themeColor="text1"/>
        </w:rPr>
        <w:t>: Perspectivas de la Economía Mundial</w:t>
      </w:r>
      <w:bookmarkEnd w:id="4"/>
    </w:p>
    <w:p w14:paraId="407E086F" w14:textId="77777777" w:rsidR="008A5924" w:rsidRPr="00784E7F" w:rsidRDefault="008A5924" w:rsidP="00841FD7">
      <w:pPr>
        <w:pStyle w:val="Descripcin"/>
        <w:rPr>
          <w:color w:val="000000" w:themeColor="text1"/>
        </w:rPr>
      </w:pPr>
      <w:r w:rsidRPr="00784E7F">
        <w:rPr>
          <w:color w:val="000000" w:themeColor="text1"/>
        </w:rPr>
        <w:t>-Porcentajes-</w:t>
      </w:r>
    </w:p>
    <w:p w14:paraId="3E1672C6" w14:textId="77777777" w:rsidR="009C111D" w:rsidRPr="009C111D" w:rsidRDefault="009C111D" w:rsidP="009C111D"/>
    <w:tbl>
      <w:tblPr>
        <w:tblW w:w="8719" w:type="dxa"/>
        <w:jc w:val="center"/>
        <w:tblCellMar>
          <w:left w:w="70" w:type="dxa"/>
          <w:right w:w="70" w:type="dxa"/>
        </w:tblCellMar>
        <w:tblLook w:val="04A0" w:firstRow="1" w:lastRow="0" w:firstColumn="1" w:lastColumn="0" w:noHBand="0" w:noVBand="1"/>
      </w:tblPr>
      <w:tblGrid>
        <w:gridCol w:w="1993"/>
        <w:gridCol w:w="656"/>
        <w:gridCol w:w="114"/>
        <w:gridCol w:w="520"/>
        <w:gridCol w:w="548"/>
        <w:gridCol w:w="548"/>
        <w:gridCol w:w="548"/>
        <w:gridCol w:w="548"/>
        <w:gridCol w:w="558"/>
        <w:gridCol w:w="180"/>
        <w:gridCol w:w="622"/>
        <w:gridCol w:w="625"/>
        <w:gridCol w:w="622"/>
        <w:gridCol w:w="637"/>
      </w:tblGrid>
      <w:tr w:rsidR="008A5924" w:rsidRPr="00184700" w14:paraId="59DD7C49" w14:textId="77777777" w:rsidTr="000C21A6">
        <w:trPr>
          <w:trHeight w:val="110"/>
          <w:jc w:val="center"/>
        </w:trPr>
        <w:tc>
          <w:tcPr>
            <w:tcW w:w="1993" w:type="dxa"/>
            <w:vMerge w:val="restart"/>
            <w:tcBorders>
              <w:top w:val="single" w:sz="4" w:space="0" w:color="auto"/>
              <w:left w:val="single" w:sz="4" w:space="0" w:color="auto"/>
              <w:bottom w:val="single" w:sz="4" w:space="0" w:color="000000"/>
              <w:right w:val="nil"/>
            </w:tcBorders>
            <w:shd w:val="clear" w:color="auto" w:fill="8DB3E2"/>
            <w:vAlign w:val="center"/>
            <w:hideMark/>
          </w:tcPr>
          <w:p w14:paraId="7E3DF7B5" w14:textId="77777777" w:rsidR="008A5924" w:rsidRPr="00184700" w:rsidRDefault="008A5924" w:rsidP="008A5924">
            <w:pPr>
              <w:jc w:val="center"/>
              <w:rPr>
                <w:b/>
                <w:bCs/>
                <w:sz w:val="18"/>
                <w:szCs w:val="18"/>
                <w:lang w:eastAsia="es-GT"/>
              </w:rPr>
            </w:pPr>
            <w:r w:rsidRPr="00184700">
              <w:rPr>
                <w:b/>
                <w:bCs/>
                <w:sz w:val="18"/>
                <w:szCs w:val="18"/>
                <w:lang w:eastAsia="es-GT"/>
              </w:rPr>
              <w:t> </w:t>
            </w:r>
          </w:p>
        </w:tc>
        <w:tc>
          <w:tcPr>
            <w:tcW w:w="770" w:type="dxa"/>
            <w:gridSpan w:val="2"/>
            <w:tcBorders>
              <w:top w:val="single" w:sz="4" w:space="0" w:color="auto"/>
              <w:left w:val="nil"/>
              <w:bottom w:val="nil"/>
              <w:right w:val="nil"/>
            </w:tcBorders>
            <w:shd w:val="clear" w:color="auto" w:fill="8DB3E2"/>
            <w:noWrap/>
            <w:vAlign w:val="center"/>
            <w:hideMark/>
          </w:tcPr>
          <w:p w14:paraId="2A54DC88"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519" w:type="dxa"/>
            <w:tcBorders>
              <w:top w:val="single" w:sz="4" w:space="0" w:color="auto"/>
              <w:left w:val="nil"/>
              <w:bottom w:val="nil"/>
              <w:right w:val="nil"/>
            </w:tcBorders>
            <w:shd w:val="clear" w:color="auto" w:fill="8DB3E2"/>
            <w:noWrap/>
            <w:vAlign w:val="center"/>
            <w:hideMark/>
          </w:tcPr>
          <w:p w14:paraId="149D17F6"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548" w:type="dxa"/>
            <w:tcBorders>
              <w:top w:val="single" w:sz="4" w:space="0" w:color="auto"/>
              <w:left w:val="nil"/>
              <w:bottom w:val="nil"/>
              <w:right w:val="nil"/>
            </w:tcBorders>
            <w:shd w:val="clear" w:color="auto" w:fill="8DB3E2"/>
            <w:noWrap/>
            <w:vAlign w:val="center"/>
            <w:hideMark/>
          </w:tcPr>
          <w:p w14:paraId="69AD07F0"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548" w:type="dxa"/>
            <w:tcBorders>
              <w:top w:val="single" w:sz="4" w:space="0" w:color="auto"/>
              <w:left w:val="nil"/>
              <w:bottom w:val="nil"/>
              <w:right w:val="nil"/>
            </w:tcBorders>
            <w:shd w:val="clear" w:color="auto" w:fill="8DB3E2"/>
            <w:noWrap/>
            <w:vAlign w:val="center"/>
            <w:hideMark/>
          </w:tcPr>
          <w:p w14:paraId="2E167EA5"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548" w:type="dxa"/>
            <w:tcBorders>
              <w:top w:val="single" w:sz="4" w:space="0" w:color="auto"/>
              <w:left w:val="nil"/>
              <w:bottom w:val="nil"/>
              <w:right w:val="nil"/>
            </w:tcBorders>
            <w:shd w:val="clear" w:color="auto" w:fill="8DB3E2"/>
            <w:noWrap/>
            <w:vAlign w:val="center"/>
            <w:hideMark/>
          </w:tcPr>
          <w:p w14:paraId="30054E78"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548" w:type="dxa"/>
            <w:tcBorders>
              <w:top w:val="single" w:sz="4" w:space="0" w:color="auto"/>
              <w:left w:val="nil"/>
              <w:bottom w:val="nil"/>
              <w:right w:val="nil"/>
            </w:tcBorders>
            <w:shd w:val="clear" w:color="auto" w:fill="8DB3E2"/>
            <w:noWrap/>
            <w:vAlign w:val="center"/>
            <w:hideMark/>
          </w:tcPr>
          <w:p w14:paraId="56A012DB"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555" w:type="dxa"/>
            <w:tcBorders>
              <w:top w:val="single" w:sz="4" w:space="0" w:color="auto"/>
              <w:left w:val="nil"/>
              <w:bottom w:val="nil"/>
              <w:right w:val="nil"/>
            </w:tcBorders>
            <w:shd w:val="clear" w:color="auto" w:fill="8DB3E2"/>
            <w:noWrap/>
            <w:vAlign w:val="center"/>
            <w:hideMark/>
          </w:tcPr>
          <w:p w14:paraId="56003D6A"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179" w:type="dxa"/>
            <w:tcBorders>
              <w:top w:val="single" w:sz="4" w:space="0" w:color="auto"/>
              <w:left w:val="nil"/>
              <w:bottom w:val="nil"/>
              <w:right w:val="nil"/>
            </w:tcBorders>
            <w:shd w:val="clear" w:color="auto" w:fill="8DB3E2"/>
            <w:noWrap/>
            <w:vAlign w:val="center"/>
            <w:hideMark/>
          </w:tcPr>
          <w:p w14:paraId="6240EDE3"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2505" w:type="dxa"/>
            <w:gridSpan w:val="4"/>
            <w:tcBorders>
              <w:top w:val="single" w:sz="4" w:space="0" w:color="auto"/>
              <w:left w:val="nil"/>
              <w:bottom w:val="nil"/>
              <w:right w:val="single" w:sz="4" w:space="0" w:color="000000"/>
            </w:tcBorders>
            <w:shd w:val="clear" w:color="auto" w:fill="8DB3E2"/>
            <w:noWrap/>
            <w:vAlign w:val="bottom"/>
            <w:hideMark/>
          </w:tcPr>
          <w:p w14:paraId="6FF30A42" w14:textId="77777777" w:rsidR="008A5924" w:rsidRPr="00184700" w:rsidRDefault="008A5924" w:rsidP="008A5924">
            <w:pPr>
              <w:jc w:val="center"/>
              <w:rPr>
                <w:b/>
                <w:bCs/>
                <w:sz w:val="16"/>
                <w:szCs w:val="18"/>
                <w:lang w:eastAsia="es-GT"/>
              </w:rPr>
            </w:pPr>
            <w:r w:rsidRPr="00184700">
              <w:rPr>
                <w:b/>
                <w:bCs/>
                <w:sz w:val="16"/>
                <w:szCs w:val="18"/>
                <w:lang w:eastAsia="es-GT"/>
              </w:rPr>
              <w:t>Diferencia en Proyecciones</w:t>
            </w:r>
          </w:p>
        </w:tc>
      </w:tr>
      <w:tr w:rsidR="008A5924" w:rsidRPr="00184700" w14:paraId="1F13B142" w14:textId="77777777" w:rsidTr="000C21A6">
        <w:trPr>
          <w:trHeight w:val="131"/>
          <w:jc w:val="center"/>
        </w:trPr>
        <w:tc>
          <w:tcPr>
            <w:tcW w:w="1993" w:type="dxa"/>
            <w:vMerge/>
            <w:tcBorders>
              <w:top w:val="single" w:sz="4" w:space="0" w:color="auto"/>
              <w:left w:val="single" w:sz="4" w:space="0" w:color="auto"/>
              <w:bottom w:val="single" w:sz="4" w:space="0" w:color="000000"/>
              <w:right w:val="nil"/>
            </w:tcBorders>
            <w:shd w:val="clear" w:color="auto" w:fill="8DB3E2"/>
            <w:vAlign w:val="center"/>
            <w:hideMark/>
          </w:tcPr>
          <w:p w14:paraId="20F5F588" w14:textId="77777777" w:rsidR="008A5924" w:rsidRPr="00184700" w:rsidRDefault="008A5924" w:rsidP="008A5924">
            <w:pPr>
              <w:rPr>
                <w:b/>
                <w:bCs/>
                <w:sz w:val="18"/>
                <w:szCs w:val="18"/>
                <w:lang w:eastAsia="es-GT"/>
              </w:rPr>
            </w:pPr>
          </w:p>
        </w:tc>
        <w:tc>
          <w:tcPr>
            <w:tcW w:w="4040" w:type="dxa"/>
            <w:gridSpan w:val="8"/>
            <w:tcBorders>
              <w:top w:val="nil"/>
              <w:left w:val="nil"/>
              <w:bottom w:val="single" w:sz="4" w:space="0" w:color="auto"/>
              <w:right w:val="nil"/>
            </w:tcBorders>
            <w:shd w:val="clear" w:color="auto" w:fill="8DB3E2"/>
            <w:noWrap/>
            <w:vAlign w:val="center"/>
            <w:hideMark/>
          </w:tcPr>
          <w:p w14:paraId="16D9234C" w14:textId="77777777" w:rsidR="008A5924" w:rsidRPr="00184700" w:rsidRDefault="008A5924" w:rsidP="008A5924">
            <w:pPr>
              <w:jc w:val="center"/>
              <w:rPr>
                <w:b/>
                <w:bCs/>
                <w:sz w:val="16"/>
                <w:szCs w:val="16"/>
                <w:lang w:eastAsia="es-GT"/>
              </w:rPr>
            </w:pPr>
            <w:r w:rsidRPr="00184700">
              <w:rPr>
                <w:b/>
                <w:bCs/>
                <w:sz w:val="16"/>
                <w:szCs w:val="16"/>
                <w:lang w:eastAsia="es-GT"/>
              </w:rPr>
              <w:t>WEO 07-2019</w:t>
            </w:r>
          </w:p>
        </w:tc>
        <w:tc>
          <w:tcPr>
            <w:tcW w:w="179" w:type="dxa"/>
            <w:tcBorders>
              <w:top w:val="nil"/>
              <w:left w:val="nil"/>
              <w:bottom w:val="nil"/>
              <w:right w:val="nil"/>
            </w:tcBorders>
            <w:shd w:val="clear" w:color="auto" w:fill="8DB3E2"/>
            <w:noWrap/>
            <w:vAlign w:val="center"/>
            <w:hideMark/>
          </w:tcPr>
          <w:p w14:paraId="232BD9A0" w14:textId="77777777" w:rsidR="008A5924" w:rsidRPr="00184700" w:rsidRDefault="008A5924" w:rsidP="008A5924">
            <w:pPr>
              <w:jc w:val="center"/>
              <w:rPr>
                <w:b/>
                <w:bCs/>
                <w:sz w:val="16"/>
                <w:szCs w:val="16"/>
                <w:lang w:eastAsia="es-GT"/>
              </w:rPr>
            </w:pPr>
            <w:r w:rsidRPr="00184700">
              <w:rPr>
                <w:b/>
                <w:bCs/>
                <w:sz w:val="16"/>
                <w:szCs w:val="16"/>
                <w:lang w:eastAsia="es-GT"/>
              </w:rPr>
              <w:t> </w:t>
            </w:r>
          </w:p>
        </w:tc>
        <w:tc>
          <w:tcPr>
            <w:tcW w:w="1247" w:type="dxa"/>
            <w:gridSpan w:val="2"/>
            <w:tcBorders>
              <w:top w:val="nil"/>
              <w:left w:val="nil"/>
              <w:bottom w:val="single" w:sz="4" w:space="0" w:color="auto"/>
              <w:right w:val="nil"/>
            </w:tcBorders>
            <w:shd w:val="clear" w:color="auto" w:fill="8DB3E2"/>
            <w:noWrap/>
            <w:vAlign w:val="center"/>
            <w:hideMark/>
          </w:tcPr>
          <w:p w14:paraId="64489FBF" w14:textId="77777777" w:rsidR="008A5924" w:rsidRPr="00184700" w:rsidRDefault="008A5924" w:rsidP="008A5924">
            <w:pPr>
              <w:jc w:val="center"/>
              <w:rPr>
                <w:b/>
                <w:bCs/>
                <w:sz w:val="16"/>
                <w:szCs w:val="16"/>
                <w:lang w:eastAsia="es-GT"/>
              </w:rPr>
            </w:pPr>
            <w:r w:rsidRPr="00184700">
              <w:rPr>
                <w:b/>
                <w:bCs/>
                <w:sz w:val="16"/>
                <w:szCs w:val="16"/>
                <w:lang w:eastAsia="es-GT"/>
              </w:rPr>
              <w:t>WEO 04-2019</w:t>
            </w:r>
          </w:p>
        </w:tc>
        <w:tc>
          <w:tcPr>
            <w:tcW w:w="1257" w:type="dxa"/>
            <w:gridSpan w:val="2"/>
            <w:tcBorders>
              <w:top w:val="nil"/>
              <w:left w:val="nil"/>
              <w:bottom w:val="single" w:sz="4" w:space="0" w:color="auto"/>
              <w:right w:val="single" w:sz="4" w:space="0" w:color="000000"/>
            </w:tcBorders>
            <w:shd w:val="clear" w:color="auto" w:fill="8DB3E2"/>
            <w:noWrap/>
            <w:vAlign w:val="center"/>
            <w:hideMark/>
          </w:tcPr>
          <w:p w14:paraId="51254D4F" w14:textId="77777777" w:rsidR="008A5924" w:rsidRPr="00184700" w:rsidRDefault="008A5924" w:rsidP="008A5924">
            <w:pPr>
              <w:jc w:val="center"/>
              <w:rPr>
                <w:b/>
                <w:bCs/>
                <w:sz w:val="16"/>
                <w:szCs w:val="16"/>
                <w:lang w:eastAsia="es-GT"/>
              </w:rPr>
            </w:pPr>
            <w:r w:rsidRPr="00184700">
              <w:rPr>
                <w:b/>
                <w:bCs/>
                <w:sz w:val="16"/>
                <w:szCs w:val="16"/>
                <w:lang w:eastAsia="es-GT"/>
              </w:rPr>
              <w:t>WEO 10-2018</w:t>
            </w:r>
          </w:p>
        </w:tc>
      </w:tr>
      <w:tr w:rsidR="008A5924" w:rsidRPr="00184700" w14:paraId="1D827752" w14:textId="77777777" w:rsidTr="000C21A6">
        <w:trPr>
          <w:trHeight w:val="191"/>
          <w:jc w:val="center"/>
        </w:trPr>
        <w:tc>
          <w:tcPr>
            <w:tcW w:w="1993" w:type="dxa"/>
            <w:vMerge/>
            <w:tcBorders>
              <w:top w:val="single" w:sz="4" w:space="0" w:color="auto"/>
              <w:left w:val="single" w:sz="4" w:space="0" w:color="auto"/>
              <w:bottom w:val="single" w:sz="4" w:space="0" w:color="000000"/>
              <w:right w:val="nil"/>
            </w:tcBorders>
            <w:shd w:val="clear" w:color="auto" w:fill="8DB3E2"/>
            <w:vAlign w:val="center"/>
            <w:hideMark/>
          </w:tcPr>
          <w:p w14:paraId="5183F77C" w14:textId="77777777" w:rsidR="008A5924" w:rsidRPr="00184700" w:rsidRDefault="008A5924" w:rsidP="008A5924">
            <w:pPr>
              <w:rPr>
                <w:b/>
                <w:bCs/>
                <w:sz w:val="18"/>
                <w:szCs w:val="18"/>
                <w:lang w:eastAsia="es-GT"/>
              </w:rPr>
            </w:pPr>
          </w:p>
        </w:tc>
        <w:tc>
          <w:tcPr>
            <w:tcW w:w="656" w:type="dxa"/>
            <w:tcBorders>
              <w:top w:val="nil"/>
              <w:left w:val="nil"/>
              <w:bottom w:val="single" w:sz="4" w:space="0" w:color="auto"/>
              <w:right w:val="nil"/>
            </w:tcBorders>
            <w:shd w:val="clear" w:color="auto" w:fill="8DB3E2"/>
            <w:noWrap/>
            <w:vAlign w:val="center"/>
            <w:hideMark/>
          </w:tcPr>
          <w:p w14:paraId="4EBA26F7" w14:textId="77777777" w:rsidR="008A5924" w:rsidRPr="00184700" w:rsidRDefault="008A5924" w:rsidP="008A5924">
            <w:pPr>
              <w:jc w:val="center"/>
              <w:rPr>
                <w:b/>
                <w:bCs/>
                <w:sz w:val="16"/>
                <w:szCs w:val="18"/>
                <w:lang w:eastAsia="es-GT"/>
              </w:rPr>
            </w:pPr>
            <w:r w:rsidRPr="00184700">
              <w:rPr>
                <w:b/>
                <w:bCs/>
                <w:sz w:val="16"/>
                <w:szCs w:val="18"/>
                <w:lang w:eastAsia="es-GT"/>
              </w:rPr>
              <w:t>2018</w:t>
            </w:r>
          </w:p>
        </w:tc>
        <w:tc>
          <w:tcPr>
            <w:tcW w:w="634" w:type="dxa"/>
            <w:gridSpan w:val="2"/>
            <w:tcBorders>
              <w:top w:val="nil"/>
              <w:left w:val="nil"/>
              <w:bottom w:val="single" w:sz="4" w:space="0" w:color="auto"/>
              <w:right w:val="nil"/>
            </w:tcBorders>
            <w:shd w:val="clear" w:color="auto" w:fill="8DB3E2"/>
            <w:noWrap/>
            <w:vAlign w:val="center"/>
            <w:hideMark/>
          </w:tcPr>
          <w:p w14:paraId="5675A02E" w14:textId="77777777" w:rsidR="008A5924" w:rsidRPr="00184700" w:rsidRDefault="008A5924" w:rsidP="008A5924">
            <w:pPr>
              <w:jc w:val="center"/>
              <w:rPr>
                <w:b/>
                <w:bCs/>
                <w:sz w:val="16"/>
                <w:szCs w:val="18"/>
                <w:lang w:eastAsia="es-GT"/>
              </w:rPr>
            </w:pPr>
            <w:r w:rsidRPr="00184700">
              <w:rPr>
                <w:b/>
                <w:bCs/>
                <w:sz w:val="16"/>
                <w:szCs w:val="18"/>
                <w:lang w:eastAsia="es-GT"/>
              </w:rPr>
              <w:t>2019</w:t>
            </w:r>
            <w:r w:rsidRPr="00184700">
              <w:rPr>
                <w:b/>
                <w:bCs/>
                <w:sz w:val="16"/>
                <w:szCs w:val="18"/>
                <w:vertAlign w:val="superscript"/>
                <w:lang w:eastAsia="es-GT"/>
              </w:rPr>
              <w:t>p</w:t>
            </w:r>
          </w:p>
        </w:tc>
        <w:tc>
          <w:tcPr>
            <w:tcW w:w="548" w:type="dxa"/>
            <w:tcBorders>
              <w:top w:val="nil"/>
              <w:left w:val="nil"/>
              <w:bottom w:val="single" w:sz="4" w:space="0" w:color="auto"/>
              <w:right w:val="nil"/>
            </w:tcBorders>
            <w:shd w:val="clear" w:color="auto" w:fill="8DB3E2"/>
            <w:noWrap/>
            <w:vAlign w:val="center"/>
            <w:hideMark/>
          </w:tcPr>
          <w:p w14:paraId="798EE55E" w14:textId="77777777" w:rsidR="008A5924" w:rsidRPr="00184700" w:rsidRDefault="008A5924" w:rsidP="008A5924">
            <w:pPr>
              <w:jc w:val="center"/>
              <w:rPr>
                <w:b/>
                <w:bCs/>
                <w:sz w:val="16"/>
                <w:szCs w:val="18"/>
                <w:lang w:eastAsia="es-GT"/>
              </w:rPr>
            </w:pPr>
            <w:r w:rsidRPr="00184700">
              <w:rPr>
                <w:b/>
                <w:bCs/>
                <w:sz w:val="16"/>
                <w:szCs w:val="18"/>
                <w:lang w:eastAsia="es-GT"/>
              </w:rPr>
              <w:t>2020</w:t>
            </w:r>
            <w:r w:rsidRPr="00184700">
              <w:rPr>
                <w:b/>
                <w:bCs/>
                <w:sz w:val="16"/>
                <w:szCs w:val="18"/>
                <w:vertAlign w:val="superscript"/>
                <w:lang w:eastAsia="es-GT"/>
              </w:rPr>
              <w:t>p</w:t>
            </w:r>
          </w:p>
        </w:tc>
        <w:tc>
          <w:tcPr>
            <w:tcW w:w="548" w:type="dxa"/>
            <w:tcBorders>
              <w:top w:val="nil"/>
              <w:left w:val="nil"/>
              <w:bottom w:val="single" w:sz="4" w:space="0" w:color="auto"/>
              <w:right w:val="nil"/>
            </w:tcBorders>
            <w:shd w:val="clear" w:color="auto" w:fill="8DB3E2"/>
            <w:noWrap/>
            <w:vAlign w:val="center"/>
            <w:hideMark/>
          </w:tcPr>
          <w:p w14:paraId="7A022D1F" w14:textId="77777777" w:rsidR="008A5924" w:rsidRPr="00184700" w:rsidRDefault="008A5924" w:rsidP="008A5924">
            <w:pPr>
              <w:jc w:val="center"/>
              <w:rPr>
                <w:b/>
                <w:bCs/>
                <w:sz w:val="16"/>
                <w:szCs w:val="18"/>
                <w:lang w:eastAsia="es-GT"/>
              </w:rPr>
            </w:pPr>
            <w:r w:rsidRPr="00184700">
              <w:rPr>
                <w:b/>
                <w:bCs/>
                <w:sz w:val="16"/>
                <w:szCs w:val="18"/>
                <w:lang w:eastAsia="es-GT"/>
              </w:rPr>
              <w:t>2021</w:t>
            </w:r>
            <w:r w:rsidRPr="00184700">
              <w:rPr>
                <w:b/>
                <w:bCs/>
                <w:sz w:val="16"/>
                <w:szCs w:val="18"/>
                <w:vertAlign w:val="superscript"/>
                <w:lang w:eastAsia="es-GT"/>
              </w:rPr>
              <w:t>p</w:t>
            </w:r>
          </w:p>
        </w:tc>
        <w:tc>
          <w:tcPr>
            <w:tcW w:w="548" w:type="dxa"/>
            <w:tcBorders>
              <w:top w:val="nil"/>
              <w:left w:val="nil"/>
              <w:bottom w:val="single" w:sz="4" w:space="0" w:color="auto"/>
              <w:right w:val="nil"/>
            </w:tcBorders>
            <w:shd w:val="clear" w:color="auto" w:fill="8DB3E2"/>
            <w:noWrap/>
            <w:vAlign w:val="center"/>
            <w:hideMark/>
          </w:tcPr>
          <w:p w14:paraId="408A06B5" w14:textId="77777777" w:rsidR="008A5924" w:rsidRPr="00184700" w:rsidRDefault="008A5924" w:rsidP="008A5924">
            <w:pPr>
              <w:jc w:val="center"/>
              <w:rPr>
                <w:b/>
                <w:bCs/>
                <w:sz w:val="16"/>
                <w:szCs w:val="18"/>
                <w:lang w:eastAsia="es-GT"/>
              </w:rPr>
            </w:pPr>
            <w:r w:rsidRPr="00184700">
              <w:rPr>
                <w:b/>
                <w:bCs/>
                <w:sz w:val="16"/>
                <w:szCs w:val="18"/>
                <w:lang w:eastAsia="es-GT"/>
              </w:rPr>
              <w:t>2022</w:t>
            </w:r>
            <w:r w:rsidRPr="00184700">
              <w:rPr>
                <w:b/>
                <w:bCs/>
                <w:sz w:val="16"/>
                <w:szCs w:val="18"/>
                <w:vertAlign w:val="superscript"/>
                <w:lang w:eastAsia="es-GT"/>
              </w:rPr>
              <w:t>p</w:t>
            </w:r>
          </w:p>
        </w:tc>
        <w:tc>
          <w:tcPr>
            <w:tcW w:w="548" w:type="dxa"/>
            <w:tcBorders>
              <w:top w:val="nil"/>
              <w:left w:val="nil"/>
              <w:bottom w:val="single" w:sz="4" w:space="0" w:color="auto"/>
              <w:right w:val="nil"/>
            </w:tcBorders>
            <w:shd w:val="clear" w:color="auto" w:fill="8DB3E2"/>
            <w:noWrap/>
            <w:vAlign w:val="center"/>
            <w:hideMark/>
          </w:tcPr>
          <w:p w14:paraId="0A301EC1" w14:textId="77777777" w:rsidR="008A5924" w:rsidRPr="00184700" w:rsidRDefault="008A5924" w:rsidP="008A5924">
            <w:pPr>
              <w:jc w:val="center"/>
              <w:rPr>
                <w:b/>
                <w:bCs/>
                <w:sz w:val="16"/>
                <w:szCs w:val="18"/>
                <w:lang w:eastAsia="es-GT"/>
              </w:rPr>
            </w:pPr>
            <w:r w:rsidRPr="00184700">
              <w:rPr>
                <w:b/>
                <w:bCs/>
                <w:sz w:val="16"/>
                <w:szCs w:val="18"/>
                <w:lang w:eastAsia="es-GT"/>
              </w:rPr>
              <w:t>2023</w:t>
            </w:r>
            <w:r w:rsidRPr="00184700">
              <w:rPr>
                <w:b/>
                <w:bCs/>
                <w:sz w:val="16"/>
                <w:szCs w:val="18"/>
                <w:vertAlign w:val="superscript"/>
                <w:lang w:eastAsia="es-GT"/>
              </w:rPr>
              <w:t>p</w:t>
            </w:r>
          </w:p>
        </w:tc>
        <w:tc>
          <w:tcPr>
            <w:tcW w:w="555" w:type="dxa"/>
            <w:tcBorders>
              <w:top w:val="nil"/>
              <w:left w:val="nil"/>
              <w:bottom w:val="single" w:sz="4" w:space="0" w:color="auto"/>
              <w:right w:val="nil"/>
            </w:tcBorders>
            <w:shd w:val="clear" w:color="auto" w:fill="8DB3E2"/>
            <w:noWrap/>
            <w:vAlign w:val="center"/>
            <w:hideMark/>
          </w:tcPr>
          <w:p w14:paraId="73189326" w14:textId="77777777" w:rsidR="008A5924" w:rsidRPr="00184700" w:rsidRDefault="008A5924" w:rsidP="008A5924">
            <w:pPr>
              <w:jc w:val="center"/>
              <w:rPr>
                <w:b/>
                <w:bCs/>
                <w:sz w:val="16"/>
                <w:szCs w:val="18"/>
                <w:lang w:eastAsia="es-GT"/>
              </w:rPr>
            </w:pPr>
            <w:r w:rsidRPr="00184700">
              <w:rPr>
                <w:b/>
                <w:bCs/>
                <w:sz w:val="16"/>
                <w:szCs w:val="18"/>
                <w:lang w:eastAsia="es-GT"/>
              </w:rPr>
              <w:t>2024</w:t>
            </w:r>
            <w:r w:rsidRPr="00184700">
              <w:rPr>
                <w:b/>
                <w:bCs/>
                <w:sz w:val="16"/>
                <w:szCs w:val="18"/>
                <w:vertAlign w:val="superscript"/>
                <w:lang w:eastAsia="es-GT"/>
              </w:rPr>
              <w:t>p</w:t>
            </w:r>
          </w:p>
        </w:tc>
        <w:tc>
          <w:tcPr>
            <w:tcW w:w="179" w:type="dxa"/>
            <w:tcBorders>
              <w:top w:val="nil"/>
              <w:left w:val="nil"/>
              <w:bottom w:val="single" w:sz="4" w:space="0" w:color="auto"/>
              <w:right w:val="nil"/>
            </w:tcBorders>
            <w:shd w:val="clear" w:color="auto" w:fill="8DB3E2"/>
            <w:noWrap/>
            <w:vAlign w:val="center"/>
            <w:hideMark/>
          </w:tcPr>
          <w:p w14:paraId="10D20C1F" w14:textId="77777777" w:rsidR="008A5924" w:rsidRPr="00184700" w:rsidRDefault="008A5924" w:rsidP="008A5924">
            <w:pPr>
              <w:jc w:val="center"/>
              <w:rPr>
                <w:b/>
                <w:bCs/>
                <w:sz w:val="16"/>
                <w:szCs w:val="18"/>
                <w:lang w:eastAsia="es-GT"/>
              </w:rPr>
            </w:pPr>
            <w:r w:rsidRPr="00184700">
              <w:rPr>
                <w:b/>
                <w:bCs/>
                <w:sz w:val="16"/>
                <w:szCs w:val="18"/>
                <w:lang w:eastAsia="es-GT"/>
              </w:rPr>
              <w:t> </w:t>
            </w:r>
          </w:p>
        </w:tc>
        <w:tc>
          <w:tcPr>
            <w:tcW w:w="622" w:type="dxa"/>
            <w:tcBorders>
              <w:top w:val="nil"/>
              <w:left w:val="nil"/>
              <w:bottom w:val="single" w:sz="4" w:space="0" w:color="auto"/>
              <w:right w:val="nil"/>
            </w:tcBorders>
            <w:shd w:val="clear" w:color="auto" w:fill="8DB3E2"/>
            <w:noWrap/>
            <w:vAlign w:val="center"/>
            <w:hideMark/>
          </w:tcPr>
          <w:p w14:paraId="6527C9B7" w14:textId="77777777" w:rsidR="008A5924" w:rsidRPr="00184700" w:rsidRDefault="008A5924" w:rsidP="008A5924">
            <w:pPr>
              <w:jc w:val="center"/>
              <w:rPr>
                <w:b/>
                <w:bCs/>
                <w:sz w:val="16"/>
                <w:szCs w:val="18"/>
                <w:lang w:eastAsia="es-GT"/>
              </w:rPr>
            </w:pPr>
            <w:r w:rsidRPr="00184700">
              <w:rPr>
                <w:b/>
                <w:bCs/>
                <w:sz w:val="16"/>
                <w:szCs w:val="18"/>
                <w:lang w:eastAsia="es-GT"/>
              </w:rPr>
              <w:t>2019</w:t>
            </w:r>
            <w:r w:rsidRPr="00184700">
              <w:rPr>
                <w:b/>
                <w:bCs/>
                <w:sz w:val="16"/>
                <w:szCs w:val="18"/>
                <w:vertAlign w:val="superscript"/>
                <w:lang w:eastAsia="es-GT"/>
              </w:rPr>
              <w:t>p</w:t>
            </w:r>
          </w:p>
        </w:tc>
        <w:tc>
          <w:tcPr>
            <w:tcW w:w="625" w:type="dxa"/>
            <w:tcBorders>
              <w:top w:val="nil"/>
              <w:left w:val="nil"/>
              <w:bottom w:val="single" w:sz="4" w:space="0" w:color="auto"/>
              <w:right w:val="nil"/>
            </w:tcBorders>
            <w:shd w:val="clear" w:color="auto" w:fill="8DB3E2"/>
            <w:noWrap/>
            <w:vAlign w:val="center"/>
            <w:hideMark/>
          </w:tcPr>
          <w:p w14:paraId="4272641F" w14:textId="77777777" w:rsidR="008A5924" w:rsidRPr="00184700" w:rsidRDefault="008A5924" w:rsidP="008A5924">
            <w:pPr>
              <w:jc w:val="center"/>
              <w:rPr>
                <w:b/>
                <w:bCs/>
                <w:sz w:val="16"/>
                <w:szCs w:val="18"/>
                <w:lang w:eastAsia="es-GT"/>
              </w:rPr>
            </w:pPr>
            <w:r w:rsidRPr="00184700">
              <w:rPr>
                <w:b/>
                <w:bCs/>
                <w:sz w:val="16"/>
                <w:szCs w:val="18"/>
                <w:lang w:eastAsia="es-GT"/>
              </w:rPr>
              <w:t>2020</w:t>
            </w:r>
            <w:r w:rsidRPr="00184700">
              <w:rPr>
                <w:b/>
                <w:bCs/>
                <w:sz w:val="16"/>
                <w:szCs w:val="18"/>
                <w:vertAlign w:val="superscript"/>
                <w:lang w:eastAsia="es-GT"/>
              </w:rPr>
              <w:t>p</w:t>
            </w:r>
          </w:p>
        </w:tc>
        <w:tc>
          <w:tcPr>
            <w:tcW w:w="622" w:type="dxa"/>
            <w:tcBorders>
              <w:top w:val="nil"/>
              <w:left w:val="nil"/>
              <w:bottom w:val="single" w:sz="4" w:space="0" w:color="auto"/>
              <w:right w:val="nil"/>
            </w:tcBorders>
            <w:shd w:val="clear" w:color="auto" w:fill="8DB3E2"/>
            <w:noWrap/>
            <w:vAlign w:val="center"/>
            <w:hideMark/>
          </w:tcPr>
          <w:p w14:paraId="3977CFA8" w14:textId="77777777" w:rsidR="008A5924" w:rsidRPr="00184700" w:rsidRDefault="008A5924" w:rsidP="008A5924">
            <w:pPr>
              <w:jc w:val="center"/>
              <w:rPr>
                <w:b/>
                <w:bCs/>
                <w:sz w:val="16"/>
                <w:szCs w:val="18"/>
                <w:lang w:eastAsia="es-GT"/>
              </w:rPr>
            </w:pPr>
            <w:r w:rsidRPr="00184700">
              <w:rPr>
                <w:b/>
                <w:bCs/>
                <w:sz w:val="16"/>
                <w:szCs w:val="18"/>
                <w:lang w:eastAsia="es-GT"/>
              </w:rPr>
              <w:t>2019</w:t>
            </w:r>
            <w:r w:rsidRPr="00184700">
              <w:rPr>
                <w:b/>
                <w:bCs/>
                <w:sz w:val="16"/>
                <w:szCs w:val="18"/>
                <w:vertAlign w:val="superscript"/>
                <w:lang w:eastAsia="es-GT"/>
              </w:rPr>
              <w:t>p</w:t>
            </w:r>
          </w:p>
        </w:tc>
        <w:tc>
          <w:tcPr>
            <w:tcW w:w="635" w:type="dxa"/>
            <w:tcBorders>
              <w:top w:val="nil"/>
              <w:left w:val="nil"/>
              <w:bottom w:val="single" w:sz="4" w:space="0" w:color="auto"/>
              <w:right w:val="single" w:sz="4" w:space="0" w:color="auto"/>
            </w:tcBorders>
            <w:shd w:val="clear" w:color="auto" w:fill="8DB3E2"/>
            <w:noWrap/>
            <w:vAlign w:val="center"/>
            <w:hideMark/>
          </w:tcPr>
          <w:p w14:paraId="44662411" w14:textId="77777777" w:rsidR="008A5924" w:rsidRPr="00184700" w:rsidRDefault="008A5924" w:rsidP="008A5924">
            <w:pPr>
              <w:jc w:val="center"/>
              <w:rPr>
                <w:b/>
                <w:bCs/>
                <w:sz w:val="16"/>
                <w:szCs w:val="18"/>
                <w:lang w:eastAsia="es-GT"/>
              </w:rPr>
            </w:pPr>
            <w:r w:rsidRPr="00184700">
              <w:rPr>
                <w:b/>
                <w:bCs/>
                <w:sz w:val="16"/>
                <w:szCs w:val="18"/>
                <w:lang w:eastAsia="es-GT"/>
              </w:rPr>
              <w:t>2020</w:t>
            </w:r>
            <w:r w:rsidRPr="00184700">
              <w:rPr>
                <w:b/>
                <w:bCs/>
                <w:sz w:val="16"/>
                <w:szCs w:val="18"/>
                <w:vertAlign w:val="superscript"/>
                <w:lang w:eastAsia="es-GT"/>
              </w:rPr>
              <w:t>p</w:t>
            </w:r>
          </w:p>
        </w:tc>
      </w:tr>
      <w:tr w:rsidR="008A5924" w:rsidRPr="00184700" w14:paraId="6E3DA370" w14:textId="77777777" w:rsidTr="000C21A6">
        <w:trPr>
          <w:trHeight w:val="253"/>
          <w:jc w:val="center"/>
        </w:trPr>
        <w:tc>
          <w:tcPr>
            <w:tcW w:w="1993" w:type="dxa"/>
            <w:tcBorders>
              <w:top w:val="nil"/>
              <w:left w:val="single" w:sz="4" w:space="0" w:color="auto"/>
              <w:bottom w:val="nil"/>
              <w:right w:val="single" w:sz="4" w:space="0" w:color="auto"/>
            </w:tcBorders>
            <w:shd w:val="clear" w:color="000000" w:fill="FFFFFF"/>
            <w:noWrap/>
            <w:vAlign w:val="center"/>
            <w:hideMark/>
          </w:tcPr>
          <w:p w14:paraId="312841C8" w14:textId="77777777" w:rsidR="008A5924" w:rsidRPr="00184700" w:rsidRDefault="008A5924" w:rsidP="008A5924">
            <w:pPr>
              <w:rPr>
                <w:sz w:val="18"/>
                <w:szCs w:val="18"/>
                <w:lang w:eastAsia="es-GT"/>
              </w:rPr>
            </w:pPr>
            <w:r w:rsidRPr="00184700">
              <w:rPr>
                <w:sz w:val="18"/>
                <w:szCs w:val="18"/>
                <w:lang w:eastAsia="es-GT"/>
              </w:rPr>
              <w:t>Mundo</w:t>
            </w:r>
          </w:p>
        </w:tc>
        <w:tc>
          <w:tcPr>
            <w:tcW w:w="656" w:type="dxa"/>
            <w:tcBorders>
              <w:top w:val="nil"/>
              <w:left w:val="nil"/>
              <w:bottom w:val="nil"/>
              <w:right w:val="nil"/>
            </w:tcBorders>
            <w:shd w:val="clear" w:color="000000" w:fill="FFFFFF"/>
            <w:noWrap/>
            <w:vAlign w:val="center"/>
            <w:hideMark/>
          </w:tcPr>
          <w:p w14:paraId="707069F3" w14:textId="77777777" w:rsidR="008A5924" w:rsidRPr="00184700" w:rsidRDefault="008A5924" w:rsidP="008A5924">
            <w:pPr>
              <w:jc w:val="center"/>
              <w:rPr>
                <w:sz w:val="16"/>
                <w:szCs w:val="18"/>
                <w:lang w:eastAsia="es-GT"/>
              </w:rPr>
            </w:pPr>
            <w:r w:rsidRPr="00184700">
              <w:rPr>
                <w:sz w:val="16"/>
                <w:szCs w:val="18"/>
                <w:lang w:eastAsia="es-GT"/>
              </w:rPr>
              <w:t>3.6</w:t>
            </w:r>
          </w:p>
        </w:tc>
        <w:tc>
          <w:tcPr>
            <w:tcW w:w="634" w:type="dxa"/>
            <w:gridSpan w:val="2"/>
            <w:tcBorders>
              <w:top w:val="nil"/>
              <w:left w:val="nil"/>
              <w:bottom w:val="nil"/>
              <w:right w:val="nil"/>
            </w:tcBorders>
            <w:shd w:val="clear" w:color="000000" w:fill="F4F3EC"/>
            <w:noWrap/>
            <w:vAlign w:val="center"/>
            <w:hideMark/>
          </w:tcPr>
          <w:p w14:paraId="239D7661" w14:textId="77777777" w:rsidR="008A5924" w:rsidRPr="00184700" w:rsidRDefault="008A5924" w:rsidP="008A5924">
            <w:pPr>
              <w:jc w:val="center"/>
              <w:rPr>
                <w:sz w:val="16"/>
                <w:szCs w:val="18"/>
                <w:lang w:eastAsia="es-GT"/>
              </w:rPr>
            </w:pPr>
            <w:r w:rsidRPr="00184700">
              <w:rPr>
                <w:sz w:val="16"/>
                <w:szCs w:val="18"/>
                <w:lang w:eastAsia="es-GT"/>
              </w:rPr>
              <w:t>3.2</w:t>
            </w:r>
          </w:p>
        </w:tc>
        <w:tc>
          <w:tcPr>
            <w:tcW w:w="548" w:type="dxa"/>
            <w:tcBorders>
              <w:top w:val="nil"/>
              <w:left w:val="nil"/>
              <w:bottom w:val="nil"/>
              <w:right w:val="nil"/>
            </w:tcBorders>
            <w:shd w:val="clear" w:color="000000" w:fill="F4F3EC"/>
            <w:noWrap/>
            <w:vAlign w:val="center"/>
            <w:hideMark/>
          </w:tcPr>
          <w:p w14:paraId="6AD33EAD" w14:textId="77777777" w:rsidR="008A5924" w:rsidRPr="00184700" w:rsidRDefault="008A5924" w:rsidP="008A5924">
            <w:pPr>
              <w:jc w:val="center"/>
              <w:rPr>
                <w:sz w:val="16"/>
                <w:szCs w:val="18"/>
                <w:lang w:eastAsia="es-GT"/>
              </w:rPr>
            </w:pPr>
            <w:r w:rsidRPr="00184700">
              <w:rPr>
                <w:sz w:val="16"/>
                <w:szCs w:val="18"/>
                <w:lang w:eastAsia="es-GT"/>
              </w:rPr>
              <w:t>3.5</w:t>
            </w:r>
          </w:p>
        </w:tc>
        <w:tc>
          <w:tcPr>
            <w:tcW w:w="548" w:type="dxa"/>
            <w:tcBorders>
              <w:top w:val="nil"/>
              <w:left w:val="nil"/>
              <w:bottom w:val="nil"/>
              <w:right w:val="nil"/>
            </w:tcBorders>
            <w:shd w:val="clear" w:color="000000" w:fill="F4F3EC"/>
            <w:noWrap/>
            <w:vAlign w:val="center"/>
            <w:hideMark/>
          </w:tcPr>
          <w:p w14:paraId="45187213" w14:textId="77777777" w:rsidR="008A5924" w:rsidRPr="00184700" w:rsidRDefault="008A5924" w:rsidP="008A5924">
            <w:pPr>
              <w:jc w:val="center"/>
              <w:rPr>
                <w:sz w:val="16"/>
                <w:szCs w:val="18"/>
                <w:lang w:eastAsia="es-GT"/>
              </w:rPr>
            </w:pPr>
            <w:r w:rsidRPr="00184700">
              <w:rPr>
                <w:sz w:val="16"/>
                <w:szCs w:val="18"/>
                <w:lang w:eastAsia="es-GT"/>
              </w:rPr>
              <w:t>3.6</w:t>
            </w:r>
          </w:p>
        </w:tc>
        <w:tc>
          <w:tcPr>
            <w:tcW w:w="548" w:type="dxa"/>
            <w:tcBorders>
              <w:top w:val="nil"/>
              <w:left w:val="nil"/>
              <w:bottom w:val="nil"/>
              <w:right w:val="nil"/>
            </w:tcBorders>
            <w:shd w:val="clear" w:color="000000" w:fill="F4F3EC"/>
            <w:noWrap/>
            <w:vAlign w:val="center"/>
            <w:hideMark/>
          </w:tcPr>
          <w:p w14:paraId="55DD2D39" w14:textId="77777777" w:rsidR="008A5924" w:rsidRPr="00184700" w:rsidRDefault="008A5924" w:rsidP="008A5924">
            <w:pPr>
              <w:jc w:val="center"/>
              <w:rPr>
                <w:sz w:val="16"/>
                <w:szCs w:val="18"/>
                <w:lang w:eastAsia="es-GT"/>
              </w:rPr>
            </w:pPr>
            <w:r w:rsidRPr="00184700">
              <w:rPr>
                <w:sz w:val="16"/>
                <w:szCs w:val="18"/>
                <w:lang w:eastAsia="es-GT"/>
              </w:rPr>
              <w:t>3.6</w:t>
            </w:r>
          </w:p>
        </w:tc>
        <w:tc>
          <w:tcPr>
            <w:tcW w:w="548" w:type="dxa"/>
            <w:tcBorders>
              <w:top w:val="nil"/>
              <w:left w:val="nil"/>
              <w:bottom w:val="nil"/>
              <w:right w:val="nil"/>
            </w:tcBorders>
            <w:shd w:val="clear" w:color="000000" w:fill="F4F3EC"/>
            <w:noWrap/>
            <w:vAlign w:val="center"/>
            <w:hideMark/>
          </w:tcPr>
          <w:p w14:paraId="211CDA3F" w14:textId="77777777" w:rsidR="008A5924" w:rsidRPr="00184700" w:rsidRDefault="008A5924" w:rsidP="008A5924">
            <w:pPr>
              <w:jc w:val="center"/>
              <w:rPr>
                <w:sz w:val="16"/>
                <w:szCs w:val="18"/>
                <w:lang w:eastAsia="es-GT"/>
              </w:rPr>
            </w:pPr>
            <w:r w:rsidRPr="00184700">
              <w:rPr>
                <w:sz w:val="16"/>
                <w:szCs w:val="18"/>
                <w:lang w:eastAsia="es-GT"/>
              </w:rPr>
              <w:t>3.6</w:t>
            </w:r>
          </w:p>
        </w:tc>
        <w:tc>
          <w:tcPr>
            <w:tcW w:w="555" w:type="dxa"/>
            <w:tcBorders>
              <w:top w:val="nil"/>
              <w:left w:val="nil"/>
              <w:bottom w:val="nil"/>
              <w:right w:val="nil"/>
            </w:tcBorders>
            <w:shd w:val="clear" w:color="000000" w:fill="F4F3EC"/>
            <w:noWrap/>
            <w:vAlign w:val="center"/>
            <w:hideMark/>
          </w:tcPr>
          <w:p w14:paraId="6AED63FF" w14:textId="77777777" w:rsidR="008A5924" w:rsidRPr="00184700" w:rsidRDefault="008A5924" w:rsidP="008A5924">
            <w:pPr>
              <w:jc w:val="center"/>
              <w:rPr>
                <w:sz w:val="16"/>
                <w:szCs w:val="18"/>
                <w:lang w:eastAsia="es-GT"/>
              </w:rPr>
            </w:pPr>
            <w:r w:rsidRPr="00184700">
              <w:rPr>
                <w:sz w:val="16"/>
                <w:szCs w:val="18"/>
                <w:lang w:eastAsia="es-GT"/>
              </w:rPr>
              <w:t>3.7</w:t>
            </w:r>
          </w:p>
        </w:tc>
        <w:tc>
          <w:tcPr>
            <w:tcW w:w="179" w:type="dxa"/>
            <w:tcBorders>
              <w:top w:val="nil"/>
              <w:left w:val="nil"/>
              <w:bottom w:val="nil"/>
              <w:right w:val="nil"/>
            </w:tcBorders>
            <w:shd w:val="clear" w:color="000000" w:fill="FFFFFF"/>
            <w:noWrap/>
            <w:vAlign w:val="center"/>
            <w:hideMark/>
          </w:tcPr>
          <w:p w14:paraId="302227EC" w14:textId="77777777" w:rsidR="008A5924" w:rsidRPr="00184700" w:rsidRDefault="008A5924" w:rsidP="008A5924">
            <w:pPr>
              <w:jc w:val="center"/>
              <w:rPr>
                <w:sz w:val="16"/>
                <w:szCs w:val="18"/>
                <w:lang w:eastAsia="es-GT"/>
              </w:rPr>
            </w:pPr>
            <w:r w:rsidRPr="00184700">
              <w:rPr>
                <w:sz w:val="16"/>
                <w:szCs w:val="18"/>
                <w:lang w:eastAsia="es-GT"/>
              </w:rPr>
              <w:t> </w:t>
            </w:r>
          </w:p>
        </w:tc>
        <w:tc>
          <w:tcPr>
            <w:tcW w:w="622" w:type="dxa"/>
            <w:tcBorders>
              <w:top w:val="nil"/>
              <w:left w:val="nil"/>
              <w:bottom w:val="nil"/>
              <w:right w:val="nil"/>
            </w:tcBorders>
            <w:shd w:val="clear" w:color="000000" w:fill="FFFFFF"/>
            <w:noWrap/>
            <w:vAlign w:val="center"/>
            <w:hideMark/>
          </w:tcPr>
          <w:p w14:paraId="29624CFF" w14:textId="77777777" w:rsidR="008A5924" w:rsidRPr="00184700" w:rsidRDefault="008A5924" w:rsidP="008A5924">
            <w:pPr>
              <w:jc w:val="center"/>
              <w:rPr>
                <w:sz w:val="16"/>
                <w:szCs w:val="17"/>
                <w:lang w:eastAsia="es-GT"/>
              </w:rPr>
            </w:pPr>
            <w:r w:rsidRPr="00184700">
              <w:rPr>
                <w:sz w:val="16"/>
                <w:szCs w:val="17"/>
                <w:lang w:eastAsia="es-GT"/>
              </w:rPr>
              <w:t>-0.1 ↓</w:t>
            </w:r>
          </w:p>
        </w:tc>
        <w:tc>
          <w:tcPr>
            <w:tcW w:w="625" w:type="dxa"/>
            <w:tcBorders>
              <w:top w:val="nil"/>
              <w:left w:val="nil"/>
              <w:bottom w:val="nil"/>
              <w:right w:val="nil"/>
            </w:tcBorders>
            <w:shd w:val="clear" w:color="000000" w:fill="FFFFFF"/>
            <w:noWrap/>
            <w:vAlign w:val="center"/>
            <w:hideMark/>
          </w:tcPr>
          <w:p w14:paraId="3B309852" w14:textId="77777777" w:rsidR="008A5924" w:rsidRPr="00184700" w:rsidRDefault="008A5924" w:rsidP="008A5924">
            <w:pPr>
              <w:jc w:val="center"/>
              <w:rPr>
                <w:sz w:val="16"/>
                <w:szCs w:val="17"/>
                <w:lang w:eastAsia="es-GT"/>
              </w:rPr>
            </w:pPr>
            <w:r w:rsidRPr="00184700">
              <w:rPr>
                <w:sz w:val="16"/>
                <w:szCs w:val="17"/>
                <w:lang w:eastAsia="es-GT"/>
              </w:rPr>
              <w:t>-0.1 ↓</w:t>
            </w:r>
          </w:p>
        </w:tc>
        <w:tc>
          <w:tcPr>
            <w:tcW w:w="622" w:type="dxa"/>
            <w:tcBorders>
              <w:top w:val="nil"/>
              <w:left w:val="nil"/>
              <w:bottom w:val="nil"/>
              <w:right w:val="nil"/>
            </w:tcBorders>
            <w:shd w:val="clear" w:color="000000" w:fill="FFFFFF"/>
            <w:noWrap/>
            <w:vAlign w:val="center"/>
            <w:hideMark/>
          </w:tcPr>
          <w:p w14:paraId="525058C8" w14:textId="77777777" w:rsidR="008A5924" w:rsidRPr="00184700" w:rsidRDefault="008A5924" w:rsidP="008A5924">
            <w:pPr>
              <w:jc w:val="center"/>
              <w:rPr>
                <w:sz w:val="16"/>
                <w:szCs w:val="17"/>
                <w:lang w:eastAsia="es-GT"/>
              </w:rPr>
            </w:pPr>
            <w:r w:rsidRPr="00184700">
              <w:rPr>
                <w:sz w:val="16"/>
                <w:szCs w:val="17"/>
                <w:lang w:eastAsia="es-GT"/>
              </w:rPr>
              <w:t>-0.5 ↓</w:t>
            </w:r>
          </w:p>
        </w:tc>
        <w:tc>
          <w:tcPr>
            <w:tcW w:w="635" w:type="dxa"/>
            <w:tcBorders>
              <w:top w:val="nil"/>
              <w:left w:val="nil"/>
              <w:bottom w:val="nil"/>
              <w:right w:val="single" w:sz="4" w:space="0" w:color="auto"/>
            </w:tcBorders>
            <w:shd w:val="clear" w:color="000000" w:fill="FFFFFF"/>
            <w:noWrap/>
            <w:vAlign w:val="center"/>
            <w:hideMark/>
          </w:tcPr>
          <w:p w14:paraId="6F6AC612" w14:textId="77777777" w:rsidR="008A5924" w:rsidRPr="00184700" w:rsidRDefault="008A5924" w:rsidP="008A5924">
            <w:pPr>
              <w:jc w:val="center"/>
              <w:rPr>
                <w:sz w:val="16"/>
                <w:szCs w:val="17"/>
                <w:lang w:eastAsia="es-GT"/>
              </w:rPr>
            </w:pPr>
            <w:r w:rsidRPr="00184700">
              <w:rPr>
                <w:sz w:val="16"/>
                <w:szCs w:val="17"/>
                <w:lang w:eastAsia="es-GT"/>
              </w:rPr>
              <w:t>-0.2 ↓</w:t>
            </w:r>
          </w:p>
        </w:tc>
      </w:tr>
      <w:tr w:rsidR="008A5924" w:rsidRPr="00184700" w14:paraId="414C1CC4" w14:textId="77777777" w:rsidTr="000C21A6">
        <w:trPr>
          <w:trHeight w:val="253"/>
          <w:jc w:val="center"/>
        </w:trPr>
        <w:tc>
          <w:tcPr>
            <w:tcW w:w="1993" w:type="dxa"/>
            <w:tcBorders>
              <w:top w:val="nil"/>
              <w:left w:val="single" w:sz="4" w:space="0" w:color="auto"/>
              <w:bottom w:val="nil"/>
              <w:right w:val="single" w:sz="4" w:space="0" w:color="auto"/>
            </w:tcBorders>
            <w:shd w:val="clear" w:color="000000" w:fill="FFFFFF"/>
            <w:noWrap/>
            <w:vAlign w:val="center"/>
            <w:hideMark/>
          </w:tcPr>
          <w:p w14:paraId="4DB3E61D" w14:textId="77777777" w:rsidR="008A5924" w:rsidRPr="00184700" w:rsidRDefault="008A5924" w:rsidP="008A5924">
            <w:pPr>
              <w:rPr>
                <w:sz w:val="18"/>
                <w:szCs w:val="18"/>
                <w:lang w:eastAsia="es-GT"/>
              </w:rPr>
            </w:pPr>
            <w:r w:rsidRPr="00184700">
              <w:rPr>
                <w:sz w:val="18"/>
                <w:szCs w:val="18"/>
                <w:lang w:eastAsia="es-GT"/>
              </w:rPr>
              <w:t>Economías avanzadas</w:t>
            </w:r>
          </w:p>
        </w:tc>
        <w:tc>
          <w:tcPr>
            <w:tcW w:w="656" w:type="dxa"/>
            <w:tcBorders>
              <w:top w:val="nil"/>
              <w:left w:val="nil"/>
              <w:bottom w:val="nil"/>
              <w:right w:val="nil"/>
            </w:tcBorders>
            <w:shd w:val="clear" w:color="000000" w:fill="FFFFFF"/>
            <w:noWrap/>
            <w:vAlign w:val="center"/>
            <w:hideMark/>
          </w:tcPr>
          <w:p w14:paraId="098FCC11" w14:textId="77777777" w:rsidR="008A5924" w:rsidRPr="00184700" w:rsidRDefault="008A5924" w:rsidP="008A5924">
            <w:pPr>
              <w:jc w:val="center"/>
              <w:rPr>
                <w:sz w:val="16"/>
                <w:szCs w:val="18"/>
                <w:lang w:eastAsia="es-GT"/>
              </w:rPr>
            </w:pPr>
            <w:r w:rsidRPr="00184700">
              <w:rPr>
                <w:sz w:val="16"/>
                <w:szCs w:val="18"/>
                <w:lang w:eastAsia="es-GT"/>
              </w:rPr>
              <w:t>2.2</w:t>
            </w:r>
          </w:p>
        </w:tc>
        <w:tc>
          <w:tcPr>
            <w:tcW w:w="634" w:type="dxa"/>
            <w:gridSpan w:val="2"/>
            <w:tcBorders>
              <w:top w:val="nil"/>
              <w:left w:val="nil"/>
              <w:bottom w:val="nil"/>
              <w:right w:val="nil"/>
            </w:tcBorders>
            <w:shd w:val="clear" w:color="000000" w:fill="F4F3EC"/>
            <w:noWrap/>
            <w:vAlign w:val="center"/>
            <w:hideMark/>
          </w:tcPr>
          <w:p w14:paraId="6C94605F" w14:textId="77777777" w:rsidR="008A5924" w:rsidRPr="00184700" w:rsidRDefault="008A5924" w:rsidP="008A5924">
            <w:pPr>
              <w:jc w:val="center"/>
              <w:rPr>
                <w:sz w:val="16"/>
                <w:szCs w:val="18"/>
                <w:lang w:eastAsia="es-GT"/>
              </w:rPr>
            </w:pPr>
            <w:r w:rsidRPr="00184700">
              <w:rPr>
                <w:sz w:val="16"/>
                <w:szCs w:val="18"/>
                <w:lang w:eastAsia="es-GT"/>
              </w:rPr>
              <w:t>1.9</w:t>
            </w:r>
          </w:p>
        </w:tc>
        <w:tc>
          <w:tcPr>
            <w:tcW w:w="548" w:type="dxa"/>
            <w:tcBorders>
              <w:top w:val="nil"/>
              <w:left w:val="nil"/>
              <w:bottom w:val="nil"/>
              <w:right w:val="nil"/>
            </w:tcBorders>
            <w:shd w:val="clear" w:color="000000" w:fill="F4F3EC"/>
            <w:noWrap/>
            <w:vAlign w:val="center"/>
            <w:hideMark/>
          </w:tcPr>
          <w:p w14:paraId="1341FF32" w14:textId="77777777" w:rsidR="008A5924" w:rsidRPr="00184700" w:rsidRDefault="008A5924" w:rsidP="008A5924">
            <w:pPr>
              <w:jc w:val="center"/>
              <w:rPr>
                <w:sz w:val="16"/>
                <w:szCs w:val="18"/>
                <w:lang w:eastAsia="es-GT"/>
              </w:rPr>
            </w:pPr>
            <w:r w:rsidRPr="00184700">
              <w:rPr>
                <w:sz w:val="16"/>
                <w:szCs w:val="18"/>
                <w:lang w:eastAsia="es-GT"/>
              </w:rPr>
              <w:t>1.7</w:t>
            </w:r>
          </w:p>
        </w:tc>
        <w:tc>
          <w:tcPr>
            <w:tcW w:w="548" w:type="dxa"/>
            <w:tcBorders>
              <w:top w:val="nil"/>
              <w:left w:val="nil"/>
              <w:bottom w:val="nil"/>
              <w:right w:val="nil"/>
            </w:tcBorders>
            <w:shd w:val="clear" w:color="000000" w:fill="F4F3EC"/>
            <w:noWrap/>
            <w:vAlign w:val="center"/>
            <w:hideMark/>
          </w:tcPr>
          <w:p w14:paraId="65E7DD2E" w14:textId="77777777" w:rsidR="008A5924" w:rsidRPr="00184700" w:rsidRDefault="008A5924" w:rsidP="008A5924">
            <w:pPr>
              <w:jc w:val="center"/>
              <w:rPr>
                <w:sz w:val="16"/>
                <w:szCs w:val="18"/>
                <w:lang w:eastAsia="es-GT"/>
              </w:rPr>
            </w:pPr>
            <w:r w:rsidRPr="00184700">
              <w:rPr>
                <w:sz w:val="16"/>
                <w:szCs w:val="18"/>
                <w:lang w:eastAsia="es-GT"/>
              </w:rPr>
              <w:t>1.7</w:t>
            </w:r>
          </w:p>
        </w:tc>
        <w:tc>
          <w:tcPr>
            <w:tcW w:w="548" w:type="dxa"/>
            <w:tcBorders>
              <w:top w:val="nil"/>
              <w:left w:val="nil"/>
              <w:bottom w:val="nil"/>
              <w:right w:val="nil"/>
            </w:tcBorders>
            <w:shd w:val="clear" w:color="000000" w:fill="F4F3EC"/>
            <w:noWrap/>
            <w:vAlign w:val="center"/>
            <w:hideMark/>
          </w:tcPr>
          <w:p w14:paraId="0B1D1A83" w14:textId="77777777" w:rsidR="008A5924" w:rsidRPr="00184700" w:rsidRDefault="008A5924" w:rsidP="008A5924">
            <w:pPr>
              <w:jc w:val="center"/>
              <w:rPr>
                <w:sz w:val="16"/>
                <w:szCs w:val="18"/>
                <w:lang w:eastAsia="es-GT"/>
              </w:rPr>
            </w:pPr>
            <w:r w:rsidRPr="00184700">
              <w:rPr>
                <w:sz w:val="16"/>
                <w:szCs w:val="18"/>
                <w:lang w:eastAsia="es-GT"/>
              </w:rPr>
              <w:t>1.6</w:t>
            </w:r>
          </w:p>
        </w:tc>
        <w:tc>
          <w:tcPr>
            <w:tcW w:w="548" w:type="dxa"/>
            <w:tcBorders>
              <w:top w:val="nil"/>
              <w:left w:val="nil"/>
              <w:bottom w:val="nil"/>
              <w:right w:val="nil"/>
            </w:tcBorders>
            <w:shd w:val="clear" w:color="000000" w:fill="F4F3EC"/>
            <w:noWrap/>
            <w:vAlign w:val="center"/>
            <w:hideMark/>
          </w:tcPr>
          <w:p w14:paraId="768EBD2C" w14:textId="77777777" w:rsidR="008A5924" w:rsidRPr="00184700" w:rsidRDefault="008A5924" w:rsidP="008A5924">
            <w:pPr>
              <w:jc w:val="center"/>
              <w:rPr>
                <w:sz w:val="16"/>
                <w:szCs w:val="18"/>
                <w:lang w:eastAsia="es-GT"/>
              </w:rPr>
            </w:pPr>
            <w:r w:rsidRPr="00184700">
              <w:rPr>
                <w:sz w:val="16"/>
                <w:szCs w:val="18"/>
                <w:lang w:eastAsia="es-GT"/>
              </w:rPr>
              <w:t>1.6</w:t>
            </w:r>
          </w:p>
        </w:tc>
        <w:tc>
          <w:tcPr>
            <w:tcW w:w="555" w:type="dxa"/>
            <w:tcBorders>
              <w:top w:val="nil"/>
              <w:left w:val="nil"/>
              <w:bottom w:val="nil"/>
              <w:right w:val="nil"/>
            </w:tcBorders>
            <w:shd w:val="clear" w:color="000000" w:fill="F4F3EC"/>
            <w:noWrap/>
            <w:vAlign w:val="center"/>
            <w:hideMark/>
          </w:tcPr>
          <w:p w14:paraId="5CFC39EB" w14:textId="77777777" w:rsidR="008A5924" w:rsidRPr="00184700" w:rsidRDefault="008A5924" w:rsidP="008A5924">
            <w:pPr>
              <w:jc w:val="center"/>
              <w:rPr>
                <w:sz w:val="16"/>
                <w:szCs w:val="18"/>
                <w:lang w:eastAsia="es-GT"/>
              </w:rPr>
            </w:pPr>
            <w:r w:rsidRPr="00184700">
              <w:rPr>
                <w:sz w:val="16"/>
                <w:szCs w:val="18"/>
                <w:lang w:eastAsia="es-GT"/>
              </w:rPr>
              <w:t>1.6</w:t>
            </w:r>
          </w:p>
        </w:tc>
        <w:tc>
          <w:tcPr>
            <w:tcW w:w="179" w:type="dxa"/>
            <w:tcBorders>
              <w:top w:val="nil"/>
              <w:left w:val="nil"/>
              <w:bottom w:val="nil"/>
              <w:right w:val="nil"/>
            </w:tcBorders>
            <w:shd w:val="clear" w:color="000000" w:fill="FFFFFF"/>
            <w:noWrap/>
            <w:vAlign w:val="center"/>
            <w:hideMark/>
          </w:tcPr>
          <w:p w14:paraId="5346CCCE" w14:textId="77777777" w:rsidR="008A5924" w:rsidRPr="00184700" w:rsidRDefault="008A5924" w:rsidP="008A5924">
            <w:pPr>
              <w:jc w:val="center"/>
              <w:rPr>
                <w:sz w:val="16"/>
                <w:szCs w:val="18"/>
                <w:lang w:eastAsia="es-GT"/>
              </w:rPr>
            </w:pPr>
            <w:r w:rsidRPr="00184700">
              <w:rPr>
                <w:sz w:val="16"/>
                <w:szCs w:val="18"/>
                <w:lang w:eastAsia="es-GT"/>
              </w:rPr>
              <w:t> </w:t>
            </w:r>
          </w:p>
        </w:tc>
        <w:tc>
          <w:tcPr>
            <w:tcW w:w="622" w:type="dxa"/>
            <w:tcBorders>
              <w:top w:val="nil"/>
              <w:left w:val="nil"/>
              <w:bottom w:val="nil"/>
              <w:right w:val="nil"/>
            </w:tcBorders>
            <w:shd w:val="clear" w:color="000000" w:fill="FFFFFF"/>
            <w:noWrap/>
            <w:vAlign w:val="center"/>
            <w:hideMark/>
          </w:tcPr>
          <w:p w14:paraId="5E2BCBE8" w14:textId="77777777" w:rsidR="008A5924" w:rsidRPr="00184700" w:rsidRDefault="008A5924" w:rsidP="008A5924">
            <w:pPr>
              <w:jc w:val="center"/>
              <w:rPr>
                <w:sz w:val="16"/>
                <w:szCs w:val="17"/>
                <w:lang w:eastAsia="es-GT"/>
              </w:rPr>
            </w:pPr>
            <w:r w:rsidRPr="00184700">
              <w:rPr>
                <w:sz w:val="16"/>
                <w:szCs w:val="17"/>
                <w:lang w:eastAsia="es-GT"/>
              </w:rPr>
              <w:t>0.1 ↑</w:t>
            </w:r>
          </w:p>
        </w:tc>
        <w:tc>
          <w:tcPr>
            <w:tcW w:w="625" w:type="dxa"/>
            <w:tcBorders>
              <w:top w:val="nil"/>
              <w:left w:val="nil"/>
              <w:bottom w:val="nil"/>
              <w:right w:val="nil"/>
            </w:tcBorders>
            <w:shd w:val="clear" w:color="000000" w:fill="FFFFFF"/>
            <w:noWrap/>
            <w:vAlign w:val="center"/>
            <w:hideMark/>
          </w:tcPr>
          <w:p w14:paraId="513A71A6" w14:textId="77777777" w:rsidR="008A5924" w:rsidRPr="00184700" w:rsidRDefault="008A5924" w:rsidP="008A5924">
            <w:pPr>
              <w:jc w:val="center"/>
              <w:rPr>
                <w:sz w:val="16"/>
                <w:szCs w:val="17"/>
                <w:lang w:eastAsia="es-GT"/>
              </w:rPr>
            </w:pPr>
            <w:r w:rsidRPr="00184700">
              <w:rPr>
                <w:sz w:val="16"/>
                <w:szCs w:val="17"/>
                <w:lang w:eastAsia="es-GT"/>
              </w:rPr>
              <w:t>0.0</w:t>
            </w:r>
          </w:p>
        </w:tc>
        <w:tc>
          <w:tcPr>
            <w:tcW w:w="622" w:type="dxa"/>
            <w:tcBorders>
              <w:top w:val="nil"/>
              <w:left w:val="nil"/>
              <w:bottom w:val="nil"/>
              <w:right w:val="nil"/>
            </w:tcBorders>
            <w:shd w:val="clear" w:color="000000" w:fill="FFFFFF"/>
            <w:noWrap/>
            <w:vAlign w:val="center"/>
            <w:hideMark/>
          </w:tcPr>
          <w:p w14:paraId="4A26DC7F" w14:textId="77777777" w:rsidR="008A5924" w:rsidRPr="00184700" w:rsidRDefault="008A5924" w:rsidP="008A5924">
            <w:pPr>
              <w:jc w:val="center"/>
              <w:rPr>
                <w:sz w:val="16"/>
                <w:szCs w:val="17"/>
                <w:lang w:eastAsia="es-GT"/>
              </w:rPr>
            </w:pPr>
            <w:r w:rsidRPr="00184700">
              <w:rPr>
                <w:sz w:val="16"/>
                <w:szCs w:val="17"/>
                <w:lang w:eastAsia="es-GT"/>
              </w:rPr>
              <w:t>-0.5 ↓</w:t>
            </w:r>
          </w:p>
        </w:tc>
        <w:tc>
          <w:tcPr>
            <w:tcW w:w="635" w:type="dxa"/>
            <w:tcBorders>
              <w:top w:val="nil"/>
              <w:left w:val="nil"/>
              <w:bottom w:val="nil"/>
              <w:right w:val="single" w:sz="4" w:space="0" w:color="auto"/>
            </w:tcBorders>
            <w:shd w:val="clear" w:color="000000" w:fill="FFFFFF"/>
            <w:noWrap/>
            <w:vAlign w:val="center"/>
            <w:hideMark/>
          </w:tcPr>
          <w:p w14:paraId="4FE5E341" w14:textId="77777777" w:rsidR="008A5924" w:rsidRPr="00184700" w:rsidRDefault="008A5924" w:rsidP="008A5924">
            <w:pPr>
              <w:jc w:val="center"/>
              <w:rPr>
                <w:sz w:val="16"/>
                <w:szCs w:val="17"/>
                <w:lang w:eastAsia="es-GT"/>
              </w:rPr>
            </w:pPr>
            <w:r w:rsidRPr="00184700">
              <w:rPr>
                <w:sz w:val="16"/>
                <w:szCs w:val="17"/>
                <w:lang w:eastAsia="es-GT"/>
              </w:rPr>
              <w:t>0.0</w:t>
            </w:r>
          </w:p>
        </w:tc>
      </w:tr>
      <w:tr w:rsidR="008A5924" w:rsidRPr="00184700" w14:paraId="037DFA1E" w14:textId="77777777" w:rsidTr="000C21A6">
        <w:trPr>
          <w:trHeight w:val="406"/>
          <w:jc w:val="center"/>
        </w:trPr>
        <w:tc>
          <w:tcPr>
            <w:tcW w:w="1993" w:type="dxa"/>
            <w:tcBorders>
              <w:top w:val="nil"/>
              <w:left w:val="single" w:sz="4" w:space="0" w:color="auto"/>
              <w:bottom w:val="nil"/>
              <w:right w:val="single" w:sz="4" w:space="0" w:color="auto"/>
            </w:tcBorders>
            <w:shd w:val="clear" w:color="000000" w:fill="FFFFFF"/>
            <w:vAlign w:val="center"/>
            <w:hideMark/>
          </w:tcPr>
          <w:p w14:paraId="1FF8511D" w14:textId="77777777" w:rsidR="008A5924" w:rsidRPr="00184700" w:rsidRDefault="008A5924" w:rsidP="008A5924">
            <w:pPr>
              <w:rPr>
                <w:sz w:val="18"/>
                <w:szCs w:val="18"/>
                <w:lang w:eastAsia="es-GT"/>
              </w:rPr>
            </w:pPr>
            <w:r w:rsidRPr="00184700">
              <w:rPr>
                <w:sz w:val="18"/>
                <w:szCs w:val="18"/>
                <w:lang w:eastAsia="es-GT"/>
              </w:rPr>
              <w:t>Economías de mercados emergentes y en desarrollo</w:t>
            </w:r>
          </w:p>
        </w:tc>
        <w:tc>
          <w:tcPr>
            <w:tcW w:w="656" w:type="dxa"/>
            <w:tcBorders>
              <w:top w:val="nil"/>
              <w:left w:val="nil"/>
              <w:bottom w:val="nil"/>
              <w:right w:val="nil"/>
            </w:tcBorders>
            <w:shd w:val="clear" w:color="000000" w:fill="FFFFFF"/>
            <w:noWrap/>
            <w:vAlign w:val="center"/>
            <w:hideMark/>
          </w:tcPr>
          <w:p w14:paraId="144C8B12" w14:textId="77777777" w:rsidR="008A5924" w:rsidRPr="00184700" w:rsidRDefault="008A5924" w:rsidP="008A5924">
            <w:pPr>
              <w:jc w:val="center"/>
              <w:rPr>
                <w:sz w:val="16"/>
                <w:szCs w:val="18"/>
                <w:lang w:eastAsia="es-GT"/>
              </w:rPr>
            </w:pPr>
            <w:r w:rsidRPr="00184700">
              <w:rPr>
                <w:sz w:val="16"/>
                <w:szCs w:val="18"/>
                <w:lang w:eastAsia="es-GT"/>
              </w:rPr>
              <w:t>4.5</w:t>
            </w:r>
          </w:p>
        </w:tc>
        <w:tc>
          <w:tcPr>
            <w:tcW w:w="634" w:type="dxa"/>
            <w:gridSpan w:val="2"/>
            <w:tcBorders>
              <w:top w:val="nil"/>
              <w:left w:val="nil"/>
              <w:bottom w:val="nil"/>
              <w:right w:val="nil"/>
            </w:tcBorders>
            <w:shd w:val="clear" w:color="000000" w:fill="F4F3EC"/>
            <w:noWrap/>
            <w:vAlign w:val="center"/>
            <w:hideMark/>
          </w:tcPr>
          <w:p w14:paraId="577FFA98" w14:textId="77777777" w:rsidR="008A5924" w:rsidRPr="00184700" w:rsidRDefault="008A5924" w:rsidP="008A5924">
            <w:pPr>
              <w:jc w:val="center"/>
              <w:rPr>
                <w:sz w:val="16"/>
                <w:szCs w:val="18"/>
                <w:lang w:eastAsia="es-GT"/>
              </w:rPr>
            </w:pPr>
            <w:r w:rsidRPr="00184700">
              <w:rPr>
                <w:sz w:val="16"/>
                <w:szCs w:val="18"/>
                <w:lang w:eastAsia="es-GT"/>
              </w:rPr>
              <w:t>4.1</w:t>
            </w:r>
          </w:p>
        </w:tc>
        <w:tc>
          <w:tcPr>
            <w:tcW w:w="548" w:type="dxa"/>
            <w:tcBorders>
              <w:top w:val="nil"/>
              <w:left w:val="nil"/>
              <w:bottom w:val="nil"/>
              <w:right w:val="nil"/>
            </w:tcBorders>
            <w:shd w:val="clear" w:color="000000" w:fill="F4F3EC"/>
            <w:noWrap/>
            <w:vAlign w:val="center"/>
            <w:hideMark/>
          </w:tcPr>
          <w:p w14:paraId="63BD76E1" w14:textId="77777777" w:rsidR="008A5924" w:rsidRPr="00184700" w:rsidRDefault="008A5924" w:rsidP="008A5924">
            <w:pPr>
              <w:jc w:val="center"/>
              <w:rPr>
                <w:sz w:val="16"/>
                <w:szCs w:val="18"/>
                <w:lang w:eastAsia="es-GT"/>
              </w:rPr>
            </w:pPr>
            <w:r w:rsidRPr="00184700">
              <w:rPr>
                <w:sz w:val="16"/>
                <w:szCs w:val="18"/>
                <w:lang w:eastAsia="es-GT"/>
              </w:rPr>
              <w:t>4.7</w:t>
            </w:r>
          </w:p>
        </w:tc>
        <w:tc>
          <w:tcPr>
            <w:tcW w:w="548" w:type="dxa"/>
            <w:tcBorders>
              <w:top w:val="nil"/>
              <w:left w:val="nil"/>
              <w:bottom w:val="nil"/>
              <w:right w:val="nil"/>
            </w:tcBorders>
            <w:shd w:val="clear" w:color="000000" w:fill="F4F3EC"/>
            <w:noWrap/>
            <w:vAlign w:val="center"/>
            <w:hideMark/>
          </w:tcPr>
          <w:p w14:paraId="76867186" w14:textId="77777777" w:rsidR="008A5924" w:rsidRPr="00184700" w:rsidRDefault="008A5924" w:rsidP="008A5924">
            <w:pPr>
              <w:jc w:val="center"/>
              <w:rPr>
                <w:sz w:val="16"/>
                <w:szCs w:val="18"/>
                <w:lang w:eastAsia="es-GT"/>
              </w:rPr>
            </w:pPr>
            <w:r w:rsidRPr="00184700">
              <w:rPr>
                <w:sz w:val="16"/>
                <w:szCs w:val="18"/>
                <w:lang w:eastAsia="es-GT"/>
              </w:rPr>
              <w:t>4.9</w:t>
            </w:r>
          </w:p>
        </w:tc>
        <w:tc>
          <w:tcPr>
            <w:tcW w:w="548" w:type="dxa"/>
            <w:tcBorders>
              <w:top w:val="nil"/>
              <w:left w:val="nil"/>
              <w:bottom w:val="nil"/>
              <w:right w:val="nil"/>
            </w:tcBorders>
            <w:shd w:val="clear" w:color="000000" w:fill="F4F3EC"/>
            <w:noWrap/>
            <w:vAlign w:val="center"/>
            <w:hideMark/>
          </w:tcPr>
          <w:p w14:paraId="1EBE0F14" w14:textId="77777777" w:rsidR="008A5924" w:rsidRPr="00184700" w:rsidRDefault="008A5924" w:rsidP="008A5924">
            <w:pPr>
              <w:jc w:val="center"/>
              <w:rPr>
                <w:sz w:val="16"/>
                <w:szCs w:val="18"/>
                <w:lang w:eastAsia="es-GT"/>
              </w:rPr>
            </w:pPr>
            <w:r w:rsidRPr="00184700">
              <w:rPr>
                <w:sz w:val="16"/>
                <w:szCs w:val="18"/>
                <w:lang w:eastAsia="es-GT"/>
              </w:rPr>
              <w:t>4.8</w:t>
            </w:r>
          </w:p>
        </w:tc>
        <w:tc>
          <w:tcPr>
            <w:tcW w:w="548" w:type="dxa"/>
            <w:tcBorders>
              <w:top w:val="nil"/>
              <w:left w:val="nil"/>
              <w:bottom w:val="nil"/>
              <w:right w:val="nil"/>
            </w:tcBorders>
            <w:shd w:val="clear" w:color="000000" w:fill="F4F3EC"/>
            <w:noWrap/>
            <w:vAlign w:val="center"/>
            <w:hideMark/>
          </w:tcPr>
          <w:p w14:paraId="7C552D3B" w14:textId="77777777" w:rsidR="008A5924" w:rsidRPr="00184700" w:rsidRDefault="008A5924" w:rsidP="008A5924">
            <w:pPr>
              <w:jc w:val="center"/>
              <w:rPr>
                <w:sz w:val="16"/>
                <w:szCs w:val="18"/>
                <w:lang w:eastAsia="es-GT"/>
              </w:rPr>
            </w:pPr>
            <w:r w:rsidRPr="00184700">
              <w:rPr>
                <w:sz w:val="16"/>
                <w:szCs w:val="18"/>
                <w:lang w:eastAsia="es-GT"/>
              </w:rPr>
              <w:t>4.9</w:t>
            </w:r>
          </w:p>
        </w:tc>
        <w:tc>
          <w:tcPr>
            <w:tcW w:w="555" w:type="dxa"/>
            <w:tcBorders>
              <w:top w:val="nil"/>
              <w:left w:val="nil"/>
              <w:bottom w:val="nil"/>
              <w:right w:val="nil"/>
            </w:tcBorders>
            <w:shd w:val="clear" w:color="000000" w:fill="F4F3EC"/>
            <w:noWrap/>
            <w:vAlign w:val="center"/>
            <w:hideMark/>
          </w:tcPr>
          <w:p w14:paraId="6AB52EC3" w14:textId="77777777" w:rsidR="008A5924" w:rsidRPr="00184700" w:rsidRDefault="008A5924" w:rsidP="008A5924">
            <w:pPr>
              <w:jc w:val="center"/>
              <w:rPr>
                <w:sz w:val="16"/>
                <w:szCs w:val="18"/>
                <w:lang w:eastAsia="es-GT"/>
              </w:rPr>
            </w:pPr>
            <w:r w:rsidRPr="00184700">
              <w:rPr>
                <w:sz w:val="16"/>
                <w:szCs w:val="18"/>
                <w:lang w:eastAsia="es-GT"/>
              </w:rPr>
              <w:t>4.9</w:t>
            </w:r>
          </w:p>
        </w:tc>
        <w:tc>
          <w:tcPr>
            <w:tcW w:w="179" w:type="dxa"/>
            <w:tcBorders>
              <w:top w:val="nil"/>
              <w:left w:val="nil"/>
              <w:bottom w:val="nil"/>
              <w:right w:val="nil"/>
            </w:tcBorders>
            <w:shd w:val="clear" w:color="000000" w:fill="FFFFFF"/>
            <w:noWrap/>
            <w:vAlign w:val="center"/>
            <w:hideMark/>
          </w:tcPr>
          <w:p w14:paraId="43CFD245" w14:textId="77777777" w:rsidR="008A5924" w:rsidRPr="00184700" w:rsidRDefault="008A5924" w:rsidP="008A5924">
            <w:pPr>
              <w:jc w:val="center"/>
              <w:rPr>
                <w:sz w:val="16"/>
                <w:szCs w:val="18"/>
                <w:lang w:eastAsia="es-GT"/>
              </w:rPr>
            </w:pPr>
            <w:r w:rsidRPr="00184700">
              <w:rPr>
                <w:sz w:val="16"/>
                <w:szCs w:val="18"/>
                <w:lang w:eastAsia="es-GT"/>
              </w:rPr>
              <w:t> </w:t>
            </w:r>
          </w:p>
        </w:tc>
        <w:tc>
          <w:tcPr>
            <w:tcW w:w="622" w:type="dxa"/>
            <w:tcBorders>
              <w:top w:val="nil"/>
              <w:left w:val="nil"/>
              <w:bottom w:val="nil"/>
              <w:right w:val="nil"/>
            </w:tcBorders>
            <w:shd w:val="clear" w:color="000000" w:fill="FFFFFF"/>
            <w:noWrap/>
            <w:vAlign w:val="center"/>
            <w:hideMark/>
          </w:tcPr>
          <w:p w14:paraId="16C27C55" w14:textId="77777777" w:rsidR="008A5924" w:rsidRPr="00184700" w:rsidRDefault="008A5924" w:rsidP="008A5924">
            <w:pPr>
              <w:jc w:val="center"/>
              <w:rPr>
                <w:sz w:val="16"/>
                <w:szCs w:val="17"/>
                <w:lang w:eastAsia="es-GT"/>
              </w:rPr>
            </w:pPr>
            <w:r w:rsidRPr="00184700">
              <w:rPr>
                <w:sz w:val="16"/>
                <w:szCs w:val="17"/>
                <w:lang w:eastAsia="es-GT"/>
              </w:rPr>
              <w:t>-0.3 ↓</w:t>
            </w:r>
          </w:p>
        </w:tc>
        <w:tc>
          <w:tcPr>
            <w:tcW w:w="625" w:type="dxa"/>
            <w:tcBorders>
              <w:top w:val="nil"/>
              <w:left w:val="nil"/>
              <w:bottom w:val="nil"/>
              <w:right w:val="nil"/>
            </w:tcBorders>
            <w:shd w:val="clear" w:color="000000" w:fill="FFFFFF"/>
            <w:noWrap/>
            <w:vAlign w:val="center"/>
            <w:hideMark/>
          </w:tcPr>
          <w:p w14:paraId="3E28857F" w14:textId="77777777" w:rsidR="008A5924" w:rsidRPr="00184700" w:rsidRDefault="008A5924" w:rsidP="008A5924">
            <w:pPr>
              <w:jc w:val="center"/>
              <w:rPr>
                <w:sz w:val="16"/>
                <w:szCs w:val="17"/>
                <w:lang w:eastAsia="es-GT"/>
              </w:rPr>
            </w:pPr>
            <w:r w:rsidRPr="00184700">
              <w:rPr>
                <w:sz w:val="16"/>
                <w:szCs w:val="17"/>
                <w:lang w:eastAsia="es-GT"/>
              </w:rPr>
              <w:t>-0.1 ↓</w:t>
            </w:r>
          </w:p>
        </w:tc>
        <w:tc>
          <w:tcPr>
            <w:tcW w:w="622" w:type="dxa"/>
            <w:tcBorders>
              <w:top w:val="nil"/>
              <w:left w:val="nil"/>
              <w:bottom w:val="nil"/>
              <w:right w:val="nil"/>
            </w:tcBorders>
            <w:shd w:val="clear" w:color="000000" w:fill="FFFFFF"/>
            <w:noWrap/>
            <w:vAlign w:val="center"/>
            <w:hideMark/>
          </w:tcPr>
          <w:p w14:paraId="339630F4" w14:textId="77777777" w:rsidR="008A5924" w:rsidRPr="00184700" w:rsidRDefault="008A5924" w:rsidP="008A5924">
            <w:pPr>
              <w:jc w:val="center"/>
              <w:rPr>
                <w:sz w:val="16"/>
                <w:szCs w:val="17"/>
                <w:lang w:eastAsia="es-GT"/>
              </w:rPr>
            </w:pPr>
            <w:r w:rsidRPr="00184700">
              <w:rPr>
                <w:sz w:val="16"/>
                <w:szCs w:val="17"/>
                <w:lang w:eastAsia="es-GT"/>
              </w:rPr>
              <w:t>-0.5 ↓</w:t>
            </w:r>
          </w:p>
        </w:tc>
        <w:tc>
          <w:tcPr>
            <w:tcW w:w="635" w:type="dxa"/>
            <w:tcBorders>
              <w:top w:val="nil"/>
              <w:left w:val="nil"/>
              <w:bottom w:val="nil"/>
              <w:right w:val="single" w:sz="4" w:space="0" w:color="auto"/>
            </w:tcBorders>
            <w:shd w:val="clear" w:color="000000" w:fill="FFFFFF"/>
            <w:noWrap/>
            <w:vAlign w:val="center"/>
            <w:hideMark/>
          </w:tcPr>
          <w:p w14:paraId="23E0D5FC" w14:textId="77777777" w:rsidR="008A5924" w:rsidRPr="00184700" w:rsidRDefault="008A5924" w:rsidP="008A5924">
            <w:pPr>
              <w:jc w:val="center"/>
              <w:rPr>
                <w:sz w:val="16"/>
                <w:szCs w:val="17"/>
                <w:lang w:eastAsia="es-GT"/>
              </w:rPr>
            </w:pPr>
            <w:r w:rsidRPr="00184700">
              <w:rPr>
                <w:sz w:val="16"/>
                <w:szCs w:val="17"/>
                <w:lang w:eastAsia="es-GT"/>
              </w:rPr>
              <w:t>-0.2 ↓</w:t>
            </w:r>
          </w:p>
        </w:tc>
      </w:tr>
      <w:tr w:rsidR="008A5924" w:rsidRPr="00184700" w14:paraId="65B4B89E" w14:textId="77777777" w:rsidTr="000C21A6">
        <w:trPr>
          <w:trHeight w:val="253"/>
          <w:jc w:val="center"/>
        </w:trPr>
        <w:tc>
          <w:tcPr>
            <w:tcW w:w="1993" w:type="dxa"/>
            <w:tcBorders>
              <w:top w:val="nil"/>
              <w:left w:val="single" w:sz="4" w:space="0" w:color="auto"/>
              <w:bottom w:val="single" w:sz="4" w:space="0" w:color="auto"/>
              <w:right w:val="single" w:sz="4" w:space="0" w:color="auto"/>
            </w:tcBorders>
            <w:shd w:val="clear" w:color="000000" w:fill="FFFFFF"/>
            <w:noWrap/>
            <w:vAlign w:val="center"/>
            <w:hideMark/>
          </w:tcPr>
          <w:p w14:paraId="12F11503" w14:textId="77777777" w:rsidR="008A5924" w:rsidRPr="00184700" w:rsidRDefault="008A5924" w:rsidP="008A5924">
            <w:pPr>
              <w:rPr>
                <w:sz w:val="18"/>
                <w:szCs w:val="18"/>
                <w:lang w:eastAsia="es-GT"/>
              </w:rPr>
            </w:pPr>
            <w:r w:rsidRPr="00184700">
              <w:rPr>
                <w:sz w:val="18"/>
                <w:szCs w:val="18"/>
                <w:lang w:eastAsia="es-GT"/>
              </w:rPr>
              <w:t>América latina y el caribe</w:t>
            </w:r>
          </w:p>
        </w:tc>
        <w:tc>
          <w:tcPr>
            <w:tcW w:w="656" w:type="dxa"/>
            <w:tcBorders>
              <w:top w:val="nil"/>
              <w:left w:val="nil"/>
              <w:bottom w:val="single" w:sz="4" w:space="0" w:color="auto"/>
              <w:right w:val="nil"/>
            </w:tcBorders>
            <w:shd w:val="clear" w:color="000000" w:fill="FFFFFF"/>
            <w:noWrap/>
            <w:vAlign w:val="center"/>
            <w:hideMark/>
          </w:tcPr>
          <w:p w14:paraId="45BFCBD6" w14:textId="77777777" w:rsidR="008A5924" w:rsidRPr="00184700" w:rsidRDefault="008A5924" w:rsidP="008A5924">
            <w:pPr>
              <w:jc w:val="center"/>
              <w:rPr>
                <w:sz w:val="16"/>
                <w:szCs w:val="18"/>
                <w:lang w:eastAsia="es-GT"/>
              </w:rPr>
            </w:pPr>
            <w:r w:rsidRPr="00184700">
              <w:rPr>
                <w:sz w:val="16"/>
                <w:szCs w:val="18"/>
                <w:lang w:eastAsia="es-GT"/>
              </w:rPr>
              <w:t>1</w:t>
            </w:r>
          </w:p>
        </w:tc>
        <w:tc>
          <w:tcPr>
            <w:tcW w:w="634" w:type="dxa"/>
            <w:gridSpan w:val="2"/>
            <w:tcBorders>
              <w:top w:val="nil"/>
              <w:left w:val="nil"/>
              <w:bottom w:val="single" w:sz="4" w:space="0" w:color="auto"/>
              <w:right w:val="nil"/>
            </w:tcBorders>
            <w:shd w:val="clear" w:color="000000" w:fill="F4F3EC"/>
            <w:noWrap/>
            <w:vAlign w:val="center"/>
            <w:hideMark/>
          </w:tcPr>
          <w:p w14:paraId="69FBAFF9" w14:textId="77777777" w:rsidR="008A5924" w:rsidRPr="00184700" w:rsidRDefault="008A5924" w:rsidP="008A5924">
            <w:pPr>
              <w:jc w:val="center"/>
              <w:rPr>
                <w:sz w:val="16"/>
                <w:szCs w:val="18"/>
                <w:lang w:eastAsia="es-GT"/>
              </w:rPr>
            </w:pPr>
            <w:r w:rsidRPr="00184700">
              <w:rPr>
                <w:sz w:val="16"/>
                <w:szCs w:val="18"/>
                <w:lang w:eastAsia="es-GT"/>
              </w:rPr>
              <w:t>0.6</w:t>
            </w:r>
          </w:p>
        </w:tc>
        <w:tc>
          <w:tcPr>
            <w:tcW w:w="548" w:type="dxa"/>
            <w:tcBorders>
              <w:top w:val="nil"/>
              <w:left w:val="nil"/>
              <w:bottom w:val="single" w:sz="4" w:space="0" w:color="auto"/>
              <w:right w:val="nil"/>
            </w:tcBorders>
            <w:shd w:val="clear" w:color="000000" w:fill="F4F3EC"/>
            <w:noWrap/>
            <w:vAlign w:val="center"/>
            <w:hideMark/>
          </w:tcPr>
          <w:p w14:paraId="779ADE7C" w14:textId="77777777" w:rsidR="008A5924" w:rsidRPr="00184700" w:rsidRDefault="008A5924" w:rsidP="008A5924">
            <w:pPr>
              <w:jc w:val="center"/>
              <w:rPr>
                <w:sz w:val="16"/>
                <w:szCs w:val="18"/>
                <w:lang w:eastAsia="es-GT"/>
              </w:rPr>
            </w:pPr>
            <w:r w:rsidRPr="00184700">
              <w:rPr>
                <w:sz w:val="16"/>
                <w:szCs w:val="18"/>
                <w:lang w:eastAsia="es-GT"/>
              </w:rPr>
              <w:t>2.3</w:t>
            </w:r>
          </w:p>
        </w:tc>
        <w:tc>
          <w:tcPr>
            <w:tcW w:w="548" w:type="dxa"/>
            <w:tcBorders>
              <w:top w:val="nil"/>
              <w:left w:val="nil"/>
              <w:bottom w:val="single" w:sz="4" w:space="0" w:color="auto"/>
              <w:right w:val="nil"/>
            </w:tcBorders>
            <w:shd w:val="clear" w:color="000000" w:fill="F4F3EC"/>
            <w:noWrap/>
            <w:vAlign w:val="center"/>
            <w:hideMark/>
          </w:tcPr>
          <w:p w14:paraId="0B5644FE" w14:textId="77777777" w:rsidR="008A5924" w:rsidRPr="00184700" w:rsidRDefault="008A5924" w:rsidP="008A5924">
            <w:pPr>
              <w:jc w:val="center"/>
              <w:rPr>
                <w:sz w:val="16"/>
                <w:szCs w:val="18"/>
                <w:lang w:eastAsia="es-GT"/>
              </w:rPr>
            </w:pPr>
            <w:r w:rsidRPr="00184700">
              <w:rPr>
                <w:sz w:val="16"/>
                <w:szCs w:val="18"/>
                <w:lang w:eastAsia="es-GT"/>
              </w:rPr>
              <w:t>2.6</w:t>
            </w:r>
          </w:p>
        </w:tc>
        <w:tc>
          <w:tcPr>
            <w:tcW w:w="548" w:type="dxa"/>
            <w:tcBorders>
              <w:top w:val="nil"/>
              <w:left w:val="nil"/>
              <w:bottom w:val="single" w:sz="4" w:space="0" w:color="auto"/>
              <w:right w:val="nil"/>
            </w:tcBorders>
            <w:shd w:val="clear" w:color="000000" w:fill="F4F3EC"/>
            <w:noWrap/>
            <w:vAlign w:val="center"/>
            <w:hideMark/>
          </w:tcPr>
          <w:p w14:paraId="07A18730" w14:textId="77777777" w:rsidR="008A5924" w:rsidRPr="00184700" w:rsidRDefault="008A5924" w:rsidP="008A5924">
            <w:pPr>
              <w:jc w:val="center"/>
              <w:rPr>
                <w:sz w:val="16"/>
                <w:szCs w:val="18"/>
                <w:lang w:eastAsia="es-GT"/>
              </w:rPr>
            </w:pPr>
            <w:r w:rsidRPr="00184700">
              <w:rPr>
                <w:sz w:val="16"/>
                <w:szCs w:val="18"/>
                <w:lang w:eastAsia="es-GT"/>
              </w:rPr>
              <w:t>2.8</w:t>
            </w:r>
          </w:p>
        </w:tc>
        <w:tc>
          <w:tcPr>
            <w:tcW w:w="548" w:type="dxa"/>
            <w:tcBorders>
              <w:top w:val="nil"/>
              <w:left w:val="nil"/>
              <w:bottom w:val="single" w:sz="4" w:space="0" w:color="auto"/>
              <w:right w:val="nil"/>
            </w:tcBorders>
            <w:shd w:val="clear" w:color="000000" w:fill="F4F3EC"/>
            <w:noWrap/>
            <w:vAlign w:val="center"/>
            <w:hideMark/>
          </w:tcPr>
          <w:p w14:paraId="5ACBF7C8" w14:textId="77777777" w:rsidR="008A5924" w:rsidRPr="00184700" w:rsidRDefault="008A5924" w:rsidP="008A5924">
            <w:pPr>
              <w:jc w:val="center"/>
              <w:rPr>
                <w:sz w:val="16"/>
                <w:szCs w:val="18"/>
                <w:lang w:eastAsia="es-GT"/>
              </w:rPr>
            </w:pPr>
            <w:r w:rsidRPr="00184700">
              <w:rPr>
                <w:sz w:val="16"/>
                <w:szCs w:val="18"/>
                <w:lang w:eastAsia="es-GT"/>
              </w:rPr>
              <w:t>2.9</w:t>
            </w:r>
          </w:p>
        </w:tc>
        <w:tc>
          <w:tcPr>
            <w:tcW w:w="555" w:type="dxa"/>
            <w:tcBorders>
              <w:top w:val="nil"/>
              <w:left w:val="nil"/>
              <w:bottom w:val="single" w:sz="4" w:space="0" w:color="auto"/>
              <w:right w:val="nil"/>
            </w:tcBorders>
            <w:shd w:val="clear" w:color="000000" w:fill="F4F3EC"/>
            <w:noWrap/>
            <w:vAlign w:val="center"/>
            <w:hideMark/>
          </w:tcPr>
          <w:p w14:paraId="5DED8819" w14:textId="77777777" w:rsidR="008A5924" w:rsidRPr="00184700" w:rsidRDefault="008A5924" w:rsidP="008A5924">
            <w:pPr>
              <w:jc w:val="center"/>
              <w:rPr>
                <w:sz w:val="16"/>
                <w:szCs w:val="18"/>
                <w:lang w:eastAsia="es-GT"/>
              </w:rPr>
            </w:pPr>
            <w:r w:rsidRPr="00184700">
              <w:rPr>
                <w:sz w:val="16"/>
                <w:szCs w:val="18"/>
                <w:lang w:eastAsia="es-GT"/>
              </w:rPr>
              <w:t>2.8</w:t>
            </w:r>
          </w:p>
        </w:tc>
        <w:tc>
          <w:tcPr>
            <w:tcW w:w="179" w:type="dxa"/>
            <w:tcBorders>
              <w:top w:val="nil"/>
              <w:left w:val="nil"/>
              <w:bottom w:val="single" w:sz="4" w:space="0" w:color="auto"/>
              <w:right w:val="nil"/>
            </w:tcBorders>
            <w:shd w:val="clear" w:color="000000" w:fill="FFFFFF"/>
            <w:noWrap/>
            <w:vAlign w:val="center"/>
            <w:hideMark/>
          </w:tcPr>
          <w:p w14:paraId="7C8B1C1E" w14:textId="77777777" w:rsidR="008A5924" w:rsidRPr="00184700" w:rsidRDefault="008A5924" w:rsidP="008A5924">
            <w:pPr>
              <w:jc w:val="center"/>
              <w:rPr>
                <w:sz w:val="16"/>
                <w:szCs w:val="18"/>
                <w:lang w:eastAsia="es-GT"/>
              </w:rPr>
            </w:pPr>
            <w:r w:rsidRPr="00184700">
              <w:rPr>
                <w:sz w:val="16"/>
                <w:szCs w:val="18"/>
                <w:lang w:eastAsia="es-GT"/>
              </w:rPr>
              <w:t> </w:t>
            </w:r>
          </w:p>
        </w:tc>
        <w:tc>
          <w:tcPr>
            <w:tcW w:w="622" w:type="dxa"/>
            <w:tcBorders>
              <w:top w:val="nil"/>
              <w:left w:val="nil"/>
              <w:bottom w:val="single" w:sz="4" w:space="0" w:color="auto"/>
              <w:right w:val="nil"/>
            </w:tcBorders>
            <w:shd w:val="clear" w:color="000000" w:fill="FFFFFF"/>
            <w:noWrap/>
            <w:vAlign w:val="center"/>
            <w:hideMark/>
          </w:tcPr>
          <w:p w14:paraId="7FC2A075" w14:textId="77777777" w:rsidR="008A5924" w:rsidRPr="00184700" w:rsidRDefault="008A5924" w:rsidP="008A5924">
            <w:pPr>
              <w:jc w:val="center"/>
              <w:rPr>
                <w:sz w:val="16"/>
                <w:szCs w:val="17"/>
                <w:lang w:eastAsia="es-GT"/>
              </w:rPr>
            </w:pPr>
            <w:r w:rsidRPr="00184700">
              <w:rPr>
                <w:sz w:val="16"/>
                <w:szCs w:val="17"/>
                <w:lang w:eastAsia="es-GT"/>
              </w:rPr>
              <w:t>-0.8 ↓</w:t>
            </w:r>
          </w:p>
        </w:tc>
        <w:tc>
          <w:tcPr>
            <w:tcW w:w="625" w:type="dxa"/>
            <w:tcBorders>
              <w:top w:val="nil"/>
              <w:left w:val="nil"/>
              <w:bottom w:val="single" w:sz="4" w:space="0" w:color="auto"/>
              <w:right w:val="nil"/>
            </w:tcBorders>
            <w:shd w:val="clear" w:color="000000" w:fill="FFFFFF"/>
            <w:noWrap/>
            <w:vAlign w:val="center"/>
            <w:hideMark/>
          </w:tcPr>
          <w:p w14:paraId="6892A88E" w14:textId="77777777" w:rsidR="008A5924" w:rsidRPr="00184700" w:rsidRDefault="008A5924" w:rsidP="008A5924">
            <w:pPr>
              <w:jc w:val="center"/>
              <w:rPr>
                <w:sz w:val="16"/>
                <w:szCs w:val="17"/>
                <w:lang w:eastAsia="es-GT"/>
              </w:rPr>
            </w:pPr>
            <w:r w:rsidRPr="00184700">
              <w:rPr>
                <w:sz w:val="16"/>
                <w:szCs w:val="17"/>
                <w:lang w:eastAsia="es-GT"/>
              </w:rPr>
              <w:t>-0.1 ↓</w:t>
            </w:r>
          </w:p>
        </w:tc>
        <w:tc>
          <w:tcPr>
            <w:tcW w:w="622" w:type="dxa"/>
            <w:tcBorders>
              <w:top w:val="nil"/>
              <w:left w:val="nil"/>
              <w:bottom w:val="single" w:sz="4" w:space="0" w:color="auto"/>
              <w:right w:val="nil"/>
            </w:tcBorders>
            <w:shd w:val="clear" w:color="000000" w:fill="FFFFFF"/>
            <w:noWrap/>
            <w:vAlign w:val="center"/>
            <w:hideMark/>
          </w:tcPr>
          <w:p w14:paraId="5D5939C2" w14:textId="77777777" w:rsidR="008A5924" w:rsidRPr="00184700" w:rsidRDefault="008A5924" w:rsidP="008A5924">
            <w:pPr>
              <w:jc w:val="center"/>
              <w:rPr>
                <w:sz w:val="16"/>
                <w:szCs w:val="17"/>
                <w:lang w:eastAsia="es-GT"/>
              </w:rPr>
            </w:pPr>
            <w:r w:rsidRPr="00184700">
              <w:rPr>
                <w:sz w:val="16"/>
                <w:szCs w:val="17"/>
                <w:lang w:eastAsia="es-GT"/>
              </w:rPr>
              <w:t>-1.5 ↓</w:t>
            </w:r>
          </w:p>
        </w:tc>
        <w:tc>
          <w:tcPr>
            <w:tcW w:w="635" w:type="dxa"/>
            <w:tcBorders>
              <w:top w:val="nil"/>
              <w:left w:val="nil"/>
              <w:bottom w:val="single" w:sz="4" w:space="0" w:color="auto"/>
              <w:right w:val="single" w:sz="4" w:space="0" w:color="auto"/>
            </w:tcBorders>
            <w:shd w:val="clear" w:color="000000" w:fill="FFFFFF"/>
            <w:noWrap/>
            <w:vAlign w:val="center"/>
            <w:hideMark/>
          </w:tcPr>
          <w:p w14:paraId="4309B014" w14:textId="77777777" w:rsidR="008A5924" w:rsidRPr="00184700" w:rsidRDefault="008A5924" w:rsidP="008A5924">
            <w:pPr>
              <w:jc w:val="center"/>
              <w:rPr>
                <w:sz w:val="16"/>
                <w:szCs w:val="17"/>
                <w:lang w:eastAsia="es-GT"/>
              </w:rPr>
            </w:pPr>
            <w:r w:rsidRPr="00184700">
              <w:rPr>
                <w:sz w:val="16"/>
                <w:szCs w:val="17"/>
                <w:lang w:eastAsia="es-GT"/>
              </w:rPr>
              <w:t>-0.4 ↓</w:t>
            </w:r>
          </w:p>
        </w:tc>
      </w:tr>
      <w:tr w:rsidR="008A5924" w:rsidRPr="00184700" w14:paraId="76E16220" w14:textId="77777777" w:rsidTr="000C21A6">
        <w:trPr>
          <w:trHeight w:val="253"/>
          <w:jc w:val="center"/>
        </w:trPr>
        <w:tc>
          <w:tcPr>
            <w:tcW w:w="8719" w:type="dxa"/>
            <w:gridSpan w:val="14"/>
            <w:tcBorders>
              <w:top w:val="single" w:sz="4" w:space="0" w:color="auto"/>
              <w:left w:val="nil"/>
              <w:bottom w:val="nil"/>
              <w:right w:val="nil"/>
            </w:tcBorders>
            <w:shd w:val="clear" w:color="auto" w:fill="auto"/>
            <w:noWrap/>
            <w:vAlign w:val="center"/>
            <w:hideMark/>
          </w:tcPr>
          <w:p w14:paraId="611B7EEE" w14:textId="77777777" w:rsidR="008A5924" w:rsidRPr="00184700" w:rsidRDefault="008A5924" w:rsidP="008A5924">
            <w:pPr>
              <w:rPr>
                <w:b/>
                <w:sz w:val="16"/>
                <w:szCs w:val="18"/>
                <w:lang w:eastAsia="es-GT"/>
              </w:rPr>
            </w:pPr>
            <w:r w:rsidRPr="00184700">
              <w:rPr>
                <w:b/>
                <w:sz w:val="16"/>
                <w:szCs w:val="18"/>
                <w:lang w:eastAsia="es-GT"/>
              </w:rPr>
              <w:t xml:space="preserve">Fuente: </w:t>
            </w:r>
            <w:r w:rsidRPr="00184700">
              <w:rPr>
                <w:sz w:val="16"/>
                <w:szCs w:val="18"/>
                <w:lang w:eastAsia="es-GT"/>
              </w:rPr>
              <w:t>Elaboración propia con datos del Fondo Monetario Internacional. Perspectivas de la Economía Mundial.</w:t>
            </w:r>
          </w:p>
        </w:tc>
      </w:tr>
    </w:tbl>
    <w:p w14:paraId="3F7E5485" w14:textId="77777777" w:rsidR="008A5924" w:rsidRPr="00184700" w:rsidRDefault="008A5924" w:rsidP="008A5924">
      <w:pPr>
        <w:jc w:val="center"/>
        <w:rPr>
          <w:b/>
        </w:rPr>
      </w:pPr>
    </w:p>
    <w:p w14:paraId="6C7D458F" w14:textId="445E86F5" w:rsidR="008A5924" w:rsidRPr="00784E7F" w:rsidRDefault="008A5924" w:rsidP="008A5924">
      <w:pPr>
        <w:pStyle w:val="Descripcin"/>
        <w:rPr>
          <w:color w:val="000000" w:themeColor="text1"/>
        </w:rPr>
      </w:pPr>
      <w:bookmarkStart w:id="5" w:name="_Toc16242952"/>
      <w:r w:rsidRPr="00784E7F">
        <w:rPr>
          <w:color w:val="000000" w:themeColor="text1"/>
        </w:rPr>
        <w:t xml:space="preserve">Cuadro  </w:t>
      </w:r>
      <w:r w:rsidRPr="00784E7F">
        <w:rPr>
          <w:color w:val="000000" w:themeColor="text1"/>
        </w:rPr>
        <w:fldChar w:fldCharType="begin"/>
      </w:r>
      <w:r w:rsidRPr="00784E7F">
        <w:rPr>
          <w:color w:val="000000" w:themeColor="text1"/>
        </w:rPr>
        <w:instrText xml:space="preserve"> SEQ Cuadro_ \* ARABIC </w:instrText>
      </w:r>
      <w:r w:rsidRPr="00784E7F">
        <w:rPr>
          <w:color w:val="000000" w:themeColor="text1"/>
        </w:rPr>
        <w:fldChar w:fldCharType="separate"/>
      </w:r>
      <w:r w:rsidR="004B2A60">
        <w:rPr>
          <w:noProof/>
          <w:color w:val="000000" w:themeColor="text1"/>
        </w:rPr>
        <w:t>2</w:t>
      </w:r>
      <w:r w:rsidRPr="00784E7F">
        <w:rPr>
          <w:noProof/>
          <w:color w:val="000000" w:themeColor="text1"/>
        </w:rPr>
        <w:fldChar w:fldCharType="end"/>
      </w:r>
      <w:r w:rsidRPr="00784E7F">
        <w:rPr>
          <w:color w:val="000000" w:themeColor="text1"/>
        </w:rPr>
        <w:t>: Principales Riesgos en los Principales Socios Comerciales</w:t>
      </w:r>
      <w:bookmarkEnd w:id="5"/>
    </w:p>
    <w:p w14:paraId="1CE27796" w14:textId="77777777" w:rsidR="00713D35" w:rsidRPr="00713D35" w:rsidRDefault="00713D35" w:rsidP="00713D35"/>
    <w:tbl>
      <w:tblPr>
        <w:tblStyle w:val="Tablaconcuadrcula"/>
        <w:tblW w:w="87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42"/>
        <w:gridCol w:w="7513"/>
      </w:tblGrid>
      <w:tr w:rsidR="008A5924" w:rsidRPr="00184700" w14:paraId="0A865EAB" w14:textId="77777777" w:rsidTr="000C21A6">
        <w:trPr>
          <w:trHeight w:val="242"/>
          <w:jc w:val="center"/>
        </w:trPr>
        <w:tc>
          <w:tcPr>
            <w:tcW w:w="1242" w:type="dxa"/>
            <w:shd w:val="clear" w:color="auto" w:fill="8DB3E2"/>
          </w:tcPr>
          <w:p w14:paraId="37127A0D" w14:textId="77777777" w:rsidR="008A5924" w:rsidRPr="00184700" w:rsidRDefault="008A5924" w:rsidP="008A5924">
            <w:pPr>
              <w:jc w:val="center"/>
              <w:rPr>
                <w:b/>
              </w:rPr>
            </w:pPr>
            <w:r w:rsidRPr="00184700">
              <w:rPr>
                <w:b/>
              </w:rPr>
              <w:t>País</w:t>
            </w:r>
          </w:p>
        </w:tc>
        <w:tc>
          <w:tcPr>
            <w:tcW w:w="7513" w:type="dxa"/>
            <w:shd w:val="clear" w:color="auto" w:fill="8DB3E2"/>
          </w:tcPr>
          <w:p w14:paraId="5AE12647" w14:textId="77777777" w:rsidR="008A5924" w:rsidRPr="00184700" w:rsidRDefault="008A5924" w:rsidP="008A5924">
            <w:pPr>
              <w:jc w:val="center"/>
              <w:rPr>
                <w:b/>
              </w:rPr>
            </w:pPr>
            <w:r w:rsidRPr="00184700">
              <w:rPr>
                <w:b/>
              </w:rPr>
              <w:t>Riesgos Previstos</w:t>
            </w:r>
          </w:p>
        </w:tc>
      </w:tr>
      <w:tr w:rsidR="008A5924" w:rsidRPr="00184700" w14:paraId="493BEBAE" w14:textId="77777777" w:rsidTr="000C21A6">
        <w:trPr>
          <w:trHeight w:val="2079"/>
          <w:jc w:val="center"/>
        </w:trPr>
        <w:tc>
          <w:tcPr>
            <w:tcW w:w="1242" w:type="dxa"/>
            <w:vAlign w:val="center"/>
          </w:tcPr>
          <w:p w14:paraId="5FEA76AC" w14:textId="77777777" w:rsidR="008A5924" w:rsidRPr="00184700" w:rsidRDefault="008A5924" w:rsidP="008A5924">
            <w:pPr>
              <w:rPr>
                <w:b/>
              </w:rPr>
            </w:pPr>
            <w:r w:rsidRPr="00184700">
              <w:rPr>
                <w:b/>
              </w:rPr>
              <w:t>EEUU</w:t>
            </w:r>
          </w:p>
          <w:p w14:paraId="40D7994C" w14:textId="77777777" w:rsidR="008A5924" w:rsidRPr="00184700" w:rsidRDefault="008A5924" w:rsidP="008A5924">
            <w:pPr>
              <w:rPr>
                <w:b/>
              </w:rPr>
            </w:pPr>
          </w:p>
        </w:tc>
        <w:tc>
          <w:tcPr>
            <w:tcW w:w="7513" w:type="dxa"/>
            <w:vAlign w:val="center"/>
          </w:tcPr>
          <w:p w14:paraId="2A20D945" w14:textId="77777777" w:rsidR="008A5924" w:rsidRPr="00184700" w:rsidRDefault="008A5924" w:rsidP="00F709A5">
            <w:pPr>
              <w:jc w:val="both"/>
              <w:rPr>
                <w:b/>
              </w:rPr>
            </w:pPr>
            <w:r w:rsidRPr="00184700">
              <w:t>La actividad en EEUU podrí</w:t>
            </w:r>
            <w:r w:rsidR="00197E56">
              <w:t>a desacelerarse, pasaría de 2.6 por ciento en 2019 a 1.9 por ciento</w:t>
            </w:r>
            <w:r w:rsidRPr="00184700">
              <w:t xml:space="preserve"> en 2020 debido al debilitamiento más de lo esperado en la inversión. Un deterioro en el sector privado podría amplificar los shocks negativos. El crecimiento de las exportaciones ha disminuido. La demanda interna ha sido moderada y las importaciones se han debilitado reflejando el efecto de los aranceles. Una recesión es improbable en el corto plazo, a pesar de que la pendiente de la curva de rendimiento se invirtió meses atrás, pero la probabilidad podría aumentar al disiparse el estímulo fiscal y la incertidumbre alrededor de las tensiones comerciales. </w:t>
            </w:r>
          </w:p>
        </w:tc>
      </w:tr>
      <w:tr w:rsidR="008A5924" w:rsidRPr="00184700" w14:paraId="71CF05F4" w14:textId="77777777" w:rsidTr="000C21A6">
        <w:trPr>
          <w:trHeight w:val="2264"/>
          <w:jc w:val="center"/>
        </w:trPr>
        <w:tc>
          <w:tcPr>
            <w:tcW w:w="1242" w:type="dxa"/>
            <w:vAlign w:val="center"/>
          </w:tcPr>
          <w:p w14:paraId="1ACD5438" w14:textId="77777777" w:rsidR="008A5924" w:rsidRPr="00184700" w:rsidRDefault="008A5924" w:rsidP="008A5924">
            <w:pPr>
              <w:pStyle w:val="NormalWeb"/>
              <w:spacing w:after="160" w:line="254" w:lineRule="auto"/>
              <w:rPr>
                <w:b/>
                <w:sz w:val="20"/>
                <w:szCs w:val="20"/>
              </w:rPr>
            </w:pPr>
            <w:r w:rsidRPr="00184700">
              <w:rPr>
                <w:b/>
                <w:sz w:val="20"/>
                <w:szCs w:val="20"/>
              </w:rPr>
              <w:t>Zona del Euro</w:t>
            </w:r>
          </w:p>
          <w:p w14:paraId="5224B24C" w14:textId="77777777" w:rsidR="008A5924" w:rsidRPr="00184700" w:rsidRDefault="008A5924" w:rsidP="008A5924">
            <w:pPr>
              <w:rPr>
                <w:b/>
              </w:rPr>
            </w:pPr>
          </w:p>
        </w:tc>
        <w:tc>
          <w:tcPr>
            <w:tcW w:w="7513" w:type="dxa"/>
            <w:vAlign w:val="center"/>
          </w:tcPr>
          <w:p w14:paraId="64D8F229" w14:textId="77777777" w:rsidR="008A5924" w:rsidRPr="00184700" w:rsidRDefault="008A5924" w:rsidP="00F709A5">
            <w:pPr>
              <w:pStyle w:val="NormalWeb"/>
              <w:spacing w:after="160" w:line="254" w:lineRule="auto"/>
              <w:jc w:val="both"/>
              <w:rPr>
                <w:b/>
                <w:sz w:val="20"/>
                <w:szCs w:val="20"/>
              </w:rPr>
            </w:pPr>
            <w:r w:rsidRPr="00184700">
              <w:rPr>
                <w:sz w:val="20"/>
                <w:szCs w:val="20"/>
              </w:rPr>
              <w:t>En respuesta de la lenta actividad, Alemania, Francia e Italia han anunciado planes para disminuir impuestos y aume</w:t>
            </w:r>
            <w:r w:rsidR="00197E56">
              <w:rPr>
                <w:sz w:val="20"/>
                <w:szCs w:val="20"/>
              </w:rPr>
              <w:t>ntar el gasto equivalente a 0.2 por ciento</w:t>
            </w:r>
            <w:r w:rsidRPr="00184700">
              <w:rPr>
                <w:sz w:val="20"/>
                <w:szCs w:val="20"/>
              </w:rPr>
              <w:t xml:space="preserve"> del PIB, en Europa para los años 2019-2021. El Banco Central de Europa ha anunciado que proveerá a los bancos crédito a un costo más bajo empezando en septiembre del presente año. El crecimiento está proyect</w:t>
            </w:r>
            <w:r w:rsidR="00197E56">
              <w:rPr>
                <w:sz w:val="20"/>
                <w:szCs w:val="20"/>
              </w:rPr>
              <w:t>ado de pasar de 1.8 por ciento en el 2018 a 1.3 por ciento</w:t>
            </w:r>
            <w:r w:rsidRPr="00184700">
              <w:rPr>
                <w:sz w:val="20"/>
                <w:szCs w:val="20"/>
              </w:rPr>
              <w:t xml:space="preserve"> el 2019, para el 2020-</w:t>
            </w:r>
            <w:r w:rsidR="00197E56">
              <w:rPr>
                <w:sz w:val="20"/>
                <w:szCs w:val="20"/>
              </w:rPr>
              <w:t>2021 se espera una tasa del 1.6 por ciento</w:t>
            </w:r>
            <w:r w:rsidRPr="00184700">
              <w:rPr>
                <w:sz w:val="20"/>
                <w:szCs w:val="20"/>
              </w:rPr>
              <w:t xml:space="preserve">. La disminución del crecimiento refleja la debilidad en el comercio exterior y la demanda interna no serán plenamente compensadas por las medidas monetaria y fiscal. </w:t>
            </w:r>
          </w:p>
        </w:tc>
      </w:tr>
      <w:tr w:rsidR="008A5924" w:rsidRPr="00184700" w14:paraId="64656890" w14:textId="77777777" w:rsidTr="000C21A6">
        <w:trPr>
          <w:trHeight w:val="2867"/>
          <w:jc w:val="center"/>
        </w:trPr>
        <w:tc>
          <w:tcPr>
            <w:tcW w:w="1242" w:type="dxa"/>
            <w:vAlign w:val="center"/>
          </w:tcPr>
          <w:p w14:paraId="2E245388" w14:textId="77777777" w:rsidR="008A5924" w:rsidRPr="00184700" w:rsidRDefault="008A5924" w:rsidP="008A5924">
            <w:pPr>
              <w:pStyle w:val="NormalWeb"/>
              <w:shd w:val="clear" w:color="auto" w:fill="FFFFFF"/>
              <w:spacing w:before="0" w:beforeAutospacing="0" w:after="160" w:afterAutospacing="0" w:line="235" w:lineRule="atLeast"/>
              <w:rPr>
                <w:b/>
                <w:sz w:val="20"/>
                <w:szCs w:val="20"/>
              </w:rPr>
            </w:pPr>
            <w:r w:rsidRPr="00184700">
              <w:rPr>
                <w:b/>
                <w:sz w:val="20"/>
                <w:szCs w:val="20"/>
              </w:rPr>
              <w:t>China</w:t>
            </w:r>
          </w:p>
          <w:p w14:paraId="42A565D8" w14:textId="77777777" w:rsidR="008A5924" w:rsidRPr="00184700" w:rsidRDefault="008A5924" w:rsidP="008A5924">
            <w:pPr>
              <w:rPr>
                <w:b/>
              </w:rPr>
            </w:pPr>
          </w:p>
        </w:tc>
        <w:tc>
          <w:tcPr>
            <w:tcW w:w="7513" w:type="dxa"/>
            <w:vAlign w:val="center"/>
          </w:tcPr>
          <w:p w14:paraId="5E40D659" w14:textId="77777777" w:rsidR="008A5924" w:rsidRPr="00184700" w:rsidRDefault="008A5924" w:rsidP="00F709A5">
            <w:pPr>
              <w:jc w:val="both"/>
            </w:pPr>
            <w:r w:rsidRPr="00184700">
              <w:t xml:space="preserve">El Fondo Monetario Internacional proyecta que el crecimiento económico para el </w:t>
            </w:r>
            <w:r w:rsidR="00197E56">
              <w:t>año 2019 y 2020 se situé en 6.2 y 6.0 por ciento</w:t>
            </w:r>
            <w:r w:rsidRPr="00184700">
              <w:t xml:space="preserve"> respectivamente, esto por el estímulo fiscal y monetario realizados a finales del año 2018, implementando para contrarrestar los efectos de los aranceles impuestos por EEUU y el enfriamiento del crédito.</w:t>
            </w:r>
          </w:p>
          <w:p w14:paraId="786C0E16" w14:textId="77777777" w:rsidR="008A5924" w:rsidRPr="00184700" w:rsidRDefault="008A5924" w:rsidP="00F709A5">
            <w:pPr>
              <w:jc w:val="both"/>
              <w:rPr>
                <w:b/>
              </w:rPr>
            </w:pPr>
            <w:r w:rsidRPr="00184700">
              <w:t>China enfrenta riesgos asociados a los aranceles impuestos por EEUU lo que conlleva a un debilitamiento de la demanda externa y la continua disminución de las perspectivas del crecimiento muestra una desaceleración estructural. Por otro lado, en los últimos meses ha aumentado las tensiones comerciales con EEUU al considerar adoptar medidas contra las compañías tecnológicas de China. Si estos riesgos se materializan una fuerte desaceleración en el crecimiento de China tendrían efectos en el precio de las materias primas lo cual llevaría a repercusiones a los países exportadores.</w:t>
            </w:r>
          </w:p>
        </w:tc>
      </w:tr>
      <w:tr w:rsidR="008A5924" w:rsidRPr="00184700" w14:paraId="13600C43" w14:textId="77777777" w:rsidTr="000C21A6">
        <w:trPr>
          <w:trHeight w:val="4952"/>
          <w:jc w:val="center"/>
        </w:trPr>
        <w:tc>
          <w:tcPr>
            <w:tcW w:w="1242" w:type="dxa"/>
            <w:vAlign w:val="center"/>
          </w:tcPr>
          <w:p w14:paraId="21693ED8" w14:textId="77777777" w:rsidR="008A5924" w:rsidRPr="00184700" w:rsidRDefault="008A5924" w:rsidP="008A5924">
            <w:pPr>
              <w:pStyle w:val="NormalWeb"/>
              <w:shd w:val="clear" w:color="auto" w:fill="FFFFFF"/>
              <w:spacing w:before="0" w:beforeAutospacing="0" w:after="160" w:afterAutospacing="0" w:line="235" w:lineRule="atLeast"/>
              <w:rPr>
                <w:b/>
                <w:sz w:val="20"/>
                <w:szCs w:val="20"/>
              </w:rPr>
            </w:pPr>
            <w:r w:rsidRPr="00184700">
              <w:rPr>
                <w:b/>
                <w:sz w:val="20"/>
                <w:szCs w:val="20"/>
              </w:rPr>
              <w:t>América Latina y Caribe</w:t>
            </w:r>
          </w:p>
          <w:p w14:paraId="5D9CB8D6" w14:textId="77777777" w:rsidR="008A5924" w:rsidRPr="00184700" w:rsidRDefault="008A5924" w:rsidP="008A5924">
            <w:pPr>
              <w:rPr>
                <w:b/>
              </w:rPr>
            </w:pPr>
          </w:p>
        </w:tc>
        <w:tc>
          <w:tcPr>
            <w:tcW w:w="7513" w:type="dxa"/>
            <w:vAlign w:val="center"/>
          </w:tcPr>
          <w:p w14:paraId="606BD7CF" w14:textId="77777777" w:rsidR="008A5924" w:rsidRPr="00184700" w:rsidRDefault="008A5924" w:rsidP="00F709A5">
            <w:pPr>
              <w:pStyle w:val="NormalWeb"/>
              <w:shd w:val="clear" w:color="auto" w:fill="FFFFFF"/>
              <w:spacing w:before="0" w:beforeAutospacing="0" w:after="160" w:afterAutospacing="0" w:line="235" w:lineRule="atLeast"/>
              <w:jc w:val="both"/>
              <w:rPr>
                <w:sz w:val="20"/>
                <w:szCs w:val="20"/>
              </w:rPr>
            </w:pPr>
            <w:r w:rsidRPr="00184700">
              <w:rPr>
                <w:sz w:val="20"/>
                <w:szCs w:val="20"/>
              </w:rPr>
              <w:t>En América Latina se esper</w:t>
            </w:r>
            <w:r w:rsidR="00197E56">
              <w:rPr>
                <w:sz w:val="20"/>
                <w:szCs w:val="20"/>
              </w:rPr>
              <w:t>a que el crecimiento sea de 0.6 y 2.3 por ciento</w:t>
            </w:r>
            <w:r w:rsidRPr="00184700">
              <w:rPr>
                <w:sz w:val="20"/>
                <w:szCs w:val="20"/>
              </w:rPr>
              <w:t xml:space="preserve"> en 2019 y 2020, reflejando las condiciones desafiantes de las grandes economías. La recuperación de la región será conducida por el consumo privado como efecto de la inflación moderada y que la confianza en 2020-2021, además un rebote de la inversión después de un débil desempeño en años recientes.</w:t>
            </w:r>
          </w:p>
          <w:p w14:paraId="244319E3" w14:textId="77777777" w:rsidR="008A5924" w:rsidRPr="00184700" w:rsidRDefault="008A5924" w:rsidP="00F709A5">
            <w:pPr>
              <w:pStyle w:val="NormalWeb"/>
              <w:shd w:val="clear" w:color="auto" w:fill="FFFFFF"/>
              <w:spacing w:before="0" w:beforeAutospacing="0" w:after="160" w:afterAutospacing="0" w:line="235" w:lineRule="atLeast"/>
              <w:jc w:val="both"/>
              <w:rPr>
                <w:sz w:val="20"/>
                <w:szCs w:val="20"/>
              </w:rPr>
            </w:pPr>
            <w:r w:rsidRPr="00184700">
              <w:rPr>
                <w:sz w:val="20"/>
                <w:szCs w:val="20"/>
              </w:rPr>
              <w:t xml:space="preserve">En Brasil las condiciones laborales y financieras han mejorado, sin embargo, los indicadores de actividad siguen siendo lentos. Colombia se está expandiendo y se prevé que su crecimiento se siga fortaleciendo, además se espera que la inversión aumente por los proyectos de infraestructura y por la baja gradual de impuestos para las empresas. Chile y México experimentan una desaceleración. </w:t>
            </w:r>
          </w:p>
          <w:p w14:paraId="3D44CC57" w14:textId="77777777" w:rsidR="008A5924" w:rsidRPr="00184700" w:rsidRDefault="008A5924" w:rsidP="00F709A5">
            <w:pPr>
              <w:pStyle w:val="NormalWeb"/>
              <w:shd w:val="clear" w:color="auto" w:fill="FFFFFF"/>
              <w:spacing w:before="0" w:beforeAutospacing="0" w:after="160" w:afterAutospacing="0" w:line="235" w:lineRule="atLeast"/>
              <w:jc w:val="both"/>
              <w:rPr>
                <w:b/>
                <w:sz w:val="20"/>
                <w:szCs w:val="20"/>
              </w:rPr>
            </w:pPr>
            <w:r w:rsidRPr="00184700">
              <w:rPr>
                <w:sz w:val="20"/>
                <w:szCs w:val="20"/>
              </w:rPr>
              <w:t>A pesar que la crisis de Argentina no tuvo derrames de gran alcance, ha habido repercusiones negativas para los países vecinos, por ejemplo, las exportaciones de Brasil disminuyeron a Argentina. Se espera que la contracción de Argentina disminuya en el presente año y que se recupere en 2020 debido a un fuerte aumento en las exportaciones después de la sequía de 2018. Sin embargo, se espera que la inversión y el gasto de gobierno disminuyan. Los volúmenes de bienes exportados han aumentado continuamente desde 2018. Existe evidencia que los aranceles impuestos a China han beneficiado a algunos países de Latinoamérica como a Brasil y México, aunque en los últimos meses los pedidos de exportaciones se han moderado, siendo esto consistente con el debilitamiento global del comercio.</w:t>
            </w:r>
          </w:p>
        </w:tc>
      </w:tr>
    </w:tbl>
    <w:p w14:paraId="66C313F8" w14:textId="77777777" w:rsidR="008A5924" w:rsidRPr="00F709A5" w:rsidRDefault="000C21A6" w:rsidP="008A5924">
      <w:pPr>
        <w:jc w:val="both"/>
        <w:rPr>
          <w:sz w:val="16"/>
          <w:szCs w:val="16"/>
        </w:rPr>
      </w:pPr>
      <w:r>
        <w:rPr>
          <w:b/>
          <w:sz w:val="18"/>
        </w:rPr>
        <w:t xml:space="preserve">             </w:t>
      </w:r>
      <w:r w:rsidR="008A5924" w:rsidRPr="00F709A5">
        <w:rPr>
          <w:b/>
          <w:sz w:val="16"/>
          <w:szCs w:val="16"/>
        </w:rPr>
        <w:t>Fuente:</w:t>
      </w:r>
      <w:r w:rsidR="00F709A5" w:rsidRPr="00F709A5">
        <w:rPr>
          <w:sz w:val="16"/>
          <w:szCs w:val="16"/>
        </w:rPr>
        <w:t xml:space="preserve"> P</w:t>
      </w:r>
      <w:r w:rsidR="008A5924" w:rsidRPr="00F709A5">
        <w:rPr>
          <w:sz w:val="16"/>
          <w:szCs w:val="16"/>
        </w:rPr>
        <w:t>revisiones del FMI y del Banco Mundial del primer semestre 2019</w:t>
      </w:r>
    </w:p>
    <w:p w14:paraId="64E202AF" w14:textId="77777777" w:rsidR="008A5924" w:rsidRPr="00184700" w:rsidRDefault="008A5924" w:rsidP="008A5924">
      <w:pPr>
        <w:pStyle w:val="Sinespaciado"/>
        <w:jc w:val="both"/>
        <w:rPr>
          <w:rFonts w:ascii="Times New Roman" w:hAnsi="Times New Roman"/>
        </w:rPr>
      </w:pPr>
    </w:p>
    <w:p w14:paraId="4D8DDB80" w14:textId="77777777" w:rsidR="008A5924" w:rsidRPr="00184700" w:rsidRDefault="008A5924" w:rsidP="008A5924">
      <w:pPr>
        <w:pStyle w:val="Sinespaciado"/>
        <w:jc w:val="both"/>
        <w:rPr>
          <w:rFonts w:ascii="Times New Roman" w:hAnsi="Times New Roman"/>
        </w:rPr>
      </w:pPr>
      <w:r w:rsidRPr="00784E7F">
        <w:rPr>
          <w:rFonts w:ascii="Times New Roman" w:hAnsi="Times New Roman"/>
          <w:sz w:val="24"/>
          <w:szCs w:val="24"/>
        </w:rPr>
        <w:t>En lo que respecta a Centroamérica, el crecimiento se acelerará moderadamente mientras la región sobrepasa las dificultades del 2018. El Banco Mundial ha proyectado que de un crecimiento económico del 2.7</w:t>
      </w:r>
      <w:r w:rsidR="00197E56" w:rsidRPr="00784E7F">
        <w:rPr>
          <w:rFonts w:ascii="Times New Roman" w:hAnsi="Times New Roman"/>
          <w:sz w:val="24"/>
          <w:szCs w:val="24"/>
        </w:rPr>
        <w:t xml:space="preserve"> por ciento</w:t>
      </w:r>
      <w:r w:rsidRPr="00784E7F">
        <w:rPr>
          <w:rFonts w:ascii="Times New Roman" w:hAnsi="Times New Roman"/>
          <w:sz w:val="24"/>
          <w:szCs w:val="24"/>
        </w:rPr>
        <w:t xml:space="preserve"> para Centro América en 2018, habrá un mejor desem</w:t>
      </w:r>
      <w:r w:rsidR="00197E56" w:rsidRPr="00784E7F">
        <w:rPr>
          <w:rFonts w:ascii="Times New Roman" w:hAnsi="Times New Roman"/>
          <w:sz w:val="24"/>
          <w:szCs w:val="24"/>
        </w:rPr>
        <w:t>peño en los años siguientes 3.1 por ciento</w:t>
      </w:r>
      <w:r w:rsidR="001B1E4D" w:rsidRPr="00784E7F">
        <w:rPr>
          <w:rFonts w:ascii="Times New Roman" w:hAnsi="Times New Roman"/>
          <w:sz w:val="24"/>
          <w:szCs w:val="24"/>
        </w:rPr>
        <w:t xml:space="preserve"> para el año 2019, y 3.4</w:t>
      </w:r>
      <w:r w:rsidR="00197E56" w:rsidRPr="00784E7F">
        <w:rPr>
          <w:rFonts w:ascii="Times New Roman" w:hAnsi="Times New Roman"/>
          <w:sz w:val="24"/>
          <w:szCs w:val="24"/>
        </w:rPr>
        <w:t xml:space="preserve"> y 3.6 por ciento</w:t>
      </w:r>
      <w:r w:rsidRPr="00784E7F">
        <w:rPr>
          <w:rFonts w:ascii="Times New Roman" w:hAnsi="Times New Roman"/>
          <w:sz w:val="24"/>
          <w:szCs w:val="24"/>
        </w:rPr>
        <w:t xml:space="preserve"> para los años 2020 y 2021. A excepción de Nicaragua por la crisis política que empezó en 2018, esta situación ha tenido repercusiones en el comportamiento de los consumidores e inversionistas, y ha contribuido a contraer la inversión</w:t>
      </w:r>
      <w:r w:rsidRPr="00184700">
        <w:rPr>
          <w:rFonts w:ascii="Times New Roman" w:hAnsi="Times New Roman"/>
        </w:rPr>
        <w:t>.</w:t>
      </w:r>
    </w:p>
    <w:p w14:paraId="562A94DE" w14:textId="77777777" w:rsidR="008A5924" w:rsidRPr="00184700" w:rsidRDefault="008A5924" w:rsidP="008A5924">
      <w:pPr>
        <w:pStyle w:val="Sinespaciado"/>
        <w:jc w:val="both"/>
        <w:rPr>
          <w:rFonts w:ascii="Times New Roman" w:hAnsi="Times New Roman"/>
        </w:rPr>
      </w:pPr>
    </w:p>
    <w:p w14:paraId="3A9DDA8C" w14:textId="22901213" w:rsidR="008A5924" w:rsidRPr="00784E7F" w:rsidRDefault="008A5924" w:rsidP="008A5924">
      <w:pPr>
        <w:pStyle w:val="Descripcin"/>
        <w:rPr>
          <w:b w:val="0"/>
          <w:color w:val="000000" w:themeColor="text1"/>
        </w:rPr>
      </w:pPr>
      <w:bookmarkStart w:id="6" w:name="_Toc16242964"/>
      <w:r w:rsidRPr="00784E7F">
        <w:rPr>
          <w:color w:val="000000" w:themeColor="text1"/>
        </w:rPr>
        <w:t xml:space="preserve">Gráfico  </w:t>
      </w:r>
      <w:r w:rsidRPr="00784E7F">
        <w:rPr>
          <w:color w:val="000000" w:themeColor="text1"/>
        </w:rPr>
        <w:fldChar w:fldCharType="begin"/>
      </w:r>
      <w:r w:rsidRPr="00784E7F">
        <w:rPr>
          <w:color w:val="000000" w:themeColor="text1"/>
        </w:rPr>
        <w:instrText xml:space="preserve"> SEQ Gráfico_ \* ARABIC </w:instrText>
      </w:r>
      <w:r w:rsidRPr="00784E7F">
        <w:rPr>
          <w:color w:val="000000" w:themeColor="text1"/>
        </w:rPr>
        <w:fldChar w:fldCharType="separate"/>
      </w:r>
      <w:r w:rsidR="004B2A60">
        <w:rPr>
          <w:noProof/>
          <w:color w:val="000000" w:themeColor="text1"/>
        </w:rPr>
        <w:t>1</w:t>
      </w:r>
      <w:r w:rsidRPr="00784E7F">
        <w:rPr>
          <w:noProof/>
          <w:color w:val="000000" w:themeColor="text1"/>
        </w:rPr>
        <w:fldChar w:fldCharType="end"/>
      </w:r>
      <w:r w:rsidRPr="00784E7F">
        <w:rPr>
          <w:noProof/>
          <w:color w:val="000000" w:themeColor="text1"/>
        </w:rPr>
        <w:t>:</w:t>
      </w:r>
      <w:r w:rsidRPr="00784E7F">
        <w:rPr>
          <w:color w:val="000000" w:themeColor="text1"/>
        </w:rPr>
        <w:t xml:space="preserve"> Proyección de Crecimiento Económico para Centroamérica</w:t>
      </w:r>
      <w:bookmarkEnd w:id="6"/>
    </w:p>
    <w:p w14:paraId="54D5F4CA" w14:textId="77777777" w:rsidR="008A5924" w:rsidRPr="00784E7F" w:rsidRDefault="008A5924" w:rsidP="008A5924">
      <w:pPr>
        <w:pStyle w:val="Sinespaciado"/>
        <w:jc w:val="center"/>
        <w:rPr>
          <w:rFonts w:ascii="Times New Roman" w:hAnsi="Times New Roman"/>
          <w:noProof/>
          <w:sz w:val="20"/>
          <w:szCs w:val="20"/>
        </w:rPr>
      </w:pPr>
      <w:r w:rsidRPr="00784E7F">
        <w:rPr>
          <w:rFonts w:ascii="Times New Roman" w:hAnsi="Times New Roman"/>
          <w:sz w:val="20"/>
          <w:szCs w:val="20"/>
        </w:rPr>
        <w:t>Porcentajes del PIB</w:t>
      </w:r>
    </w:p>
    <w:p w14:paraId="2F1CD19C" w14:textId="77777777" w:rsidR="008A700C" w:rsidRDefault="008A700C" w:rsidP="008A5924">
      <w:pPr>
        <w:pStyle w:val="Sinespaciado"/>
        <w:jc w:val="both"/>
        <w:rPr>
          <w:rFonts w:ascii="Times New Roman" w:hAnsi="Times New Roman"/>
        </w:rPr>
      </w:pPr>
    </w:p>
    <w:p w14:paraId="7FA21A8B" w14:textId="77777777" w:rsidR="008A5924" w:rsidRPr="00184700" w:rsidRDefault="008A5924" w:rsidP="008A5924">
      <w:pPr>
        <w:pStyle w:val="Sinespaciado"/>
        <w:jc w:val="both"/>
        <w:rPr>
          <w:rFonts w:ascii="Times New Roman" w:hAnsi="Times New Roman"/>
        </w:rPr>
      </w:pPr>
      <w:r w:rsidRPr="00184700">
        <w:rPr>
          <w:rFonts w:ascii="Times New Roman" w:hAnsi="Times New Roman"/>
          <w:noProof/>
          <w:lang w:val="es-GT" w:eastAsia="es-GT"/>
        </w:rPr>
        <w:drawing>
          <wp:anchor distT="0" distB="0" distL="114300" distR="114300" simplePos="0" relativeHeight="251657216" behindDoc="1" locked="0" layoutInCell="1" allowOverlap="1" wp14:anchorId="2BAE304C" wp14:editId="547F8D61">
            <wp:simplePos x="0" y="0"/>
            <wp:positionH relativeFrom="column">
              <wp:posOffset>784860</wp:posOffset>
            </wp:positionH>
            <wp:positionV relativeFrom="paragraph">
              <wp:posOffset>146685</wp:posOffset>
            </wp:positionV>
            <wp:extent cx="4103370" cy="2296795"/>
            <wp:effectExtent l="0" t="0" r="0" b="8255"/>
            <wp:wrapTight wrapText="bothSides">
              <wp:wrapPolygon edited="0">
                <wp:start x="1203" y="0"/>
                <wp:lineTo x="1103" y="5733"/>
                <wp:lineTo x="1604" y="5912"/>
                <wp:lineTo x="10730" y="5912"/>
                <wp:lineTo x="1203" y="7883"/>
                <wp:lineTo x="1203" y="8599"/>
                <wp:lineTo x="10730" y="8779"/>
                <wp:lineTo x="1103" y="10391"/>
                <wp:lineTo x="1103" y="11108"/>
                <wp:lineTo x="10730" y="11645"/>
                <wp:lineTo x="1103" y="13078"/>
                <wp:lineTo x="1103" y="13795"/>
                <wp:lineTo x="10730" y="14511"/>
                <wp:lineTo x="1103" y="15766"/>
                <wp:lineTo x="1103" y="17378"/>
                <wp:lineTo x="4412" y="17915"/>
                <wp:lineTo x="4412" y="19707"/>
                <wp:lineTo x="903" y="20424"/>
                <wp:lineTo x="903" y="21140"/>
                <wp:lineTo x="8624" y="21498"/>
                <wp:lineTo x="13136" y="21498"/>
                <wp:lineTo x="13237" y="20603"/>
                <wp:lineTo x="21159" y="18453"/>
                <wp:lineTo x="21259" y="16840"/>
                <wp:lineTo x="10630" y="14511"/>
                <wp:lineTo x="10630" y="5912"/>
                <wp:lineTo x="1805" y="3046"/>
                <wp:lineTo x="1805" y="0"/>
                <wp:lineTo x="1203"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8E154A4" w14:textId="77777777" w:rsidR="008A5924" w:rsidRPr="00184700" w:rsidRDefault="008A5924" w:rsidP="008A5924">
      <w:pPr>
        <w:pStyle w:val="Sinespaciado"/>
        <w:jc w:val="both"/>
        <w:rPr>
          <w:rFonts w:ascii="Times New Roman" w:hAnsi="Times New Roman"/>
        </w:rPr>
      </w:pPr>
    </w:p>
    <w:p w14:paraId="4778BAB8" w14:textId="77777777" w:rsidR="008A5924" w:rsidRPr="00184700" w:rsidRDefault="008A5924" w:rsidP="008A5924">
      <w:pPr>
        <w:pStyle w:val="Sinespaciado"/>
        <w:jc w:val="both"/>
        <w:rPr>
          <w:rFonts w:ascii="Times New Roman" w:hAnsi="Times New Roman"/>
        </w:rPr>
      </w:pPr>
    </w:p>
    <w:p w14:paraId="7DA005F3" w14:textId="77777777" w:rsidR="008A5924" w:rsidRPr="00184700" w:rsidRDefault="008A5924" w:rsidP="008A5924">
      <w:pPr>
        <w:pStyle w:val="Sinespaciado"/>
        <w:jc w:val="both"/>
        <w:rPr>
          <w:rFonts w:ascii="Times New Roman" w:hAnsi="Times New Roman"/>
        </w:rPr>
      </w:pPr>
    </w:p>
    <w:p w14:paraId="7F1124B3" w14:textId="77777777" w:rsidR="008A5924" w:rsidRPr="00184700" w:rsidRDefault="008A5924" w:rsidP="008A5924">
      <w:pPr>
        <w:pStyle w:val="Sinespaciado"/>
        <w:jc w:val="both"/>
        <w:rPr>
          <w:rFonts w:ascii="Times New Roman" w:hAnsi="Times New Roman"/>
        </w:rPr>
      </w:pPr>
    </w:p>
    <w:p w14:paraId="4FB9D6BF" w14:textId="77777777" w:rsidR="008A5924" w:rsidRPr="00184700" w:rsidRDefault="008A5924" w:rsidP="008A5924">
      <w:pPr>
        <w:pStyle w:val="Sinespaciado"/>
        <w:jc w:val="both"/>
        <w:rPr>
          <w:rFonts w:ascii="Times New Roman" w:hAnsi="Times New Roman"/>
        </w:rPr>
      </w:pPr>
    </w:p>
    <w:p w14:paraId="277030A2" w14:textId="77777777" w:rsidR="008A5924" w:rsidRPr="00184700" w:rsidRDefault="008A5924" w:rsidP="008A5924">
      <w:pPr>
        <w:pStyle w:val="Sinespaciado"/>
        <w:jc w:val="both"/>
        <w:rPr>
          <w:rFonts w:ascii="Times New Roman" w:hAnsi="Times New Roman"/>
        </w:rPr>
      </w:pPr>
    </w:p>
    <w:p w14:paraId="16068920" w14:textId="77777777" w:rsidR="008A5924" w:rsidRPr="00184700" w:rsidRDefault="008A5924" w:rsidP="008A5924">
      <w:pPr>
        <w:pStyle w:val="Sinespaciado"/>
        <w:jc w:val="both"/>
        <w:rPr>
          <w:rFonts w:ascii="Times New Roman" w:hAnsi="Times New Roman"/>
        </w:rPr>
      </w:pPr>
    </w:p>
    <w:p w14:paraId="13C7550A" w14:textId="77777777" w:rsidR="008A5924" w:rsidRPr="00184700" w:rsidRDefault="008A5924" w:rsidP="008A5924">
      <w:pPr>
        <w:pStyle w:val="Sinespaciado"/>
        <w:jc w:val="both"/>
        <w:rPr>
          <w:rFonts w:ascii="Times New Roman" w:hAnsi="Times New Roman"/>
        </w:rPr>
      </w:pPr>
    </w:p>
    <w:p w14:paraId="61160DE3" w14:textId="77777777" w:rsidR="008A5924" w:rsidRPr="00184700" w:rsidRDefault="008A5924" w:rsidP="008A5924">
      <w:pPr>
        <w:pStyle w:val="Sinespaciado"/>
        <w:jc w:val="both"/>
        <w:rPr>
          <w:rFonts w:ascii="Times New Roman" w:hAnsi="Times New Roman"/>
        </w:rPr>
      </w:pPr>
    </w:p>
    <w:p w14:paraId="261FB294" w14:textId="77777777" w:rsidR="008A5924" w:rsidRPr="00184700" w:rsidRDefault="008A5924" w:rsidP="008A5924">
      <w:pPr>
        <w:pStyle w:val="Sinespaciado"/>
        <w:jc w:val="both"/>
        <w:rPr>
          <w:rFonts w:ascii="Times New Roman" w:hAnsi="Times New Roman"/>
        </w:rPr>
      </w:pPr>
    </w:p>
    <w:p w14:paraId="2912ADEF" w14:textId="77777777" w:rsidR="008A5924" w:rsidRPr="00184700" w:rsidRDefault="008A5924" w:rsidP="008A5924">
      <w:pPr>
        <w:pStyle w:val="Sinespaciado"/>
        <w:jc w:val="both"/>
        <w:rPr>
          <w:rFonts w:ascii="Times New Roman" w:hAnsi="Times New Roman"/>
        </w:rPr>
      </w:pPr>
    </w:p>
    <w:p w14:paraId="4CA77F51" w14:textId="77777777" w:rsidR="008A5924" w:rsidRPr="00184700" w:rsidRDefault="008A5924" w:rsidP="008A5924">
      <w:pPr>
        <w:pStyle w:val="Sinespaciado"/>
        <w:jc w:val="both"/>
        <w:rPr>
          <w:rFonts w:ascii="Times New Roman" w:hAnsi="Times New Roman"/>
        </w:rPr>
      </w:pPr>
    </w:p>
    <w:p w14:paraId="50CC29EE" w14:textId="77777777" w:rsidR="008A5924" w:rsidRPr="00184700" w:rsidRDefault="008A5924" w:rsidP="008A5924">
      <w:pPr>
        <w:pStyle w:val="Sinespaciado"/>
        <w:jc w:val="both"/>
        <w:rPr>
          <w:rFonts w:ascii="Times New Roman" w:hAnsi="Times New Roman"/>
        </w:rPr>
      </w:pPr>
    </w:p>
    <w:p w14:paraId="437171B1" w14:textId="77777777" w:rsidR="008A5924" w:rsidRDefault="008A5924" w:rsidP="008A5924">
      <w:pPr>
        <w:pStyle w:val="Sinespaciado"/>
        <w:jc w:val="both"/>
        <w:rPr>
          <w:rFonts w:ascii="Times New Roman" w:hAnsi="Times New Roman"/>
        </w:rPr>
      </w:pPr>
    </w:p>
    <w:p w14:paraId="72237228" w14:textId="77777777" w:rsidR="00784E7F" w:rsidRDefault="00784E7F" w:rsidP="008A5924">
      <w:pPr>
        <w:pStyle w:val="Sinespaciado"/>
        <w:jc w:val="both"/>
        <w:rPr>
          <w:rFonts w:ascii="Times New Roman" w:hAnsi="Times New Roman"/>
        </w:rPr>
      </w:pPr>
    </w:p>
    <w:p w14:paraId="54DF6716" w14:textId="77777777" w:rsidR="00784E7F" w:rsidRDefault="00784E7F" w:rsidP="008A5924">
      <w:pPr>
        <w:pStyle w:val="Sinespaciado"/>
        <w:jc w:val="both"/>
        <w:rPr>
          <w:rFonts w:ascii="Times New Roman" w:hAnsi="Times New Roman"/>
        </w:rPr>
      </w:pPr>
    </w:p>
    <w:p w14:paraId="198288E4" w14:textId="77777777" w:rsidR="00784E7F" w:rsidRPr="00184700" w:rsidRDefault="00784E7F" w:rsidP="008A5924">
      <w:pPr>
        <w:pStyle w:val="Sinespaciado"/>
        <w:jc w:val="both"/>
        <w:rPr>
          <w:rFonts w:ascii="Times New Roman" w:hAnsi="Times New Roman"/>
        </w:rPr>
      </w:pPr>
    </w:p>
    <w:p w14:paraId="3FCA5AC2" w14:textId="77777777" w:rsidR="008A5924" w:rsidRPr="00184700" w:rsidRDefault="008A5924" w:rsidP="008A5924">
      <w:pPr>
        <w:pStyle w:val="Sinespaciado"/>
        <w:jc w:val="both"/>
        <w:rPr>
          <w:rFonts w:ascii="Times New Roman" w:hAnsi="Times New Roman"/>
        </w:rPr>
      </w:pPr>
      <w:r w:rsidRPr="00784E7F">
        <w:rPr>
          <w:rFonts w:ascii="Times New Roman" w:hAnsi="Times New Roman"/>
          <w:sz w:val="24"/>
          <w:szCs w:val="24"/>
        </w:rPr>
        <w:t>Las remesas han ayudado a sufragar las desafiantes condiciones sociales y económicas de los países de Centro América en los recientes años, sobre todo en los países donde las remesas representan una proporción grande del PIB.   Las remesas aument</w:t>
      </w:r>
      <w:r w:rsidR="001B1E4D" w:rsidRPr="00784E7F">
        <w:rPr>
          <w:rFonts w:ascii="Times New Roman" w:hAnsi="Times New Roman"/>
          <w:sz w:val="24"/>
          <w:szCs w:val="24"/>
        </w:rPr>
        <w:t>aron en el 2018, Guatemala 13.3 por ciento, Honduras 9.8 por ciento, El Salvador 8 por</w:t>
      </w:r>
      <w:r w:rsidR="001B1E4D">
        <w:rPr>
          <w:rFonts w:ascii="Times New Roman" w:hAnsi="Times New Roman"/>
        </w:rPr>
        <w:t xml:space="preserve"> ciento y Nicaragua 7.9 por ciento</w:t>
      </w:r>
      <w:r w:rsidRPr="00184700">
        <w:rPr>
          <w:rFonts w:ascii="Times New Roman" w:hAnsi="Times New Roman"/>
        </w:rPr>
        <w:t xml:space="preserve">. En los primeros meses del año 2019 también se han incrementado las remesas con respecto al año anterior, pero por el endurecimiento de la política migratoria de EEUU. De acuerdo al Banco de Guatemala, se espera que esta tendencia disminuya en el mediano plazo por la baja en la tasa de migración. </w:t>
      </w:r>
    </w:p>
    <w:p w14:paraId="5108ACB3" w14:textId="77777777" w:rsidR="008A5924" w:rsidRPr="00184700" w:rsidRDefault="008A5924" w:rsidP="008A5924">
      <w:pPr>
        <w:pStyle w:val="Sinespaciado"/>
        <w:jc w:val="both"/>
        <w:rPr>
          <w:rFonts w:ascii="Times New Roman" w:hAnsi="Times New Roman"/>
        </w:rPr>
      </w:pPr>
    </w:p>
    <w:p w14:paraId="54D64244" w14:textId="5BDFDCE5" w:rsidR="008A5924" w:rsidRPr="00184700" w:rsidRDefault="008A5924" w:rsidP="008A5924">
      <w:pPr>
        <w:pStyle w:val="Descripcin"/>
        <w:rPr>
          <w:b w:val="0"/>
        </w:rPr>
      </w:pPr>
      <w:bookmarkStart w:id="7" w:name="_Toc16242965"/>
      <w:r w:rsidRPr="00784E7F">
        <w:rPr>
          <w:color w:val="000000" w:themeColor="text1"/>
        </w:rPr>
        <w:t xml:space="preserve">Gráfico  </w:t>
      </w:r>
      <w:r w:rsidRPr="00784E7F">
        <w:rPr>
          <w:color w:val="000000" w:themeColor="text1"/>
        </w:rPr>
        <w:fldChar w:fldCharType="begin"/>
      </w:r>
      <w:r w:rsidRPr="00784E7F">
        <w:rPr>
          <w:color w:val="000000" w:themeColor="text1"/>
        </w:rPr>
        <w:instrText xml:space="preserve"> SEQ Gráfico_ \* ARABIC </w:instrText>
      </w:r>
      <w:r w:rsidRPr="00784E7F">
        <w:rPr>
          <w:color w:val="000000" w:themeColor="text1"/>
        </w:rPr>
        <w:fldChar w:fldCharType="separate"/>
      </w:r>
      <w:r w:rsidR="004B2A60">
        <w:rPr>
          <w:noProof/>
          <w:color w:val="000000" w:themeColor="text1"/>
        </w:rPr>
        <w:t>2</w:t>
      </w:r>
      <w:r w:rsidRPr="00784E7F">
        <w:rPr>
          <w:noProof/>
          <w:color w:val="000000" w:themeColor="text1"/>
        </w:rPr>
        <w:fldChar w:fldCharType="end"/>
      </w:r>
      <w:r w:rsidRPr="00784E7F">
        <w:rPr>
          <w:color w:val="000000" w:themeColor="text1"/>
        </w:rPr>
        <w:t>: Entrada de remesas en miles de millones de dólares</w:t>
      </w:r>
      <w:bookmarkEnd w:id="7"/>
    </w:p>
    <w:p w14:paraId="3AB9127B" w14:textId="77777777" w:rsidR="008A5924" w:rsidRDefault="008A5924" w:rsidP="008A5924">
      <w:pPr>
        <w:pStyle w:val="Sinespaciado"/>
        <w:jc w:val="center"/>
        <w:rPr>
          <w:rFonts w:ascii="Times New Roman" w:hAnsi="Times New Roman"/>
          <w:sz w:val="18"/>
        </w:rPr>
      </w:pPr>
      <w:r w:rsidRPr="00184700">
        <w:rPr>
          <w:rFonts w:ascii="Times New Roman" w:hAnsi="Times New Roman"/>
          <w:sz w:val="18"/>
        </w:rPr>
        <w:t>Porcentajes del PIB</w:t>
      </w:r>
    </w:p>
    <w:p w14:paraId="6906C21C" w14:textId="77777777" w:rsidR="008A700C" w:rsidRPr="00184700" w:rsidRDefault="008A700C" w:rsidP="008A5924">
      <w:pPr>
        <w:pStyle w:val="Sinespaciado"/>
        <w:jc w:val="center"/>
        <w:rPr>
          <w:rFonts w:ascii="Times New Roman" w:hAnsi="Times New Roman"/>
          <w:noProof/>
          <w:sz w:val="18"/>
        </w:rPr>
      </w:pPr>
    </w:p>
    <w:p w14:paraId="4351ACAD" w14:textId="77777777" w:rsidR="008A5924" w:rsidRPr="00184700" w:rsidRDefault="008A5924" w:rsidP="008A5924">
      <w:pPr>
        <w:pStyle w:val="Sinespaciado"/>
        <w:jc w:val="center"/>
        <w:rPr>
          <w:rFonts w:ascii="Times New Roman" w:hAnsi="Times New Roman"/>
        </w:rPr>
      </w:pPr>
      <w:r w:rsidRPr="00184700">
        <w:rPr>
          <w:rFonts w:ascii="Times New Roman" w:hAnsi="Times New Roman"/>
          <w:noProof/>
          <w:lang w:val="es-GT" w:eastAsia="es-GT"/>
        </w:rPr>
        <w:drawing>
          <wp:inline distT="0" distB="0" distL="0" distR="0" wp14:anchorId="3C5F9DCD" wp14:editId="3B3599F7">
            <wp:extent cx="4133850" cy="1524000"/>
            <wp:effectExtent l="0" t="0" r="0" b="0"/>
            <wp:docPr id="14" name="Gráfico 1">
              <a:extLst xmlns:a="http://schemas.openxmlformats.org/drawingml/2006/main">
                <a:ext uri="{FF2B5EF4-FFF2-40B4-BE49-F238E27FC236}">
                  <a16:creationId xmlns:a16="http://schemas.microsoft.com/office/drawing/2014/main" id="{24498280-09E9-4E0A-971D-3AE84396B8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5A3008" w14:textId="77777777" w:rsidR="008A5924" w:rsidRPr="00173A21" w:rsidRDefault="000C21A6" w:rsidP="008A5924">
      <w:r w:rsidRPr="007B38A3">
        <w:rPr>
          <w:b/>
          <w:sz w:val="16"/>
          <w:szCs w:val="18"/>
          <w:lang w:eastAsia="es-GT"/>
        </w:rPr>
        <w:t xml:space="preserve">                                           </w:t>
      </w:r>
      <w:r w:rsidR="009C111D" w:rsidRPr="007B38A3">
        <w:rPr>
          <w:b/>
          <w:sz w:val="16"/>
          <w:szCs w:val="18"/>
          <w:lang w:eastAsia="es-GT"/>
        </w:rPr>
        <w:t xml:space="preserve">   </w:t>
      </w:r>
      <w:r w:rsidR="008A5924" w:rsidRPr="007B38A3">
        <w:rPr>
          <w:b/>
          <w:sz w:val="16"/>
          <w:szCs w:val="18"/>
          <w:lang w:eastAsia="es-GT"/>
        </w:rPr>
        <w:t>Fuente:</w:t>
      </w:r>
      <w:r w:rsidR="008A5924" w:rsidRPr="00173A21">
        <w:rPr>
          <w:sz w:val="16"/>
          <w:szCs w:val="18"/>
          <w:lang w:eastAsia="es-GT"/>
        </w:rPr>
        <w:t xml:space="preserve"> Elaboración propia con datos del Banco Mundial. </w:t>
      </w:r>
    </w:p>
    <w:p w14:paraId="31F16BD0" w14:textId="77777777" w:rsidR="008A5924" w:rsidRPr="00184700" w:rsidRDefault="008A5924" w:rsidP="008A5924">
      <w:pPr>
        <w:pStyle w:val="Sinespaciado"/>
        <w:jc w:val="both"/>
        <w:rPr>
          <w:rFonts w:ascii="Times New Roman" w:hAnsi="Times New Roman"/>
        </w:rPr>
      </w:pPr>
    </w:p>
    <w:p w14:paraId="15C1DA4A" w14:textId="77777777" w:rsidR="008A5924" w:rsidRPr="00784E7F" w:rsidRDefault="008A5924" w:rsidP="008A5924">
      <w:pPr>
        <w:pStyle w:val="Sinespaciado"/>
        <w:jc w:val="both"/>
        <w:rPr>
          <w:rFonts w:ascii="Times New Roman" w:hAnsi="Times New Roman"/>
          <w:sz w:val="24"/>
          <w:szCs w:val="24"/>
        </w:rPr>
      </w:pPr>
      <w:r w:rsidRPr="00784E7F">
        <w:rPr>
          <w:rFonts w:ascii="Times New Roman" w:hAnsi="Times New Roman"/>
          <w:sz w:val="24"/>
          <w:szCs w:val="24"/>
        </w:rPr>
        <w:t xml:space="preserve">La Comisión Económica para América Latina y el Caribe -CEPAL- ha estimado el impacto potencial en Latino América de un aumento de las tensiones comerciales entre EEUU y China, concluyendo que el efecto sería mayor en el Cono Sur a excepción de Brasil. Sin embargo, los menos afectados serían Centro América y el Caribe, este escenario llevaría a una baja en el precio del petróleo lo que beneficiaría </w:t>
      </w:r>
      <w:r w:rsidR="007B38A3">
        <w:rPr>
          <w:rFonts w:ascii="Times New Roman" w:hAnsi="Times New Roman"/>
          <w:sz w:val="24"/>
          <w:szCs w:val="24"/>
        </w:rPr>
        <w:t>en parte a los importadores de p</w:t>
      </w:r>
      <w:r w:rsidRPr="00784E7F">
        <w:rPr>
          <w:rFonts w:ascii="Times New Roman" w:hAnsi="Times New Roman"/>
          <w:sz w:val="24"/>
          <w:szCs w:val="24"/>
        </w:rPr>
        <w:t xml:space="preserve">etróleo.  </w:t>
      </w:r>
    </w:p>
    <w:p w14:paraId="48E0068C" w14:textId="77777777" w:rsidR="008A5924" w:rsidRPr="00784E7F" w:rsidRDefault="008A5924" w:rsidP="008A5924">
      <w:pPr>
        <w:pStyle w:val="Sinespaciado"/>
        <w:jc w:val="both"/>
        <w:rPr>
          <w:rFonts w:ascii="Times New Roman" w:hAnsi="Times New Roman"/>
          <w:sz w:val="24"/>
          <w:szCs w:val="24"/>
        </w:rPr>
      </w:pPr>
    </w:p>
    <w:p w14:paraId="55681581" w14:textId="77777777" w:rsidR="008A5924" w:rsidRPr="00784E7F" w:rsidRDefault="008A5924" w:rsidP="008A5924">
      <w:pPr>
        <w:pStyle w:val="Sinespaciado"/>
        <w:jc w:val="both"/>
        <w:rPr>
          <w:rFonts w:ascii="Times New Roman" w:hAnsi="Times New Roman"/>
          <w:sz w:val="24"/>
          <w:szCs w:val="24"/>
        </w:rPr>
      </w:pPr>
      <w:r w:rsidRPr="00784E7F">
        <w:rPr>
          <w:rFonts w:ascii="Times New Roman" w:hAnsi="Times New Roman"/>
          <w:sz w:val="24"/>
          <w:szCs w:val="24"/>
        </w:rPr>
        <w:t>Por lo tanto, existen riesgos a la baja en el crecimiento económico debido a la demanda externa, mientras el estímulo fiscal de Estados Unido disminuye, su crecimiento podría disminuir más de lo esperado y traer consecuencias negativas en las economías de la región por el comercio exterior y el vínculo de las remesas.  Por otro lado, los países de la región son vulnerables a los desastres</w:t>
      </w:r>
      <w:r w:rsidR="007B38A3">
        <w:rPr>
          <w:rFonts w:ascii="Times New Roman" w:hAnsi="Times New Roman"/>
          <w:sz w:val="24"/>
          <w:szCs w:val="24"/>
        </w:rPr>
        <w:t xml:space="preserve"> naturales, los huracanes, sequí</w:t>
      </w:r>
      <w:r w:rsidRPr="00784E7F">
        <w:rPr>
          <w:rFonts w:ascii="Times New Roman" w:hAnsi="Times New Roman"/>
          <w:sz w:val="24"/>
          <w:szCs w:val="24"/>
        </w:rPr>
        <w:t>as, terremotos, pues han tenido efectos perjudiciales en sus economías en el pasado.</w:t>
      </w:r>
    </w:p>
    <w:p w14:paraId="150DDE3E" w14:textId="77777777" w:rsidR="008A5924" w:rsidRPr="00784E7F" w:rsidRDefault="008A5924" w:rsidP="008A5924">
      <w:pPr>
        <w:pStyle w:val="Sinespaciado"/>
        <w:jc w:val="both"/>
        <w:rPr>
          <w:rFonts w:ascii="Times New Roman" w:hAnsi="Times New Roman"/>
          <w:sz w:val="24"/>
          <w:szCs w:val="24"/>
        </w:rPr>
      </w:pPr>
    </w:p>
    <w:p w14:paraId="5013A4F9" w14:textId="77777777" w:rsidR="008A5924" w:rsidRPr="00784E7F" w:rsidRDefault="008A5924" w:rsidP="008A5924">
      <w:pPr>
        <w:pStyle w:val="Sinespaciado"/>
        <w:jc w:val="both"/>
        <w:rPr>
          <w:rFonts w:ascii="Times New Roman" w:hAnsi="Times New Roman"/>
          <w:sz w:val="24"/>
          <w:szCs w:val="24"/>
        </w:rPr>
      </w:pPr>
      <w:r w:rsidRPr="00784E7F">
        <w:rPr>
          <w:rFonts w:ascii="Times New Roman" w:hAnsi="Times New Roman"/>
          <w:sz w:val="24"/>
          <w:szCs w:val="24"/>
        </w:rPr>
        <w:t>Por lo anteriormente expuesto</w:t>
      </w:r>
      <w:r w:rsidR="007B38A3">
        <w:rPr>
          <w:rFonts w:ascii="Times New Roman" w:hAnsi="Times New Roman"/>
          <w:sz w:val="24"/>
          <w:szCs w:val="24"/>
        </w:rPr>
        <w:t>,</w:t>
      </w:r>
      <w:r w:rsidRPr="00784E7F">
        <w:rPr>
          <w:rFonts w:ascii="Times New Roman" w:hAnsi="Times New Roman"/>
          <w:sz w:val="24"/>
          <w:szCs w:val="24"/>
        </w:rPr>
        <w:t xml:space="preserve"> se puede concluir que las tensiones comerciales globales, la desaceleración económica en China, el debilitamiento previsto de la economía de los EEUU, las fluctuaciones de precios de las materias primas, así como los riesgos financieros que se vislumbran en algunos países de la zona del euro y la adopción de políticas correctivas por parte de los países; son parte de los riegos más importantes que se prevén en el corto y mediano plazo en la economía mundial que pueden tener alguna incidencia en la actividad económica nacional y por ende en las cuentas del gobierno central. </w:t>
      </w:r>
    </w:p>
    <w:p w14:paraId="1CACC3FE" w14:textId="77777777" w:rsidR="008A5924" w:rsidRPr="00184700" w:rsidRDefault="008A5924" w:rsidP="008A5924">
      <w:pPr>
        <w:pStyle w:val="Sinespaciado"/>
        <w:jc w:val="both"/>
        <w:rPr>
          <w:rFonts w:ascii="Times New Roman" w:hAnsi="Times New Roman"/>
        </w:rPr>
      </w:pPr>
    </w:p>
    <w:p w14:paraId="2AE7B174" w14:textId="77777777" w:rsidR="008A5924" w:rsidRPr="00784E7F" w:rsidRDefault="008A5924" w:rsidP="00DD6292">
      <w:pPr>
        <w:pStyle w:val="Ttulo2"/>
        <w:widowControl/>
        <w:numPr>
          <w:ilvl w:val="1"/>
          <w:numId w:val="5"/>
        </w:numPr>
        <w:spacing w:before="240" w:after="60"/>
        <w:ind w:left="993" w:hanging="633"/>
        <w:rPr>
          <w:sz w:val="24"/>
          <w:szCs w:val="24"/>
        </w:rPr>
      </w:pPr>
      <w:bookmarkStart w:id="8" w:name="_Toc16519883"/>
      <w:r w:rsidRPr="00784E7F">
        <w:rPr>
          <w:sz w:val="24"/>
          <w:szCs w:val="24"/>
        </w:rPr>
        <w:t>Desviaciones de los pronósticos macroeconómicos</w:t>
      </w:r>
      <w:bookmarkEnd w:id="2"/>
      <w:bookmarkEnd w:id="3"/>
      <w:bookmarkEnd w:id="8"/>
    </w:p>
    <w:p w14:paraId="158F823D" w14:textId="77777777" w:rsidR="008A5924" w:rsidRPr="00184700" w:rsidRDefault="008A5924" w:rsidP="008A5924">
      <w:pPr>
        <w:pStyle w:val="Sinespaciado"/>
        <w:keepNext/>
        <w:jc w:val="both"/>
        <w:rPr>
          <w:rFonts w:ascii="Times New Roman" w:hAnsi="Times New Roman"/>
        </w:rPr>
      </w:pPr>
    </w:p>
    <w:p w14:paraId="3D84227F"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 xml:space="preserve">El seguimiento del comportamiento de las principales variables macroeconómicas brinda elementos para evaluar a priori la volatilidad en el comportamiento de estas variables para las estimaciones fiscales principalmente la recaudación tributaria y el análisis de sostenibilidad de deuda. </w:t>
      </w:r>
    </w:p>
    <w:p w14:paraId="112C2ECB" w14:textId="77777777" w:rsidR="008A5924" w:rsidRPr="00184700" w:rsidRDefault="008A5924" w:rsidP="008A5924">
      <w:pPr>
        <w:pStyle w:val="Sinespaciado"/>
        <w:jc w:val="both"/>
        <w:rPr>
          <w:rFonts w:ascii="Times New Roman" w:hAnsi="Times New Roman"/>
        </w:rPr>
      </w:pPr>
    </w:p>
    <w:p w14:paraId="670BCE40"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El comportamiento que mostraron las perspectivas del crecimiento económico de 2018 desde 2017, muestra una alta expectativa en su crecimiento, incluso se mantuvo dicha expectativa a principios del 2018, sin embargo a medianos de ese año se corrigió dado los eventos que comenzaron a evidenciarse tales como la continuidad del alza en el precio del petróleo WTI, llegando a tener los precios más altos en más de 3 años, lo cual elevó los precios de los derivados, desviando el consumo por parte de los agentes económicos ya que provocó que los consumidores tengan que ajustar sus presupuestos disminuyendo  el consumo de otros bienes, haciendo que se reduzca la demanda de ciertas actividades económicas.  Por su parte, internamente destacan dentro de los riesgos las características del año electoral, que se presenta políticamente fragmentado con mucha incertidumbre, lo cual repercute en la toma de decisiones propiciando una ralentización de la economía en su conjunto.</w:t>
      </w:r>
    </w:p>
    <w:p w14:paraId="4AF46968" w14:textId="77777777" w:rsidR="008A5924" w:rsidRPr="00A27E31" w:rsidRDefault="008A5924" w:rsidP="008A5924">
      <w:pPr>
        <w:pStyle w:val="Sinespaciado"/>
        <w:jc w:val="both"/>
        <w:rPr>
          <w:rFonts w:ascii="Times New Roman" w:hAnsi="Times New Roman"/>
          <w:sz w:val="24"/>
          <w:szCs w:val="24"/>
        </w:rPr>
      </w:pPr>
    </w:p>
    <w:p w14:paraId="1D7C93CC"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La actividad econó</w:t>
      </w:r>
      <w:r w:rsidR="007B38A3">
        <w:rPr>
          <w:rFonts w:ascii="Times New Roman" w:hAnsi="Times New Roman"/>
          <w:sz w:val="24"/>
          <w:szCs w:val="24"/>
        </w:rPr>
        <w:t xml:space="preserve">mica de minas y canteras continuó </w:t>
      </w:r>
      <w:r w:rsidRPr="00A27E31">
        <w:rPr>
          <w:rFonts w:ascii="Times New Roman" w:hAnsi="Times New Roman"/>
          <w:sz w:val="24"/>
          <w:szCs w:val="24"/>
        </w:rPr>
        <w:t>mostrando un comportamiento negativo, derivado de las decisiones jurídicas para mantener en suspenso diferentes industrias mineras, dichas medias explican la fuerte caída en 2018, aunado a la reducción en la inversión en este rubro de la economía.  Por su parte la inversión extranjera directa sufrió una desaceleración en su crecimiento, derivado de varios factores entre los que destaca la falta de estabilidad política, de certeza jurídica y la escasa inversión en infraestructura para facilitar el comercio, lo cual es relevante dado que G</w:t>
      </w:r>
      <w:r w:rsidR="001B1E4D" w:rsidRPr="00A27E31">
        <w:rPr>
          <w:rFonts w:ascii="Times New Roman" w:hAnsi="Times New Roman"/>
          <w:sz w:val="24"/>
          <w:szCs w:val="24"/>
        </w:rPr>
        <w:t>uatemala atrae alrededor del 31 por ciento</w:t>
      </w:r>
      <w:r w:rsidRPr="00A27E31">
        <w:rPr>
          <w:rFonts w:ascii="Times New Roman" w:hAnsi="Times New Roman"/>
          <w:sz w:val="24"/>
          <w:szCs w:val="24"/>
        </w:rPr>
        <w:t xml:space="preserve"> de la IED en el sector comercio.</w:t>
      </w:r>
    </w:p>
    <w:p w14:paraId="4F3ECADB" w14:textId="77777777" w:rsidR="008A5924" w:rsidRPr="00A27E31" w:rsidRDefault="008A5924" w:rsidP="008A5924">
      <w:pPr>
        <w:pStyle w:val="Sinespaciado"/>
        <w:jc w:val="both"/>
        <w:rPr>
          <w:rFonts w:ascii="Times New Roman" w:hAnsi="Times New Roman"/>
          <w:sz w:val="24"/>
          <w:szCs w:val="24"/>
        </w:rPr>
      </w:pPr>
    </w:p>
    <w:p w14:paraId="36F913EB" w14:textId="060544D3"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 xml:space="preserve">Por su parte, el Producto Interno Bruto Nominal también tuvo una </w:t>
      </w:r>
      <w:r w:rsidR="006812CD" w:rsidRPr="00A27E31">
        <w:rPr>
          <w:rFonts w:ascii="Times New Roman" w:hAnsi="Times New Roman"/>
          <w:sz w:val="24"/>
          <w:szCs w:val="24"/>
        </w:rPr>
        <w:t>caída derivada particularmente</w:t>
      </w:r>
      <w:r w:rsidRPr="00A27E31">
        <w:rPr>
          <w:rFonts w:ascii="Times New Roman" w:hAnsi="Times New Roman"/>
          <w:sz w:val="24"/>
          <w:szCs w:val="24"/>
        </w:rPr>
        <w:t xml:space="preserve"> de la reducción en los precios de los principales productos de exportación de Guatemala.   Por un lado, desde finales de 2016 a mayo de 201</w:t>
      </w:r>
      <w:r w:rsidR="001B1E4D" w:rsidRPr="00A27E31">
        <w:rPr>
          <w:rFonts w:ascii="Times New Roman" w:hAnsi="Times New Roman"/>
          <w:sz w:val="24"/>
          <w:szCs w:val="24"/>
        </w:rPr>
        <w:t>8, el precio del azúcar cayó 44 por ciento</w:t>
      </w:r>
      <w:r w:rsidRPr="00A27E31">
        <w:rPr>
          <w:rFonts w:ascii="Times New Roman" w:hAnsi="Times New Roman"/>
          <w:sz w:val="24"/>
          <w:szCs w:val="24"/>
        </w:rPr>
        <w:t xml:space="preserve"> y el </w:t>
      </w:r>
      <w:r w:rsidR="001B1E4D" w:rsidRPr="00A27E31">
        <w:rPr>
          <w:rFonts w:ascii="Times New Roman" w:hAnsi="Times New Roman"/>
          <w:sz w:val="24"/>
          <w:szCs w:val="24"/>
        </w:rPr>
        <w:t>precio del café se redujo en 26 por ciento</w:t>
      </w:r>
      <w:r w:rsidRPr="00A27E31">
        <w:rPr>
          <w:rFonts w:ascii="Times New Roman" w:hAnsi="Times New Roman"/>
          <w:sz w:val="24"/>
          <w:szCs w:val="24"/>
        </w:rPr>
        <w:t xml:space="preserve">; mientras que el precio del hule cayó </w:t>
      </w:r>
      <w:r w:rsidR="001B1E4D" w:rsidRPr="00A27E31">
        <w:rPr>
          <w:rFonts w:ascii="Times New Roman" w:hAnsi="Times New Roman"/>
          <w:sz w:val="24"/>
          <w:szCs w:val="24"/>
        </w:rPr>
        <w:t>35 por ciento</w:t>
      </w:r>
      <w:r w:rsidRPr="00A27E31">
        <w:rPr>
          <w:rFonts w:ascii="Times New Roman" w:hAnsi="Times New Roman"/>
          <w:sz w:val="24"/>
          <w:szCs w:val="24"/>
        </w:rPr>
        <w:t xml:space="preserve"> entre febrero de 2017 y mayo de 2018.   Además de las remesas experimentaron una ligera desaceleración con respecto a 2017 (13.4%).   Hay que tomar en cuenta que Guatemala ha construido una economía basada en el consumo que se alimenta en buena medida de las remesas, lo cual nos hace vulnerables en el mediano y largo plazos.   Sin embargo, más recientemente la tendencia ha sido mayor hacia la inversión y el ahorro, según la encuesta Sobre Migración Internacional Guatemalteca y Remesas de la Organización Internacional de la Migración (2016).</w:t>
      </w:r>
    </w:p>
    <w:p w14:paraId="0C7DE87B" w14:textId="77777777" w:rsidR="008A5924" w:rsidRPr="00A27E31" w:rsidRDefault="008A5924" w:rsidP="008A5924">
      <w:pPr>
        <w:pStyle w:val="Sinespaciado"/>
        <w:jc w:val="both"/>
        <w:rPr>
          <w:rFonts w:ascii="Times New Roman" w:hAnsi="Times New Roman"/>
          <w:sz w:val="24"/>
          <w:szCs w:val="24"/>
        </w:rPr>
      </w:pPr>
    </w:p>
    <w:p w14:paraId="554C5C72"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Por lo que a mediados del año se contrae fuertemente la proyección del crecimiento económico del nivel medio al nivel más bajo de contenido en la publicación anterior del Banguat, debido a la volatilidad del mercado, por lo que las desviaciones tanto relativas como absolutas se redujeron en el trayecto del año ya que se evidenciaba una fuerte caída en las diferentes variables macroeconómicas.</w:t>
      </w:r>
    </w:p>
    <w:p w14:paraId="6D83703B" w14:textId="77777777" w:rsidR="008A5924" w:rsidRPr="00184700" w:rsidRDefault="008A5924" w:rsidP="008A5924">
      <w:pPr>
        <w:pStyle w:val="Sinespaciado"/>
        <w:jc w:val="both"/>
        <w:rPr>
          <w:rFonts w:ascii="Times New Roman" w:hAnsi="Times New Roman"/>
        </w:rPr>
      </w:pPr>
    </w:p>
    <w:p w14:paraId="66757A12" w14:textId="3AE13AC2" w:rsidR="008A5924" w:rsidRPr="00A27E31" w:rsidRDefault="008A5924" w:rsidP="008A5924">
      <w:pPr>
        <w:pStyle w:val="Descripcin"/>
        <w:keepNext/>
        <w:rPr>
          <w:b w:val="0"/>
          <w:color w:val="000000" w:themeColor="text1"/>
        </w:rPr>
      </w:pPr>
      <w:bookmarkStart w:id="9" w:name="_Toc16242966"/>
      <w:r w:rsidRPr="00A27E31">
        <w:rPr>
          <w:color w:val="000000" w:themeColor="text1"/>
        </w:rPr>
        <w:t xml:space="preserve">Gráfico  </w:t>
      </w:r>
      <w:r w:rsidRPr="00A27E31">
        <w:rPr>
          <w:color w:val="000000" w:themeColor="text1"/>
        </w:rPr>
        <w:fldChar w:fldCharType="begin"/>
      </w:r>
      <w:r w:rsidRPr="00A27E31">
        <w:rPr>
          <w:color w:val="000000" w:themeColor="text1"/>
        </w:rPr>
        <w:instrText xml:space="preserve"> SEQ Gráfico_ \* ARABIC </w:instrText>
      </w:r>
      <w:r w:rsidRPr="00A27E31">
        <w:rPr>
          <w:color w:val="000000" w:themeColor="text1"/>
        </w:rPr>
        <w:fldChar w:fldCharType="separate"/>
      </w:r>
      <w:r w:rsidR="004B2A60">
        <w:rPr>
          <w:noProof/>
          <w:color w:val="000000" w:themeColor="text1"/>
        </w:rPr>
        <w:t>3</w:t>
      </w:r>
      <w:r w:rsidRPr="00A27E31">
        <w:rPr>
          <w:noProof/>
          <w:color w:val="000000" w:themeColor="text1"/>
        </w:rPr>
        <w:fldChar w:fldCharType="end"/>
      </w:r>
      <w:r w:rsidRPr="00A27E31">
        <w:rPr>
          <w:color w:val="000000" w:themeColor="text1"/>
        </w:rPr>
        <w:t>: Variaciones en las tasas de Crecimiento del PIB</w:t>
      </w:r>
      <w:bookmarkEnd w:id="9"/>
    </w:p>
    <w:p w14:paraId="43D90172" w14:textId="77777777" w:rsidR="008A5924" w:rsidRPr="00184700" w:rsidRDefault="008A5924" w:rsidP="008A5924">
      <w:pPr>
        <w:pStyle w:val="Sinespaciado"/>
        <w:keepNext/>
        <w:jc w:val="center"/>
        <w:rPr>
          <w:rFonts w:ascii="Times New Roman" w:hAnsi="Times New Roman"/>
        </w:rPr>
      </w:pPr>
      <w:r w:rsidRPr="00184700">
        <w:rPr>
          <w:rFonts w:ascii="Times New Roman" w:hAnsi="Times New Roman"/>
          <w:sz w:val="18"/>
        </w:rPr>
        <w:t xml:space="preserve">Puntos porcentuales </w:t>
      </w:r>
      <w:r w:rsidRPr="00184700">
        <w:rPr>
          <w:noProof/>
          <w:lang w:val="es-GT" w:eastAsia="es-GT"/>
        </w:rPr>
        <w:drawing>
          <wp:inline distT="0" distB="0" distL="0" distR="0" wp14:anchorId="12606011" wp14:editId="16521CA8">
            <wp:extent cx="5390984" cy="2067339"/>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79" cy="2083482"/>
                    </a:xfrm>
                    <a:prstGeom prst="rect">
                      <a:avLst/>
                    </a:prstGeom>
                    <a:noFill/>
                    <a:ln>
                      <a:noFill/>
                    </a:ln>
                  </pic:spPr>
                </pic:pic>
              </a:graphicData>
            </a:graphic>
          </wp:inline>
        </w:drawing>
      </w:r>
    </w:p>
    <w:p w14:paraId="77194462" w14:textId="77777777" w:rsidR="008A5924" w:rsidRPr="001203DD" w:rsidRDefault="00A27E31" w:rsidP="008A5924">
      <w:pPr>
        <w:jc w:val="both"/>
        <w:rPr>
          <w:sz w:val="16"/>
        </w:rPr>
      </w:pPr>
      <w:r>
        <w:rPr>
          <w:b/>
          <w:sz w:val="16"/>
        </w:rPr>
        <w:t xml:space="preserve">                    </w:t>
      </w:r>
      <w:r w:rsidR="008A5924" w:rsidRPr="007B38A3">
        <w:rPr>
          <w:b/>
          <w:sz w:val="16"/>
        </w:rPr>
        <w:t>Fuente:</w:t>
      </w:r>
      <w:r w:rsidR="008A5924" w:rsidRPr="001203DD">
        <w:rPr>
          <w:sz w:val="16"/>
        </w:rPr>
        <w:t xml:space="preserve"> Elaboración del Ministerio de Finanzas Públicas con datos del Banco de Guatemala</w:t>
      </w:r>
    </w:p>
    <w:p w14:paraId="1F6158DE" w14:textId="77777777" w:rsidR="008A5924" w:rsidRPr="00184700" w:rsidRDefault="008A5924" w:rsidP="008A5924">
      <w:pPr>
        <w:jc w:val="both"/>
        <w:rPr>
          <w:sz w:val="16"/>
        </w:rPr>
      </w:pPr>
    </w:p>
    <w:p w14:paraId="749AFA76" w14:textId="77777777" w:rsidR="008A5924" w:rsidRPr="00184700" w:rsidRDefault="008A5924" w:rsidP="008A5924">
      <w:pPr>
        <w:jc w:val="both"/>
        <w:rPr>
          <w:b/>
          <w:sz w:val="16"/>
        </w:rPr>
      </w:pPr>
    </w:p>
    <w:p w14:paraId="78877B72"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 xml:space="preserve">El sector externo en 2018, mostró un comportamiento, por el lado de las exportaciones, decreciente ya que tuvo una tasa de variación interanual negativa al final del año (-0.2%), y la previsión de crecimiento a finales de 2017 mostró una desviación de 6.7 p.p., por debajo de lo obtenido, diferencia que se mantuvo en abril 2018, posteriormente el Banco de Guatemala ajustó a la baja la predicción, de esa cuenta en julio de 2018, la desviación entre lo estimado y lo observado fue 2.2p.p. y en la última estimación en diciembre la desviación fue de 1.3p.p., en donde el nivel observado quedó por encima de la última estimación.  Estos ajustes en la estimación se realizaron derivado de la caída en los precios internacionales de los </w:t>
      </w:r>
      <w:r w:rsidRPr="00A27E31">
        <w:rPr>
          <w:rFonts w:ascii="Times New Roman" w:hAnsi="Times New Roman"/>
          <w:i/>
          <w:sz w:val="24"/>
          <w:szCs w:val="24"/>
        </w:rPr>
        <w:t>commodities</w:t>
      </w:r>
      <w:r w:rsidRPr="00A27E31">
        <w:rPr>
          <w:rFonts w:ascii="Times New Roman" w:hAnsi="Times New Roman"/>
          <w:sz w:val="24"/>
          <w:szCs w:val="24"/>
        </w:rPr>
        <w:t xml:space="preserve"> particularmente el banano, el café y el azúcar.  </w:t>
      </w:r>
    </w:p>
    <w:p w14:paraId="0097CAEA" w14:textId="77777777" w:rsidR="008A5924" w:rsidRPr="00A27E31" w:rsidRDefault="008A5924" w:rsidP="008A5924">
      <w:pPr>
        <w:pStyle w:val="Sinespaciado"/>
        <w:jc w:val="both"/>
        <w:rPr>
          <w:rFonts w:ascii="Times New Roman" w:hAnsi="Times New Roman"/>
          <w:sz w:val="24"/>
          <w:szCs w:val="24"/>
        </w:rPr>
      </w:pPr>
    </w:p>
    <w:p w14:paraId="5A502848"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 xml:space="preserve">En el caso de las importaciones, por el contrario, mostró un comportamiento más dinámico creciendo </w:t>
      </w:r>
      <w:r w:rsidR="00383BB0">
        <w:rPr>
          <w:rFonts w:ascii="Times New Roman" w:hAnsi="Times New Roman"/>
          <w:sz w:val="24"/>
          <w:szCs w:val="24"/>
        </w:rPr>
        <w:t xml:space="preserve">en 2018 </w:t>
      </w:r>
      <w:r w:rsidR="001B1E4D" w:rsidRPr="00A27E31">
        <w:rPr>
          <w:rFonts w:ascii="Times New Roman" w:hAnsi="Times New Roman"/>
          <w:sz w:val="24"/>
          <w:szCs w:val="24"/>
        </w:rPr>
        <w:t>7.3 por ciento</w:t>
      </w:r>
      <w:r w:rsidRPr="00A27E31">
        <w:rPr>
          <w:rFonts w:ascii="Times New Roman" w:hAnsi="Times New Roman"/>
          <w:sz w:val="24"/>
          <w:szCs w:val="24"/>
        </w:rPr>
        <w:t xml:space="preserve"> respecto a lo observado en 2017. En cuanto a las proyecciones para 2018, estás sufrieron ciertos ajustes, derivado de la volatilidad en los precios internacionales del petróleo, por lo cual aumentaron las previsiones a lo largo del año, no obstante, al final del periodo el nivel observado quedó por debajo de lo previsto.</w:t>
      </w:r>
    </w:p>
    <w:p w14:paraId="5026319E" w14:textId="77777777" w:rsidR="008A5924" w:rsidRPr="00184700" w:rsidRDefault="008A5924" w:rsidP="008A5924">
      <w:pPr>
        <w:pStyle w:val="Sinespaciado"/>
        <w:jc w:val="both"/>
        <w:rPr>
          <w:rFonts w:ascii="Times New Roman" w:hAnsi="Times New Roman"/>
        </w:rPr>
      </w:pPr>
    </w:p>
    <w:p w14:paraId="644A4912" w14:textId="751FC7BA" w:rsidR="008A5924" w:rsidRPr="00A27E31" w:rsidRDefault="008A5924" w:rsidP="008A5924">
      <w:pPr>
        <w:pStyle w:val="Descripcin"/>
        <w:keepNext/>
        <w:rPr>
          <w:b w:val="0"/>
          <w:color w:val="000000" w:themeColor="text1"/>
        </w:rPr>
      </w:pPr>
      <w:bookmarkStart w:id="10" w:name="_Toc16242967"/>
      <w:r w:rsidRPr="00A27E31">
        <w:rPr>
          <w:color w:val="000000" w:themeColor="text1"/>
        </w:rPr>
        <w:t xml:space="preserve">Gráfico  </w:t>
      </w:r>
      <w:r w:rsidRPr="00A27E31">
        <w:rPr>
          <w:color w:val="000000" w:themeColor="text1"/>
        </w:rPr>
        <w:fldChar w:fldCharType="begin"/>
      </w:r>
      <w:r w:rsidRPr="00A27E31">
        <w:rPr>
          <w:color w:val="000000" w:themeColor="text1"/>
        </w:rPr>
        <w:instrText xml:space="preserve"> SEQ Gráfico_ \* ARABIC </w:instrText>
      </w:r>
      <w:r w:rsidRPr="00A27E31">
        <w:rPr>
          <w:color w:val="000000" w:themeColor="text1"/>
        </w:rPr>
        <w:fldChar w:fldCharType="separate"/>
      </w:r>
      <w:r w:rsidR="004B2A60">
        <w:rPr>
          <w:noProof/>
          <w:color w:val="000000" w:themeColor="text1"/>
        </w:rPr>
        <w:t>4</w:t>
      </w:r>
      <w:r w:rsidRPr="00A27E31">
        <w:rPr>
          <w:noProof/>
          <w:color w:val="000000" w:themeColor="text1"/>
        </w:rPr>
        <w:fldChar w:fldCharType="end"/>
      </w:r>
      <w:r w:rsidRPr="00A27E31">
        <w:rPr>
          <w:color w:val="000000" w:themeColor="text1"/>
        </w:rPr>
        <w:t>: Variaciones en las tasas de Crecimiento de Importaciones y Exportaciones</w:t>
      </w:r>
      <w:bookmarkEnd w:id="10"/>
    </w:p>
    <w:p w14:paraId="10E22D1B" w14:textId="77777777" w:rsidR="008A5924" w:rsidRDefault="008A5924" w:rsidP="008A5924">
      <w:pPr>
        <w:pStyle w:val="Sinespaciado"/>
        <w:keepNext/>
        <w:jc w:val="center"/>
        <w:rPr>
          <w:rFonts w:ascii="Times New Roman" w:hAnsi="Times New Roman"/>
          <w:sz w:val="18"/>
        </w:rPr>
      </w:pPr>
      <w:r w:rsidRPr="00184700">
        <w:rPr>
          <w:rFonts w:ascii="Times New Roman" w:hAnsi="Times New Roman"/>
          <w:sz w:val="18"/>
        </w:rPr>
        <w:t>Puntos porcentuales</w:t>
      </w:r>
    </w:p>
    <w:p w14:paraId="4FE9180F" w14:textId="77777777" w:rsidR="008A700C" w:rsidRPr="00184700" w:rsidRDefault="008A700C" w:rsidP="008A5924">
      <w:pPr>
        <w:pStyle w:val="Sinespaciado"/>
        <w:keepNext/>
        <w:jc w:val="center"/>
        <w:rPr>
          <w:rFonts w:ascii="Times New Roman" w:hAnsi="Times New Roman"/>
          <w:sz w:val="18"/>
        </w:rPr>
      </w:pPr>
    </w:p>
    <w:p w14:paraId="3C4CDA94" w14:textId="77777777" w:rsidR="008A5924" w:rsidRPr="00184700" w:rsidRDefault="008A5924" w:rsidP="000C21A6">
      <w:pPr>
        <w:keepNext/>
        <w:jc w:val="center"/>
      </w:pPr>
      <w:r w:rsidRPr="00184700">
        <w:rPr>
          <w:noProof/>
          <w:lang w:val="es-GT" w:eastAsia="es-GT"/>
        </w:rPr>
        <w:drawing>
          <wp:inline distT="0" distB="0" distL="0" distR="0" wp14:anchorId="67222083" wp14:editId="2346265F">
            <wp:extent cx="5391150" cy="1885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8475" cy="1909502"/>
                    </a:xfrm>
                    <a:prstGeom prst="rect">
                      <a:avLst/>
                    </a:prstGeom>
                    <a:noFill/>
                    <a:ln>
                      <a:noFill/>
                    </a:ln>
                  </pic:spPr>
                </pic:pic>
              </a:graphicData>
            </a:graphic>
          </wp:inline>
        </w:drawing>
      </w:r>
    </w:p>
    <w:p w14:paraId="6B6A4584" w14:textId="77777777" w:rsidR="008A5924" w:rsidRPr="001203DD" w:rsidRDefault="000C21A6" w:rsidP="008A5924">
      <w:pPr>
        <w:jc w:val="both"/>
        <w:rPr>
          <w:sz w:val="16"/>
        </w:rPr>
      </w:pPr>
      <w:r w:rsidRPr="007B38A3">
        <w:rPr>
          <w:b/>
          <w:sz w:val="16"/>
        </w:rPr>
        <w:t xml:space="preserve">                  </w:t>
      </w:r>
      <w:r w:rsidR="009C111D" w:rsidRPr="007B38A3">
        <w:rPr>
          <w:b/>
          <w:sz w:val="16"/>
        </w:rPr>
        <w:t xml:space="preserve">  </w:t>
      </w:r>
      <w:r w:rsidRPr="007B38A3">
        <w:rPr>
          <w:b/>
          <w:sz w:val="16"/>
        </w:rPr>
        <w:t xml:space="preserve">  </w:t>
      </w:r>
      <w:r w:rsidR="008A5924" w:rsidRPr="007B38A3">
        <w:rPr>
          <w:b/>
          <w:sz w:val="16"/>
        </w:rPr>
        <w:t>Fuente:</w:t>
      </w:r>
      <w:r w:rsidR="008A5924" w:rsidRPr="001203DD">
        <w:rPr>
          <w:sz w:val="16"/>
        </w:rPr>
        <w:t xml:space="preserve"> Elaboración del Ministerio de Finanzas Públicas con datos del Banco de Guatemala</w:t>
      </w:r>
    </w:p>
    <w:p w14:paraId="66F9CC6A" w14:textId="77777777" w:rsidR="008A5924" w:rsidRPr="00184700" w:rsidRDefault="008A5924" w:rsidP="008A5924">
      <w:pPr>
        <w:pStyle w:val="Sinespaciado"/>
        <w:jc w:val="both"/>
        <w:rPr>
          <w:rFonts w:ascii="Times New Roman" w:hAnsi="Times New Roman"/>
        </w:rPr>
      </w:pPr>
    </w:p>
    <w:p w14:paraId="1823FB44"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 xml:space="preserve">La inflación se mantuvo controlada en 2018 a pesar de los choques externos. Los precios internacionales de las materias primas que pueden tener un efecto relevante en la inflación, mantuvieron niveles superiores a los registrados el año 2017. El precio del petróleo, tras mantener una tendencia al alza que se extendió hasta mediados de octubre de 2018, debido, en términos generales, a las condiciones crecientes de demanda levemente por encima del aumento de la oferta mundial del crudo; posteriormente, registró una marcada reversión, como consecuencia de las perspectivas de una menor demanda mundial y el aumento de la producción de crudo en los EEUU y en algunos países miembros de la Organización de Países Exportadores de Petróleo (OPEP).  Por su parte, los precios del maíz amarillo y del trigo mostraron aumentos, resultado, principalmente, de condiciones climáticas adversas en algunos de los principales países productores; a esto se tiene que sumar la apreciación del quetzal respecto al dólar, lo que en conjunto significa menos ingresos para las empresas y menos empleo generado; este aumento de desempleo representa el impacto de la caída de la inflación a finales de 2018, lo cual significó que se tuviera menos certeza en la proyección de esta variable que </w:t>
      </w:r>
      <w:r w:rsidR="001B1E4D" w:rsidRPr="00A27E31">
        <w:rPr>
          <w:rFonts w:ascii="Times New Roman" w:hAnsi="Times New Roman"/>
          <w:sz w:val="24"/>
          <w:szCs w:val="24"/>
        </w:rPr>
        <w:t>terminó al final del año en 2.3 por ciento</w:t>
      </w:r>
      <w:r w:rsidRPr="00A27E31">
        <w:rPr>
          <w:rFonts w:ascii="Times New Roman" w:hAnsi="Times New Roman"/>
          <w:sz w:val="24"/>
          <w:szCs w:val="24"/>
        </w:rPr>
        <w:t xml:space="preserve"> quedando fuera de la banda de la meta del Banguat (entre 3% y 5%).</w:t>
      </w:r>
    </w:p>
    <w:p w14:paraId="376B23BD" w14:textId="77777777" w:rsidR="008A5924" w:rsidRPr="00A27E31" w:rsidRDefault="008A5924" w:rsidP="008A5924">
      <w:pPr>
        <w:pStyle w:val="Sinespaciado"/>
        <w:jc w:val="both"/>
        <w:rPr>
          <w:rFonts w:ascii="Times New Roman" w:hAnsi="Times New Roman"/>
          <w:sz w:val="24"/>
          <w:szCs w:val="24"/>
        </w:rPr>
      </w:pPr>
    </w:p>
    <w:p w14:paraId="2446E0CE"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 xml:space="preserve">En lo que respecta de las proyecciones sobre las variables macroeconómicas de 2019, se tiene información de diciembre del 2018 y abril del 2019, en un escenario conservador se prevé </w:t>
      </w:r>
      <w:r w:rsidR="006F6E08" w:rsidRPr="00A27E31">
        <w:rPr>
          <w:rFonts w:ascii="Times New Roman" w:hAnsi="Times New Roman"/>
          <w:sz w:val="24"/>
          <w:szCs w:val="24"/>
        </w:rPr>
        <w:t>un crecimiento económico de 3.0 por ciento</w:t>
      </w:r>
      <w:r w:rsidRPr="00A27E31">
        <w:rPr>
          <w:rFonts w:ascii="Times New Roman" w:hAnsi="Times New Roman"/>
          <w:sz w:val="24"/>
          <w:szCs w:val="24"/>
        </w:rPr>
        <w:t>, en tanto que el valor central del Ban</w:t>
      </w:r>
      <w:r w:rsidR="001B1E4D" w:rsidRPr="00A27E31">
        <w:rPr>
          <w:rFonts w:ascii="Times New Roman" w:hAnsi="Times New Roman"/>
          <w:sz w:val="24"/>
          <w:szCs w:val="24"/>
        </w:rPr>
        <w:t>co de Guatemala se ubica en 3.4 por ciento</w:t>
      </w:r>
      <w:r w:rsidRPr="00A27E31">
        <w:rPr>
          <w:rFonts w:ascii="Times New Roman" w:hAnsi="Times New Roman"/>
          <w:sz w:val="24"/>
          <w:szCs w:val="24"/>
        </w:rPr>
        <w:t>, en diciembre del 2018, datos que se mantiene para abril del 2019.  No obstante, el PIB nominal si muestra una desviación 0.4 p.p., derivado de las expectativas de inflación para el año.</w:t>
      </w:r>
    </w:p>
    <w:p w14:paraId="4E2AFBD4" w14:textId="77777777" w:rsidR="008A5924" w:rsidRPr="00A27E31" w:rsidRDefault="008A5924" w:rsidP="008A5924">
      <w:pPr>
        <w:pStyle w:val="Sinespaciado"/>
        <w:jc w:val="both"/>
        <w:rPr>
          <w:rFonts w:ascii="Times New Roman" w:hAnsi="Times New Roman"/>
          <w:sz w:val="24"/>
          <w:szCs w:val="24"/>
        </w:rPr>
      </w:pPr>
    </w:p>
    <w:p w14:paraId="620BC84F"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En cuanto al sector externo, para el caso de las importaciones, se mantienen constantes de diciembre 2018 a abril 2019.  Sin embargo, para el caso de las exportaciones de bienes, estas si sufrieron una vari</w:t>
      </w:r>
      <w:r w:rsidR="001B1E4D" w:rsidRPr="00A27E31">
        <w:rPr>
          <w:rFonts w:ascii="Times New Roman" w:hAnsi="Times New Roman"/>
          <w:sz w:val="24"/>
          <w:szCs w:val="24"/>
        </w:rPr>
        <w:t>ación a la baja, pasando de 7.5 por ciento</w:t>
      </w:r>
      <w:r w:rsidRPr="00A27E31">
        <w:rPr>
          <w:rFonts w:ascii="Times New Roman" w:hAnsi="Times New Roman"/>
          <w:sz w:val="24"/>
          <w:szCs w:val="24"/>
        </w:rPr>
        <w:t xml:space="preserve"> de crecimie</w:t>
      </w:r>
      <w:r w:rsidR="001B1E4D" w:rsidRPr="00A27E31">
        <w:rPr>
          <w:rFonts w:ascii="Times New Roman" w:hAnsi="Times New Roman"/>
          <w:sz w:val="24"/>
          <w:szCs w:val="24"/>
        </w:rPr>
        <w:t>nto en diciembre del 2018 a 6.0 por ciento</w:t>
      </w:r>
      <w:r w:rsidRPr="00A27E31">
        <w:rPr>
          <w:rFonts w:ascii="Times New Roman" w:hAnsi="Times New Roman"/>
          <w:sz w:val="24"/>
          <w:szCs w:val="24"/>
        </w:rPr>
        <w:t xml:space="preserve"> en abril del 2019, esto podría tener una explicación en el sentido que se preveía que los precios de los productos de exportaciones cambiarían su tendencia y mejorarían, pero la evidencia en lo que va del año ha sido diferente por lo que se traduce en una la caída de la proyección es de 1.5 p.p.</w:t>
      </w:r>
    </w:p>
    <w:p w14:paraId="791065CC" w14:textId="77777777" w:rsidR="008A5924" w:rsidRPr="00184700" w:rsidRDefault="008A5924" w:rsidP="008A5924">
      <w:pPr>
        <w:pStyle w:val="Sinespaciado"/>
        <w:jc w:val="both"/>
        <w:rPr>
          <w:rFonts w:ascii="Times New Roman" w:hAnsi="Times New Roman"/>
        </w:rPr>
      </w:pPr>
      <w:r w:rsidRPr="00184700">
        <w:rPr>
          <w:rFonts w:ascii="Times New Roman" w:hAnsi="Times New Roman"/>
        </w:rPr>
        <w:t xml:space="preserve">   </w:t>
      </w:r>
    </w:p>
    <w:p w14:paraId="051E40EB" w14:textId="77777777" w:rsidR="008A5924" w:rsidRPr="00A27E31" w:rsidRDefault="008A5924" w:rsidP="008A5924">
      <w:pPr>
        <w:pStyle w:val="Sinespaciado"/>
        <w:jc w:val="both"/>
        <w:rPr>
          <w:rFonts w:ascii="Times New Roman" w:hAnsi="Times New Roman"/>
          <w:sz w:val="24"/>
          <w:szCs w:val="24"/>
        </w:rPr>
      </w:pPr>
      <w:r w:rsidRPr="00A27E31">
        <w:rPr>
          <w:rFonts w:ascii="Times New Roman" w:hAnsi="Times New Roman"/>
          <w:sz w:val="24"/>
          <w:szCs w:val="24"/>
        </w:rPr>
        <w:t>La inflación y el tipo de cambio mantienen su proyección en abril del 2019 igual a la proyección de diciembre del 2018.</w:t>
      </w:r>
    </w:p>
    <w:p w14:paraId="74AD29F2" w14:textId="77777777" w:rsidR="008A5924" w:rsidRPr="00184700" w:rsidRDefault="008A5924" w:rsidP="008A5924">
      <w:pPr>
        <w:pStyle w:val="Sinespaciado"/>
        <w:jc w:val="both"/>
        <w:rPr>
          <w:rFonts w:ascii="Times New Roman" w:hAnsi="Times New Roman"/>
        </w:rPr>
      </w:pPr>
    </w:p>
    <w:p w14:paraId="322F1A0F" w14:textId="25931836" w:rsidR="008A5924" w:rsidRPr="00A27E31" w:rsidRDefault="008A5924" w:rsidP="008A5924">
      <w:pPr>
        <w:pStyle w:val="Descripcin"/>
        <w:keepNext/>
        <w:rPr>
          <w:b w:val="0"/>
          <w:color w:val="000000" w:themeColor="text1"/>
        </w:rPr>
      </w:pPr>
      <w:bookmarkStart w:id="11" w:name="_Toc16242968"/>
      <w:r w:rsidRPr="00A27E31">
        <w:rPr>
          <w:color w:val="000000" w:themeColor="text1"/>
        </w:rPr>
        <w:t xml:space="preserve">Gráfico  </w:t>
      </w:r>
      <w:r w:rsidRPr="00A27E31">
        <w:rPr>
          <w:color w:val="000000" w:themeColor="text1"/>
        </w:rPr>
        <w:fldChar w:fldCharType="begin"/>
      </w:r>
      <w:r w:rsidRPr="00A27E31">
        <w:rPr>
          <w:color w:val="000000" w:themeColor="text1"/>
        </w:rPr>
        <w:instrText xml:space="preserve"> SEQ Gráfico_ \* ARABIC </w:instrText>
      </w:r>
      <w:r w:rsidRPr="00A27E31">
        <w:rPr>
          <w:color w:val="000000" w:themeColor="text1"/>
        </w:rPr>
        <w:fldChar w:fldCharType="separate"/>
      </w:r>
      <w:r w:rsidR="004B2A60">
        <w:rPr>
          <w:noProof/>
          <w:color w:val="000000" w:themeColor="text1"/>
        </w:rPr>
        <w:t>5</w:t>
      </w:r>
      <w:r w:rsidRPr="00A27E31">
        <w:rPr>
          <w:noProof/>
          <w:color w:val="000000" w:themeColor="text1"/>
        </w:rPr>
        <w:fldChar w:fldCharType="end"/>
      </w:r>
      <w:r w:rsidRPr="00A27E31">
        <w:rPr>
          <w:color w:val="000000" w:themeColor="text1"/>
        </w:rPr>
        <w:t>: Variaciones en las tasas de Crecimiento del PIB nominal y exportaciones nominal</w:t>
      </w:r>
      <w:bookmarkEnd w:id="11"/>
      <w:r w:rsidRPr="00A27E31">
        <w:rPr>
          <w:color w:val="000000" w:themeColor="text1"/>
        </w:rPr>
        <w:t xml:space="preserve"> </w:t>
      </w:r>
    </w:p>
    <w:p w14:paraId="54076FB7" w14:textId="77777777" w:rsidR="008A5924" w:rsidRDefault="008A5924" w:rsidP="008A5924">
      <w:pPr>
        <w:pStyle w:val="Sinespaciado"/>
        <w:keepNext/>
        <w:jc w:val="center"/>
        <w:rPr>
          <w:rFonts w:ascii="Times New Roman" w:hAnsi="Times New Roman"/>
          <w:sz w:val="18"/>
        </w:rPr>
      </w:pPr>
      <w:r w:rsidRPr="00184700">
        <w:rPr>
          <w:rFonts w:ascii="Times New Roman" w:hAnsi="Times New Roman"/>
          <w:sz w:val="18"/>
        </w:rPr>
        <w:t>Puntos porcentuales</w:t>
      </w:r>
    </w:p>
    <w:p w14:paraId="3C559726" w14:textId="77777777" w:rsidR="008A700C" w:rsidRPr="00184700" w:rsidRDefault="008A700C" w:rsidP="008A5924">
      <w:pPr>
        <w:pStyle w:val="Sinespaciado"/>
        <w:keepNext/>
        <w:jc w:val="center"/>
        <w:rPr>
          <w:rFonts w:ascii="Times New Roman" w:hAnsi="Times New Roman"/>
        </w:rPr>
      </w:pPr>
    </w:p>
    <w:p w14:paraId="3A945436" w14:textId="77777777" w:rsidR="008A5924" w:rsidRPr="00184700" w:rsidRDefault="008A5924" w:rsidP="000C21A6">
      <w:pPr>
        <w:jc w:val="center"/>
      </w:pPr>
      <w:r w:rsidRPr="00184700">
        <w:rPr>
          <w:noProof/>
          <w:lang w:val="es-GT" w:eastAsia="es-GT"/>
        </w:rPr>
        <w:drawing>
          <wp:inline distT="0" distB="0" distL="0" distR="0" wp14:anchorId="553AC9C0" wp14:editId="4B5AB047">
            <wp:extent cx="5301541" cy="1959428"/>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491" cy="1988977"/>
                    </a:xfrm>
                    <a:prstGeom prst="rect">
                      <a:avLst/>
                    </a:prstGeom>
                    <a:noFill/>
                  </pic:spPr>
                </pic:pic>
              </a:graphicData>
            </a:graphic>
          </wp:inline>
        </w:drawing>
      </w:r>
    </w:p>
    <w:p w14:paraId="676F796D" w14:textId="77777777" w:rsidR="008A5924" w:rsidRPr="001203DD" w:rsidRDefault="000C21A6" w:rsidP="008A5924">
      <w:pPr>
        <w:jc w:val="both"/>
        <w:rPr>
          <w:sz w:val="16"/>
        </w:rPr>
      </w:pPr>
      <w:r>
        <w:rPr>
          <w:b/>
          <w:sz w:val="16"/>
        </w:rPr>
        <w:t xml:space="preserve">                       </w:t>
      </w:r>
      <w:r w:rsidRPr="001203DD">
        <w:rPr>
          <w:sz w:val="16"/>
        </w:rPr>
        <w:t xml:space="preserve"> </w:t>
      </w:r>
      <w:r w:rsidR="008A5924" w:rsidRPr="001203DD">
        <w:rPr>
          <w:sz w:val="16"/>
        </w:rPr>
        <w:t>Fuente: Elaboración del Ministerio de Finanzas Públicas con datos del Banco de Guatemala</w:t>
      </w:r>
    </w:p>
    <w:p w14:paraId="3A923452" w14:textId="77777777" w:rsidR="008A5924" w:rsidRPr="00184700" w:rsidRDefault="008A5924" w:rsidP="008A5924">
      <w:pPr>
        <w:jc w:val="center"/>
        <w:rPr>
          <w:b/>
          <w:sz w:val="16"/>
        </w:rPr>
      </w:pPr>
    </w:p>
    <w:p w14:paraId="15EE12F2" w14:textId="77777777" w:rsidR="008A5924" w:rsidRPr="00A27E31" w:rsidRDefault="008A5924" w:rsidP="00DD6292">
      <w:pPr>
        <w:pStyle w:val="Ttulo2"/>
        <w:widowControl/>
        <w:numPr>
          <w:ilvl w:val="1"/>
          <w:numId w:val="5"/>
        </w:numPr>
        <w:spacing w:before="240" w:after="60"/>
        <w:ind w:left="993" w:hanging="633"/>
        <w:rPr>
          <w:sz w:val="24"/>
          <w:szCs w:val="24"/>
        </w:rPr>
      </w:pPr>
      <w:bookmarkStart w:id="12" w:name="_Toc16519884"/>
      <w:r w:rsidRPr="00A27E31">
        <w:rPr>
          <w:sz w:val="24"/>
          <w:szCs w:val="24"/>
        </w:rPr>
        <w:t>Desviaciones de los pronósticos fiscales</w:t>
      </w:r>
      <w:bookmarkEnd w:id="12"/>
    </w:p>
    <w:p w14:paraId="695989A1" w14:textId="77777777" w:rsidR="008A5924" w:rsidRPr="00184700" w:rsidRDefault="008A5924" w:rsidP="008A5924">
      <w:pPr>
        <w:pStyle w:val="Sinespaciado"/>
        <w:ind w:left="851"/>
        <w:jc w:val="both"/>
        <w:outlineLvl w:val="0"/>
        <w:rPr>
          <w:rFonts w:ascii="Times New Roman" w:hAnsi="Times New Roman"/>
          <w:b/>
          <w:szCs w:val="24"/>
          <w:lang w:val="es-MX"/>
        </w:rPr>
      </w:pPr>
    </w:p>
    <w:p w14:paraId="2B01DCC7" w14:textId="77777777" w:rsidR="008A5924" w:rsidRPr="00A27E31" w:rsidRDefault="008A5924" w:rsidP="008A5924">
      <w:pPr>
        <w:pStyle w:val="Sinespaciado"/>
        <w:jc w:val="both"/>
        <w:rPr>
          <w:rFonts w:ascii="Times New Roman" w:hAnsi="Times New Roman"/>
          <w:sz w:val="24"/>
          <w:szCs w:val="24"/>
          <w:lang w:val="es-MX"/>
        </w:rPr>
      </w:pPr>
      <w:r w:rsidRPr="00A27E31">
        <w:rPr>
          <w:rFonts w:ascii="Times New Roman" w:hAnsi="Times New Roman"/>
          <w:sz w:val="24"/>
          <w:szCs w:val="24"/>
          <w:lang w:val="es-MX"/>
        </w:rPr>
        <w:t>Las variables fiscales también han mostrado desviaciones entre lo observado y lo que se programa inicialmente en el presupuesto, estas desviaciones son originadas por factores exógenos como la actividad económica nacional e internacional, decisiones de política y el comportamiento de los agentes (entidades públicas, contribuyentes de impuestos, entidades internacionales, entre otros).</w:t>
      </w:r>
    </w:p>
    <w:p w14:paraId="017F785E" w14:textId="77777777" w:rsidR="008A5924" w:rsidRPr="00A27E31" w:rsidRDefault="008A5924" w:rsidP="008A5924">
      <w:pPr>
        <w:pStyle w:val="Sinespaciado"/>
        <w:jc w:val="both"/>
        <w:rPr>
          <w:rFonts w:ascii="Times New Roman" w:hAnsi="Times New Roman"/>
          <w:sz w:val="24"/>
          <w:szCs w:val="24"/>
          <w:lang w:val="es-MX"/>
        </w:rPr>
      </w:pPr>
    </w:p>
    <w:p w14:paraId="123958DC" w14:textId="77777777" w:rsidR="008A5924" w:rsidRPr="00A27E31" w:rsidRDefault="008A5924" w:rsidP="008A5924">
      <w:pPr>
        <w:pStyle w:val="Sinespaciado"/>
        <w:jc w:val="both"/>
        <w:rPr>
          <w:rFonts w:ascii="Times New Roman" w:hAnsi="Times New Roman"/>
          <w:sz w:val="24"/>
          <w:szCs w:val="24"/>
          <w:lang w:val="es-MX"/>
        </w:rPr>
      </w:pPr>
      <w:r w:rsidRPr="00A27E31">
        <w:rPr>
          <w:rFonts w:ascii="Times New Roman" w:hAnsi="Times New Roman"/>
          <w:sz w:val="24"/>
          <w:szCs w:val="24"/>
          <w:lang w:val="es-MX"/>
        </w:rPr>
        <w:t>En ese sentido, los ingresos fiscales que excluye los ingresos por endeudamiento ha mostrado desviaciones con respecto a lo previsto, en algunos años dicha desviación es mayor que en otros, por ejemplo en 2016, la brecha</w:t>
      </w:r>
      <w:r w:rsidR="001B1E4D" w:rsidRPr="00A27E31">
        <w:rPr>
          <w:rFonts w:ascii="Times New Roman" w:hAnsi="Times New Roman"/>
          <w:sz w:val="24"/>
          <w:szCs w:val="24"/>
          <w:lang w:val="es-MX"/>
        </w:rPr>
        <w:t xml:space="preserve"> de ingreso fue negativa en 1.2 por ciento</w:t>
      </w:r>
      <w:r w:rsidRPr="00A27E31">
        <w:rPr>
          <w:rFonts w:ascii="Times New Roman" w:hAnsi="Times New Roman"/>
          <w:sz w:val="24"/>
          <w:szCs w:val="24"/>
          <w:lang w:val="es-MX"/>
        </w:rPr>
        <w:t>, lo cual se debió a que la recaudación de impuestos estuvo por abajo de lo previsto inicialmente en el presupuesto de ese año (1.8%) afectado por los bajos precios del petróleo y una apreciación del tipo de cambio, lo que mitigó la caída en los ingresos fue el resultado del gran esfuerzo administrativo que realizó la SAT principalmente en la captación de adeudos tributarios en el segundo semestre.  En 2017, la brecha negativa de los ingresos fisca</w:t>
      </w:r>
      <w:r w:rsidR="001B1E4D" w:rsidRPr="00A27E31">
        <w:rPr>
          <w:rFonts w:ascii="Times New Roman" w:hAnsi="Times New Roman"/>
          <w:sz w:val="24"/>
          <w:szCs w:val="24"/>
          <w:lang w:val="es-MX"/>
        </w:rPr>
        <w:t>les se amplió, aumentando a 4.2 por ciento</w:t>
      </w:r>
      <w:r w:rsidRPr="00A27E31">
        <w:rPr>
          <w:rFonts w:ascii="Times New Roman" w:hAnsi="Times New Roman"/>
          <w:sz w:val="24"/>
          <w:szCs w:val="24"/>
          <w:lang w:val="es-MX"/>
        </w:rPr>
        <w:t xml:space="preserve"> en donde la recaudación tributaria que</w:t>
      </w:r>
      <w:r w:rsidR="001B1E4D" w:rsidRPr="00A27E31">
        <w:rPr>
          <w:rFonts w:ascii="Times New Roman" w:hAnsi="Times New Roman"/>
          <w:sz w:val="24"/>
          <w:szCs w:val="24"/>
          <w:lang w:val="es-MX"/>
        </w:rPr>
        <w:t>dó por debajo de la meta en 2.6 por ciento</w:t>
      </w:r>
      <w:r w:rsidRPr="00A27E31">
        <w:rPr>
          <w:rFonts w:ascii="Times New Roman" w:hAnsi="Times New Roman"/>
          <w:sz w:val="24"/>
          <w:szCs w:val="24"/>
          <w:lang w:val="es-MX"/>
        </w:rPr>
        <w:t>, en dicho año la caída se debió en parte a la desaceleración económica, la apreciación del tipo cambio y la reducción de las medidas administrativas realizadas por la SAT.   Por su parte, en 2018 se observa una aparente mejora en la recaudación, derivado que ahora la brecha fue positiva, debido principalmente a que en ese año el presupuesto no fue aprobado, por lo que quedó en vigencia el del año anterior.</w:t>
      </w:r>
    </w:p>
    <w:p w14:paraId="3D12B7EE" w14:textId="77777777" w:rsidR="008A5924" w:rsidRPr="00A27E31" w:rsidRDefault="008A5924" w:rsidP="008A5924">
      <w:pPr>
        <w:pStyle w:val="Sinespaciado"/>
        <w:jc w:val="both"/>
        <w:rPr>
          <w:rFonts w:ascii="Times New Roman" w:hAnsi="Times New Roman"/>
          <w:sz w:val="24"/>
          <w:szCs w:val="24"/>
          <w:lang w:val="es-MX"/>
        </w:rPr>
      </w:pPr>
    </w:p>
    <w:p w14:paraId="1226F9CC" w14:textId="77777777" w:rsidR="008A5924" w:rsidRPr="00A27E31" w:rsidRDefault="008A5924" w:rsidP="006B210A">
      <w:pPr>
        <w:pStyle w:val="Sinespaciado"/>
        <w:jc w:val="both"/>
        <w:rPr>
          <w:rFonts w:ascii="Times New Roman" w:hAnsi="Times New Roman"/>
          <w:sz w:val="24"/>
          <w:szCs w:val="24"/>
          <w:lang w:val="es-MX"/>
        </w:rPr>
      </w:pPr>
      <w:r w:rsidRPr="00A27E31">
        <w:rPr>
          <w:rFonts w:ascii="Times New Roman" w:hAnsi="Times New Roman"/>
          <w:sz w:val="24"/>
          <w:szCs w:val="24"/>
          <w:lang w:val="es-MX"/>
        </w:rPr>
        <w:t>Por el lado del gasto público, en 2016 contrariamente a lo observado en el ingreso mo</w:t>
      </w:r>
      <w:r w:rsidR="006F6E08" w:rsidRPr="00A27E31">
        <w:rPr>
          <w:rFonts w:ascii="Times New Roman" w:hAnsi="Times New Roman"/>
          <w:sz w:val="24"/>
          <w:szCs w:val="24"/>
          <w:lang w:val="es-MX"/>
        </w:rPr>
        <w:t>stró una brecha negativa de 8.2 por ciento</w:t>
      </w:r>
      <w:r w:rsidRPr="00A27E31">
        <w:rPr>
          <w:rFonts w:ascii="Times New Roman" w:hAnsi="Times New Roman"/>
          <w:sz w:val="24"/>
          <w:szCs w:val="24"/>
          <w:lang w:val="es-MX"/>
        </w:rPr>
        <w:t xml:space="preserve">, es decir, el gasto ejecutado estuvo por debajo de lo programado en el presupuesto, situación que se debió al clima de incertidumbre que reinaba en la administración pública por la crisis institucional que se dio en 2015, la aplicación de la reforma a Ley de Contrataciones del Estado y las </w:t>
      </w:r>
      <w:r w:rsidR="006B210A">
        <w:rPr>
          <w:rFonts w:ascii="Times New Roman" w:hAnsi="Times New Roman"/>
          <w:sz w:val="24"/>
          <w:szCs w:val="24"/>
          <w:lang w:val="es-MX"/>
        </w:rPr>
        <w:t>particularidades en las auditorí</w:t>
      </w:r>
      <w:r w:rsidRPr="00A27E31">
        <w:rPr>
          <w:rFonts w:ascii="Times New Roman" w:hAnsi="Times New Roman"/>
          <w:sz w:val="24"/>
          <w:szCs w:val="24"/>
          <w:lang w:val="es-MX"/>
        </w:rPr>
        <w:t xml:space="preserve">as por parte de la Contraloría General de Cuentas.  Lo anterior propició una reducción del déficit </w:t>
      </w:r>
      <w:r w:rsidR="001B1E4D" w:rsidRPr="00A27E31">
        <w:rPr>
          <w:rFonts w:ascii="Times New Roman" w:hAnsi="Times New Roman"/>
          <w:sz w:val="24"/>
          <w:szCs w:val="24"/>
          <w:lang w:val="es-MX"/>
        </w:rPr>
        <w:t>fiscal y quedó por d</w:t>
      </w:r>
      <w:r w:rsidR="006B210A">
        <w:rPr>
          <w:rFonts w:ascii="Times New Roman" w:hAnsi="Times New Roman"/>
          <w:sz w:val="24"/>
          <w:szCs w:val="24"/>
          <w:lang w:val="es-MX"/>
        </w:rPr>
        <w:t xml:space="preserve">ebajo en </w:t>
      </w:r>
      <w:r w:rsidR="001B1E4D" w:rsidRPr="00A27E31">
        <w:rPr>
          <w:rFonts w:ascii="Times New Roman" w:hAnsi="Times New Roman"/>
          <w:sz w:val="24"/>
          <w:szCs w:val="24"/>
          <w:lang w:val="es-MX"/>
        </w:rPr>
        <w:t>47 por ciento</w:t>
      </w:r>
      <w:r w:rsidRPr="00A27E31">
        <w:rPr>
          <w:rFonts w:ascii="Times New Roman" w:hAnsi="Times New Roman"/>
          <w:sz w:val="24"/>
          <w:szCs w:val="24"/>
          <w:lang w:val="es-MX"/>
        </w:rPr>
        <w:t xml:space="preserve"> de lo previsto originalmente en el presupuesto.  Asimismo, en 2017, la ejecución volvió a mostrar</w:t>
      </w:r>
      <w:r w:rsidR="001B1E4D" w:rsidRPr="00A27E31">
        <w:rPr>
          <w:rFonts w:ascii="Times New Roman" w:hAnsi="Times New Roman"/>
          <w:sz w:val="24"/>
          <w:szCs w:val="24"/>
          <w:lang w:val="es-MX"/>
        </w:rPr>
        <w:t xml:space="preserve"> una desviación negativa de 8.5 por ciento</w:t>
      </w:r>
      <w:r w:rsidRPr="00A27E31">
        <w:rPr>
          <w:rFonts w:ascii="Times New Roman" w:hAnsi="Times New Roman"/>
          <w:sz w:val="24"/>
          <w:szCs w:val="24"/>
          <w:lang w:val="es-MX"/>
        </w:rPr>
        <w:t xml:space="preserve"> con respecto lo program</w:t>
      </w:r>
      <w:r w:rsidR="006B210A">
        <w:rPr>
          <w:rFonts w:ascii="Times New Roman" w:hAnsi="Times New Roman"/>
          <w:sz w:val="24"/>
          <w:szCs w:val="24"/>
          <w:lang w:val="es-MX"/>
        </w:rPr>
        <w:t>ado, debido a que prevalecían aú</w:t>
      </w:r>
      <w:r w:rsidRPr="00A27E31">
        <w:rPr>
          <w:rFonts w:ascii="Times New Roman" w:hAnsi="Times New Roman"/>
          <w:sz w:val="24"/>
          <w:szCs w:val="24"/>
          <w:lang w:val="es-MX"/>
        </w:rPr>
        <w:t>n parte de los problemas que originaron la baja ejecución del año anterior, lo cual implicó nuevamente un déficit fiscal más bajo con respe</w:t>
      </w:r>
      <w:r w:rsidR="006B210A">
        <w:rPr>
          <w:rFonts w:ascii="Times New Roman" w:hAnsi="Times New Roman"/>
          <w:sz w:val="24"/>
          <w:szCs w:val="24"/>
          <w:lang w:val="es-MX"/>
        </w:rPr>
        <w:t>c</w:t>
      </w:r>
      <w:r w:rsidRPr="00A27E31">
        <w:rPr>
          <w:rFonts w:ascii="Times New Roman" w:hAnsi="Times New Roman"/>
          <w:sz w:val="24"/>
          <w:szCs w:val="24"/>
          <w:lang w:val="es-MX"/>
        </w:rPr>
        <w:t xml:space="preserve">to a lo planteado en el presupuesto.  No obstante, en 2018 la ejecución aumentó y la </w:t>
      </w:r>
      <w:r w:rsidR="001B1E4D" w:rsidRPr="00A27E31">
        <w:rPr>
          <w:rFonts w:ascii="Times New Roman" w:hAnsi="Times New Roman"/>
          <w:sz w:val="24"/>
          <w:szCs w:val="24"/>
          <w:lang w:val="es-MX"/>
        </w:rPr>
        <w:t>brecha negativa se redujo a 4.1 por ciento</w:t>
      </w:r>
      <w:r w:rsidRPr="00A27E31">
        <w:rPr>
          <w:rFonts w:ascii="Times New Roman" w:hAnsi="Times New Roman"/>
          <w:sz w:val="24"/>
          <w:szCs w:val="24"/>
          <w:lang w:val="es-MX"/>
        </w:rPr>
        <w:t xml:space="preserve">, sin embargo, en dicho año, como se indicó anteriormente, el presupuesto no fue aprobado.  De esa cuenta, la brecha en el déficit fiscal entre programado y ejecutado se redujo. </w:t>
      </w:r>
    </w:p>
    <w:p w14:paraId="7C49B81C" w14:textId="77777777" w:rsidR="008A5924" w:rsidRPr="00184700" w:rsidRDefault="008A5924" w:rsidP="008A5924">
      <w:pPr>
        <w:pStyle w:val="Sinespaciado"/>
        <w:jc w:val="both"/>
        <w:rPr>
          <w:rFonts w:ascii="Times New Roman" w:hAnsi="Times New Roman"/>
          <w:szCs w:val="24"/>
          <w:lang w:val="es-MX"/>
        </w:rPr>
      </w:pPr>
    </w:p>
    <w:p w14:paraId="3329026F" w14:textId="69052FFE" w:rsidR="008A5924" w:rsidRPr="00A27E31" w:rsidRDefault="008A5924" w:rsidP="008A5924">
      <w:pPr>
        <w:pStyle w:val="Descripcin"/>
        <w:keepNext/>
        <w:rPr>
          <w:b w:val="0"/>
          <w:color w:val="000000" w:themeColor="text1"/>
        </w:rPr>
      </w:pPr>
      <w:bookmarkStart w:id="13" w:name="_Toc16242969"/>
      <w:r w:rsidRPr="00A27E31">
        <w:rPr>
          <w:color w:val="000000" w:themeColor="text1"/>
        </w:rPr>
        <w:t xml:space="preserve">Gráfico  </w:t>
      </w:r>
      <w:r w:rsidRPr="00A27E31">
        <w:rPr>
          <w:color w:val="000000" w:themeColor="text1"/>
        </w:rPr>
        <w:fldChar w:fldCharType="begin"/>
      </w:r>
      <w:r w:rsidRPr="00A27E31">
        <w:rPr>
          <w:color w:val="000000" w:themeColor="text1"/>
        </w:rPr>
        <w:instrText xml:space="preserve"> SEQ Gráfico_ \* ARABIC </w:instrText>
      </w:r>
      <w:r w:rsidRPr="00A27E31">
        <w:rPr>
          <w:color w:val="000000" w:themeColor="text1"/>
        </w:rPr>
        <w:fldChar w:fldCharType="separate"/>
      </w:r>
      <w:r w:rsidR="004B2A60">
        <w:rPr>
          <w:noProof/>
          <w:color w:val="000000" w:themeColor="text1"/>
        </w:rPr>
        <w:t>6</w:t>
      </w:r>
      <w:r w:rsidRPr="00A27E31">
        <w:rPr>
          <w:noProof/>
          <w:color w:val="000000" w:themeColor="text1"/>
        </w:rPr>
        <w:fldChar w:fldCharType="end"/>
      </w:r>
      <w:r w:rsidRPr="00A27E31">
        <w:rPr>
          <w:color w:val="000000" w:themeColor="text1"/>
        </w:rPr>
        <w:t>: Desviaciones de los escenarios fiscales</w:t>
      </w:r>
      <w:bookmarkEnd w:id="13"/>
      <w:r w:rsidRPr="00A27E31">
        <w:rPr>
          <w:color w:val="000000" w:themeColor="text1"/>
        </w:rPr>
        <w:t xml:space="preserve"> </w:t>
      </w:r>
    </w:p>
    <w:p w14:paraId="474F2455" w14:textId="77777777" w:rsidR="008A5924" w:rsidRDefault="008A5924" w:rsidP="008A5924">
      <w:pPr>
        <w:pStyle w:val="Sinespaciado"/>
        <w:keepNext/>
        <w:jc w:val="center"/>
        <w:rPr>
          <w:rFonts w:ascii="Times New Roman" w:hAnsi="Times New Roman"/>
          <w:sz w:val="18"/>
        </w:rPr>
      </w:pPr>
      <w:r w:rsidRPr="00184700">
        <w:rPr>
          <w:rFonts w:ascii="Times New Roman" w:hAnsi="Times New Roman"/>
          <w:sz w:val="18"/>
        </w:rPr>
        <w:t>Puntos porcentuales</w:t>
      </w:r>
    </w:p>
    <w:p w14:paraId="423199B6" w14:textId="77777777" w:rsidR="008A700C" w:rsidRPr="00184700" w:rsidRDefault="008A700C" w:rsidP="008A5924">
      <w:pPr>
        <w:pStyle w:val="Sinespaciado"/>
        <w:keepNext/>
        <w:jc w:val="center"/>
        <w:rPr>
          <w:rFonts w:ascii="Times New Roman" w:hAnsi="Times New Roman"/>
        </w:rPr>
      </w:pPr>
    </w:p>
    <w:p w14:paraId="03E2A3E0" w14:textId="77777777" w:rsidR="008A5924" w:rsidRPr="00184700" w:rsidRDefault="008A5924" w:rsidP="000C21A6">
      <w:pPr>
        <w:pStyle w:val="Sinespaciado"/>
        <w:jc w:val="center"/>
        <w:rPr>
          <w:rFonts w:ascii="Times New Roman" w:hAnsi="Times New Roman"/>
          <w:szCs w:val="24"/>
          <w:lang w:val="es-MX"/>
        </w:rPr>
      </w:pPr>
      <w:r w:rsidRPr="00184700">
        <w:rPr>
          <w:noProof/>
          <w:lang w:val="es-GT" w:eastAsia="es-GT"/>
        </w:rPr>
        <w:drawing>
          <wp:inline distT="0" distB="0" distL="0" distR="0" wp14:anchorId="7129725A" wp14:editId="5E14C960">
            <wp:extent cx="5611854" cy="2406701"/>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0345" cy="2410342"/>
                    </a:xfrm>
                    <a:prstGeom prst="rect">
                      <a:avLst/>
                    </a:prstGeom>
                    <a:noFill/>
                    <a:ln>
                      <a:noFill/>
                    </a:ln>
                  </pic:spPr>
                </pic:pic>
              </a:graphicData>
            </a:graphic>
          </wp:inline>
        </w:drawing>
      </w:r>
    </w:p>
    <w:p w14:paraId="28B58A2A" w14:textId="77777777" w:rsidR="008A5924" w:rsidRPr="001203DD" w:rsidRDefault="000C21A6" w:rsidP="008A5924">
      <w:pPr>
        <w:jc w:val="both"/>
        <w:rPr>
          <w:sz w:val="16"/>
          <w:lang w:val="es-MX"/>
        </w:rPr>
      </w:pPr>
      <w:r>
        <w:rPr>
          <w:b/>
          <w:sz w:val="16"/>
          <w:lang w:val="es-MX"/>
        </w:rPr>
        <w:t xml:space="preserve">                 </w:t>
      </w:r>
      <w:r w:rsidRPr="001203DD">
        <w:rPr>
          <w:sz w:val="16"/>
          <w:lang w:val="es-MX"/>
        </w:rPr>
        <w:t xml:space="preserve"> </w:t>
      </w:r>
      <w:r w:rsidR="008A5924" w:rsidRPr="00EE0422">
        <w:rPr>
          <w:b/>
          <w:sz w:val="16"/>
          <w:lang w:val="es-MX"/>
        </w:rPr>
        <w:t>Fuente:</w:t>
      </w:r>
      <w:r w:rsidR="008A5924" w:rsidRPr="001203DD">
        <w:rPr>
          <w:sz w:val="16"/>
          <w:lang w:val="es-MX"/>
        </w:rPr>
        <w:t xml:space="preserve"> Ministerio de Finanzas Públicas.</w:t>
      </w:r>
    </w:p>
    <w:p w14:paraId="5782332A" w14:textId="77777777" w:rsidR="008A5924" w:rsidRPr="00184700" w:rsidRDefault="008A5924" w:rsidP="008A5924">
      <w:pPr>
        <w:jc w:val="both"/>
        <w:rPr>
          <w:b/>
        </w:rPr>
      </w:pPr>
    </w:p>
    <w:p w14:paraId="38F1BE28" w14:textId="77777777" w:rsidR="008A5924" w:rsidRPr="00A27E31" w:rsidRDefault="008A5924" w:rsidP="00DD6292">
      <w:pPr>
        <w:pStyle w:val="Ttulo2"/>
        <w:widowControl/>
        <w:numPr>
          <w:ilvl w:val="1"/>
          <w:numId w:val="5"/>
        </w:numPr>
        <w:spacing w:before="240" w:after="60"/>
        <w:ind w:left="993" w:hanging="633"/>
        <w:rPr>
          <w:sz w:val="24"/>
          <w:szCs w:val="24"/>
        </w:rPr>
      </w:pPr>
      <w:bookmarkStart w:id="14" w:name="_Toc16519885"/>
      <w:r w:rsidRPr="00A27E31">
        <w:rPr>
          <w:sz w:val="24"/>
          <w:szCs w:val="24"/>
        </w:rPr>
        <w:t>Riesgos y Desafíos para Guatemala en el medio plazo desde la óptica del FMI</w:t>
      </w:r>
      <w:bookmarkEnd w:id="14"/>
      <w:r w:rsidRPr="00A27E31">
        <w:rPr>
          <w:sz w:val="24"/>
          <w:szCs w:val="24"/>
        </w:rPr>
        <w:t xml:space="preserve"> </w:t>
      </w:r>
    </w:p>
    <w:p w14:paraId="2D18CD96" w14:textId="77777777" w:rsidR="008A5924" w:rsidRPr="00184700" w:rsidRDefault="008A5924" w:rsidP="008A5924">
      <w:pPr>
        <w:rPr>
          <w:lang w:val="es-MX"/>
        </w:rPr>
      </w:pPr>
    </w:p>
    <w:p w14:paraId="2B93D127" w14:textId="01572156" w:rsidR="008A5924" w:rsidRPr="00A27E31" w:rsidRDefault="008A5924" w:rsidP="008A5924">
      <w:pPr>
        <w:jc w:val="both"/>
        <w:rPr>
          <w:rFonts w:ascii="Helvetica" w:hAnsi="Helvetica"/>
          <w:sz w:val="24"/>
          <w:szCs w:val="24"/>
          <w:shd w:val="clear" w:color="auto" w:fill="FFFFFF"/>
        </w:rPr>
      </w:pPr>
      <w:r w:rsidRPr="00A27E31">
        <w:rPr>
          <w:sz w:val="24"/>
          <w:szCs w:val="24"/>
        </w:rPr>
        <w:t xml:space="preserve">Uno de los principales riesgos de la economía del país es la demora en la adopción de las reformas del clima de negocios y la falta de certeza jurídica, así como el debilitamiento en la lucha contra la corrupción, lo que podría socavar las perspectivas de inversión, además dada la escalada de la guerra comercial iniciada por los EEUU contra sus principales proveedores (particularmente China) factor que puede afectar el comercio mundial y, con él, el desempeño exportador.  A esto se suma en el presente año las políticas </w:t>
      </w:r>
      <w:r w:rsidR="006812CD" w:rsidRPr="00A27E31">
        <w:rPr>
          <w:sz w:val="24"/>
          <w:szCs w:val="24"/>
        </w:rPr>
        <w:t>anti migratorias</w:t>
      </w:r>
      <w:r w:rsidRPr="00A27E31">
        <w:rPr>
          <w:sz w:val="24"/>
          <w:szCs w:val="24"/>
        </w:rPr>
        <w:t xml:space="preserve"> del gobierno estadounidense, con el consecuente impacto en los flujos de remesas familiares sobre el cual descansa gran parte del consumo, inversión y ahorro de los guatemaltecos. </w:t>
      </w:r>
      <w:r w:rsidRPr="00A27E31">
        <w:rPr>
          <w:rFonts w:ascii="Helvetica" w:hAnsi="Helvetica"/>
          <w:sz w:val="24"/>
          <w:szCs w:val="24"/>
          <w:shd w:val="clear" w:color="auto" w:fill="FFFFFF"/>
        </w:rPr>
        <w:t> </w:t>
      </w:r>
    </w:p>
    <w:p w14:paraId="60CBA0F4" w14:textId="77777777" w:rsidR="008A5924" w:rsidRPr="00A27E31" w:rsidRDefault="008A5924" w:rsidP="008A5924">
      <w:pPr>
        <w:jc w:val="both"/>
        <w:rPr>
          <w:sz w:val="24"/>
          <w:szCs w:val="24"/>
        </w:rPr>
      </w:pPr>
    </w:p>
    <w:p w14:paraId="7EEA9E08" w14:textId="77777777" w:rsidR="008A5924" w:rsidRPr="00A27E31" w:rsidRDefault="008A5924" w:rsidP="008A5924">
      <w:pPr>
        <w:jc w:val="both"/>
        <w:rPr>
          <w:sz w:val="24"/>
          <w:szCs w:val="24"/>
        </w:rPr>
      </w:pPr>
      <w:r w:rsidRPr="00A27E31">
        <w:rPr>
          <w:sz w:val="24"/>
          <w:szCs w:val="24"/>
        </w:rPr>
        <w:t xml:space="preserve">Es importante considerar que el Fondo Monetario Internacional reconoce que existe espacio para tomar medidas que aceleren el crecimiento económico del país. Por el lado fiscal, la expansión del gasto (incluyendo infraestructura) prevista en el presupuesto del Estado, es visto como una oportunidad para la recuperación económica (lo que convierte a Guatemala en un caso excepcional pues el FMI suele, al contrario, recetar austeridad a los gobiernos), mientras que se proyecta que la inflación se </w:t>
      </w:r>
      <w:r w:rsidR="001B1E4D" w:rsidRPr="00A27E31">
        <w:rPr>
          <w:sz w:val="24"/>
          <w:szCs w:val="24"/>
        </w:rPr>
        <w:t>mantenga en el rango meta del 4</w:t>
      </w:r>
      <w:r w:rsidRPr="00A27E31">
        <w:rPr>
          <w:sz w:val="24"/>
          <w:szCs w:val="24"/>
        </w:rPr>
        <w:t xml:space="preserve"> ± 1</w:t>
      </w:r>
      <w:r w:rsidR="001B1E4D" w:rsidRPr="00A27E31">
        <w:rPr>
          <w:sz w:val="24"/>
          <w:szCs w:val="24"/>
        </w:rPr>
        <w:t xml:space="preserve"> por ciento</w:t>
      </w:r>
      <w:r w:rsidRPr="00A27E31">
        <w:rPr>
          <w:sz w:val="24"/>
          <w:szCs w:val="24"/>
        </w:rPr>
        <w:t>. La balanza de cuenta corrient</w:t>
      </w:r>
      <w:r w:rsidR="001B1E4D" w:rsidRPr="00A27E31">
        <w:rPr>
          <w:sz w:val="24"/>
          <w:szCs w:val="24"/>
        </w:rPr>
        <w:t>e se deterioraría hasta el -1.5 por ciento</w:t>
      </w:r>
      <w:r w:rsidRPr="00A27E31">
        <w:rPr>
          <w:sz w:val="24"/>
          <w:szCs w:val="24"/>
        </w:rPr>
        <w:t xml:space="preserve"> del PIB hacia 2024, si bien las reservas internacionales se mantendrían en niveles aceptables.</w:t>
      </w:r>
    </w:p>
    <w:p w14:paraId="09BDA09B" w14:textId="77777777" w:rsidR="008A5924" w:rsidRPr="00A27E31" w:rsidRDefault="008A5924" w:rsidP="008A5924">
      <w:pPr>
        <w:jc w:val="both"/>
        <w:rPr>
          <w:sz w:val="24"/>
          <w:szCs w:val="24"/>
        </w:rPr>
      </w:pPr>
    </w:p>
    <w:p w14:paraId="4AC70BFC" w14:textId="77777777" w:rsidR="008A5924" w:rsidRPr="00A27E31" w:rsidRDefault="008A5924" w:rsidP="008A5924">
      <w:pPr>
        <w:jc w:val="both"/>
        <w:rPr>
          <w:sz w:val="24"/>
          <w:szCs w:val="24"/>
        </w:rPr>
      </w:pPr>
      <w:r w:rsidRPr="00A27E31">
        <w:rPr>
          <w:sz w:val="24"/>
          <w:szCs w:val="24"/>
        </w:rPr>
        <w:t>Un mayor y más inclusivo crecimiento es clave para mejorar significativamente el nivel de vida de los guatemaltecos, en vista del bono demográfico (considerado como el período durante el cual un país disfruta de una población de adultos en edad de trabajar relativamente grande) esperado en las próximas dos décadas, elevar el crecimiento potencial es una prioridad para lograr el éxito económico y la cohesión social. Esto requiere una amplia gama de reformas del sector público y del clima de negocios.</w:t>
      </w:r>
    </w:p>
    <w:p w14:paraId="5123ACCB" w14:textId="77777777" w:rsidR="008A5924" w:rsidRDefault="008A5924" w:rsidP="008A5924">
      <w:pPr>
        <w:jc w:val="both"/>
        <w:rPr>
          <w:sz w:val="24"/>
          <w:szCs w:val="24"/>
        </w:rPr>
      </w:pPr>
    </w:p>
    <w:p w14:paraId="60A8D750" w14:textId="77777777" w:rsidR="00383BB0" w:rsidRDefault="00383BB0" w:rsidP="008A5924">
      <w:pPr>
        <w:jc w:val="both"/>
        <w:rPr>
          <w:sz w:val="24"/>
          <w:szCs w:val="24"/>
        </w:rPr>
      </w:pPr>
    </w:p>
    <w:p w14:paraId="485903A9" w14:textId="77777777" w:rsidR="00383BB0" w:rsidRDefault="00383BB0" w:rsidP="008A5924">
      <w:pPr>
        <w:jc w:val="both"/>
        <w:rPr>
          <w:sz w:val="24"/>
          <w:szCs w:val="24"/>
        </w:rPr>
      </w:pPr>
    </w:p>
    <w:p w14:paraId="19EE3DF1" w14:textId="77777777" w:rsidR="0089164B" w:rsidRPr="00A27E31" w:rsidRDefault="0089164B" w:rsidP="008A5924">
      <w:pPr>
        <w:jc w:val="both"/>
        <w:rPr>
          <w:sz w:val="24"/>
          <w:szCs w:val="24"/>
        </w:rPr>
      </w:pPr>
    </w:p>
    <w:p w14:paraId="63CB0E55" w14:textId="77777777" w:rsidR="008A5924" w:rsidRPr="00A27E31" w:rsidRDefault="008A5924" w:rsidP="008A5924">
      <w:pPr>
        <w:jc w:val="both"/>
        <w:rPr>
          <w:sz w:val="24"/>
          <w:szCs w:val="24"/>
        </w:rPr>
      </w:pPr>
      <w:r w:rsidRPr="00A27E31">
        <w:rPr>
          <w:sz w:val="24"/>
          <w:szCs w:val="24"/>
        </w:rPr>
        <w:t>El principal desafío a mediano plazo para Guatemala continúa s</w:t>
      </w:r>
      <w:r w:rsidR="005D1695" w:rsidRPr="00A27E31">
        <w:rPr>
          <w:sz w:val="24"/>
          <w:szCs w:val="24"/>
        </w:rPr>
        <w:t>iendo el desarrollo económico y</w:t>
      </w:r>
      <w:r w:rsidRPr="00A27E31">
        <w:rPr>
          <w:sz w:val="24"/>
          <w:szCs w:val="24"/>
        </w:rPr>
        <w:t xml:space="preserve"> la reducción de la pobreza como las prioridades de la política pública, a través de acelerar el crecimiento de la producción, aumentar la productividad sistémica y mejorar la cohesión social. La generación de un consenso sobre la agenda dinamizadora del clima de inversión y sobre reformas de fondo del sector público promovería el crecimiento del sector privado y la consecución de los Objetivos de Desarrollo Sostenible -ODS-</w:t>
      </w:r>
      <w:r w:rsidRPr="00A27E31">
        <w:rPr>
          <w:i/>
          <w:iCs/>
          <w:sz w:val="24"/>
          <w:szCs w:val="24"/>
        </w:rPr>
        <w:t>.</w:t>
      </w:r>
      <w:r w:rsidRPr="00A27E31">
        <w:rPr>
          <w:sz w:val="24"/>
          <w:szCs w:val="24"/>
        </w:rPr>
        <w:t xml:space="preserve"> Para ello, el FMI vuelve a insistir en la necesidad de reformar las instituciones del Estado y mejorar el enfoque, cantidad y calidad de los servicios públicos de salud, educación e infraestructura vial y sanitaria, lo cual pasa por una reforma fiscal integral que logre mejorar la ejecución y provisión de tales servicios públicos esenciales. </w:t>
      </w:r>
    </w:p>
    <w:p w14:paraId="7FF1AD2A" w14:textId="77777777" w:rsidR="008A5924" w:rsidRPr="00A27E31" w:rsidRDefault="008A5924" w:rsidP="008A5924">
      <w:pPr>
        <w:jc w:val="both"/>
        <w:rPr>
          <w:sz w:val="24"/>
          <w:szCs w:val="24"/>
        </w:rPr>
      </w:pPr>
    </w:p>
    <w:p w14:paraId="758D1FBD" w14:textId="77777777" w:rsidR="008A5924" w:rsidRPr="00A27E31" w:rsidRDefault="008A5924" w:rsidP="008A5924">
      <w:pPr>
        <w:jc w:val="both"/>
        <w:rPr>
          <w:sz w:val="24"/>
          <w:szCs w:val="24"/>
        </w:rPr>
      </w:pPr>
      <w:r w:rsidRPr="00A27E31">
        <w:rPr>
          <w:sz w:val="24"/>
          <w:szCs w:val="24"/>
        </w:rPr>
        <w:t>Por lo tanto, aunque los riesgos internos y externos están allí presentes, las autoridades fiscales y monetarias del país tienen en sus manos la posibilidad de tomar medidas prontas que ayuden a reactivar la economía y mejorar el bienestar de la sociedad.</w:t>
      </w:r>
    </w:p>
    <w:p w14:paraId="42077CB0" w14:textId="77777777" w:rsidR="008A5924" w:rsidRPr="00184700" w:rsidRDefault="008A5924" w:rsidP="008A5924">
      <w:pPr>
        <w:rPr>
          <w:rFonts w:ascii="Helvetica" w:hAnsi="Helvetica"/>
          <w:shd w:val="clear" w:color="auto" w:fill="FFFFFF"/>
        </w:rPr>
      </w:pPr>
    </w:p>
    <w:p w14:paraId="34473C7D" w14:textId="77777777" w:rsidR="008A5924" w:rsidRPr="00A27E31" w:rsidRDefault="008A5924" w:rsidP="00DD6292">
      <w:pPr>
        <w:pStyle w:val="Ttulo2"/>
        <w:widowControl/>
        <w:numPr>
          <w:ilvl w:val="1"/>
          <w:numId w:val="5"/>
        </w:numPr>
        <w:spacing w:before="240" w:after="60"/>
        <w:ind w:left="993" w:hanging="633"/>
        <w:rPr>
          <w:sz w:val="24"/>
          <w:szCs w:val="24"/>
        </w:rPr>
      </w:pPr>
      <w:bookmarkStart w:id="15" w:name="_Toc16519886"/>
      <w:r w:rsidRPr="00A27E31">
        <w:rPr>
          <w:sz w:val="24"/>
          <w:szCs w:val="24"/>
        </w:rPr>
        <w:t>Riesgos Fiscales de la Deuda Pública</w:t>
      </w:r>
      <w:bookmarkStart w:id="16" w:name="_Toc509214747"/>
      <w:bookmarkStart w:id="17" w:name="_Toc523294543"/>
      <w:bookmarkEnd w:id="15"/>
    </w:p>
    <w:p w14:paraId="2BE84501" w14:textId="77777777" w:rsidR="008A5924" w:rsidRPr="00184700" w:rsidRDefault="008A5924" w:rsidP="00DD6292">
      <w:pPr>
        <w:pStyle w:val="Ttulo3"/>
        <w:widowControl/>
        <w:numPr>
          <w:ilvl w:val="2"/>
          <w:numId w:val="5"/>
        </w:numPr>
        <w:spacing w:before="240" w:after="60"/>
        <w:ind w:left="1701" w:hanging="981"/>
        <w:jc w:val="both"/>
      </w:pPr>
      <w:bookmarkStart w:id="18" w:name="_Toc16519887"/>
      <w:r w:rsidRPr="00A27E31">
        <w:rPr>
          <w:sz w:val="24"/>
          <w:szCs w:val="24"/>
        </w:rPr>
        <w:t>Perspectivas del endeudamiento</w:t>
      </w:r>
      <w:bookmarkEnd w:id="16"/>
      <w:bookmarkEnd w:id="17"/>
      <w:bookmarkEnd w:id="18"/>
      <w:r w:rsidRPr="00184700">
        <w:t xml:space="preserve"> </w:t>
      </w:r>
    </w:p>
    <w:p w14:paraId="08ABF6AE" w14:textId="77777777" w:rsidR="008A5924" w:rsidRPr="00184700" w:rsidRDefault="008A5924" w:rsidP="008A5924">
      <w:pPr>
        <w:pStyle w:val="Sinespaciado"/>
        <w:jc w:val="both"/>
        <w:rPr>
          <w:rFonts w:ascii="Times New Roman" w:hAnsi="Times New Roman"/>
          <w:lang w:val="es-MX"/>
        </w:rPr>
      </w:pPr>
    </w:p>
    <w:p w14:paraId="48233758" w14:textId="77777777" w:rsidR="008A5924" w:rsidRPr="00A27E31" w:rsidRDefault="008A5924" w:rsidP="008A5924">
      <w:pPr>
        <w:pStyle w:val="Sinespaciado"/>
        <w:jc w:val="both"/>
        <w:rPr>
          <w:rFonts w:ascii="Times New Roman" w:hAnsi="Times New Roman"/>
          <w:sz w:val="24"/>
          <w:szCs w:val="24"/>
          <w:lang w:val="es-MX"/>
        </w:rPr>
      </w:pPr>
      <w:r w:rsidRPr="00A27E31">
        <w:rPr>
          <w:rFonts w:ascii="Times New Roman" w:hAnsi="Times New Roman"/>
          <w:sz w:val="24"/>
          <w:szCs w:val="24"/>
          <w:lang w:val="es-MX"/>
        </w:rPr>
        <w:t xml:space="preserve">La política fiscal en más de dos décadas ha contribuido a la estabilidad macroeconómica del país, esto se refleja en los resultados fiscales obtenidos en la administración central, los cuales arrojan déficit moderados, con algunas excepciones provocadas por eventos exógenos de gran magnitud como la crisis económica internacional y la reconstrucción derivada de algunos desastres naturales, que inmediatamente se controlan debido a que el gasto que crea el impulso es transitorio, lo cual ha propiciado que la deuda pública del país sea baja, estable y sea sostenible. Además, el manejo adecuado del endeudamiento ha permitido extender los plazos de colocación de deuda principalmente en el mercado interno (hasta 20 años) y reducido significativamente el costo financiero de la deuda (alrededor de 7%).  </w:t>
      </w:r>
    </w:p>
    <w:p w14:paraId="0A0F0569" w14:textId="77777777" w:rsidR="008A5924" w:rsidRPr="00A27E31" w:rsidRDefault="008A5924" w:rsidP="008A5924">
      <w:pPr>
        <w:pStyle w:val="Sinespaciado"/>
        <w:jc w:val="both"/>
        <w:rPr>
          <w:rFonts w:ascii="Times New Roman" w:hAnsi="Times New Roman"/>
          <w:sz w:val="24"/>
          <w:szCs w:val="24"/>
          <w:lang w:val="es-MX"/>
        </w:rPr>
      </w:pPr>
    </w:p>
    <w:p w14:paraId="7D4F49D5" w14:textId="77777777" w:rsidR="008A5924" w:rsidRPr="00A27E31" w:rsidRDefault="008A5924" w:rsidP="008A5924">
      <w:pPr>
        <w:pStyle w:val="Sinespaciado"/>
        <w:jc w:val="both"/>
        <w:rPr>
          <w:rFonts w:ascii="Times New Roman" w:hAnsi="Times New Roman"/>
          <w:sz w:val="24"/>
          <w:szCs w:val="24"/>
          <w:lang w:val="es-MX"/>
        </w:rPr>
      </w:pPr>
      <w:r w:rsidRPr="00A27E31">
        <w:rPr>
          <w:rFonts w:ascii="Times New Roman" w:hAnsi="Times New Roman"/>
          <w:sz w:val="24"/>
          <w:szCs w:val="24"/>
          <w:lang w:val="es-MX"/>
        </w:rPr>
        <w:t>Además del manejo fiscal prudente, la política macroeconómica ha sido adecuada y ha permitido también un tipo de cambio bastante estable con leves periodos de alta volatilidad que inmediatamente recuperan su</w:t>
      </w:r>
      <w:r w:rsidR="00817B0C">
        <w:rPr>
          <w:rFonts w:ascii="Times New Roman" w:hAnsi="Times New Roman"/>
          <w:sz w:val="24"/>
          <w:szCs w:val="24"/>
          <w:lang w:val="es-MX"/>
        </w:rPr>
        <w:t xml:space="preserve"> nivel de promedio histórico. </w:t>
      </w:r>
      <w:r w:rsidRPr="00A27E31">
        <w:rPr>
          <w:rFonts w:ascii="Times New Roman" w:hAnsi="Times New Roman"/>
          <w:sz w:val="24"/>
          <w:szCs w:val="24"/>
          <w:lang w:val="es-MX"/>
        </w:rPr>
        <w:t>Es por ello que las perturbaciones transitorias en la parte fiscal y las que se dan en otros sectores de la economía no han incidido negativamente en el nivel de la deuda pública ni en su trayectoria de corto, mediano y largo plazos.</w:t>
      </w:r>
    </w:p>
    <w:p w14:paraId="65D07586" w14:textId="77777777" w:rsidR="008A5924" w:rsidRPr="00A27E31" w:rsidRDefault="008A5924" w:rsidP="008A5924">
      <w:pPr>
        <w:pStyle w:val="Sinespaciado"/>
        <w:jc w:val="both"/>
        <w:rPr>
          <w:rFonts w:ascii="Times New Roman" w:hAnsi="Times New Roman"/>
          <w:sz w:val="24"/>
          <w:szCs w:val="24"/>
          <w:lang w:val="es-MX"/>
        </w:rPr>
      </w:pPr>
    </w:p>
    <w:p w14:paraId="09398D58" w14:textId="77777777" w:rsidR="008A5924" w:rsidRPr="00A27E31" w:rsidRDefault="008A5924" w:rsidP="008A5924">
      <w:pPr>
        <w:pStyle w:val="Sinespaciado"/>
        <w:jc w:val="both"/>
        <w:rPr>
          <w:rFonts w:ascii="Times New Roman" w:hAnsi="Times New Roman"/>
          <w:sz w:val="24"/>
          <w:szCs w:val="24"/>
          <w:lang w:val="es-MX"/>
        </w:rPr>
      </w:pPr>
      <w:r w:rsidRPr="00A27E31">
        <w:rPr>
          <w:rFonts w:ascii="Times New Roman" w:hAnsi="Times New Roman"/>
          <w:sz w:val="24"/>
          <w:szCs w:val="24"/>
          <w:lang w:val="es-MX"/>
        </w:rPr>
        <w:t>Tomando en cuenta lo anterior, y considerando para el efecto, los indicadores de sostenibilidad de la deuda pública, se construyó una serie histórica y la proyección de indicadores de solvencia de la deuda pública, que tratan de mostrar la capacidad de repago de la deuda que tiene un país considerando la producción nacional medida a través del PIB y los ingresos fiscales que tiene el gobierno como la fuente principal</w:t>
      </w:r>
      <w:r w:rsidR="00817B0C">
        <w:rPr>
          <w:rFonts w:ascii="Times New Roman" w:hAnsi="Times New Roman"/>
          <w:sz w:val="24"/>
          <w:szCs w:val="24"/>
          <w:lang w:val="es-MX"/>
        </w:rPr>
        <w:t xml:space="preserve"> para atender sus compromisos. </w:t>
      </w:r>
      <w:r w:rsidRPr="00A27E31">
        <w:rPr>
          <w:rFonts w:ascii="Times New Roman" w:hAnsi="Times New Roman"/>
          <w:sz w:val="24"/>
          <w:szCs w:val="24"/>
          <w:lang w:val="es-MX"/>
        </w:rPr>
        <w:t>El principal indicador es la relación deuda / PIB, que muestra la capacidad potencial que tiene el país para atender sus obligaciones, para el cierre</w:t>
      </w:r>
      <w:r w:rsidR="005D1695" w:rsidRPr="00A27E31">
        <w:rPr>
          <w:rFonts w:ascii="Times New Roman" w:hAnsi="Times New Roman"/>
          <w:sz w:val="24"/>
          <w:szCs w:val="24"/>
          <w:lang w:val="es-MX"/>
        </w:rPr>
        <w:t xml:space="preserve"> de 2018, esta se ubicó en 24.8 por ciento, en 2019 se estima en 25.2 por ciento</w:t>
      </w:r>
      <w:r w:rsidRPr="00A27E31">
        <w:rPr>
          <w:rFonts w:ascii="Times New Roman" w:hAnsi="Times New Roman"/>
          <w:sz w:val="24"/>
          <w:szCs w:val="24"/>
          <w:lang w:val="es-MX"/>
        </w:rPr>
        <w:t xml:space="preserve"> y se prevé que entre 2020 y 2024 se sit</w:t>
      </w:r>
      <w:r w:rsidR="00817B0C">
        <w:rPr>
          <w:rFonts w:ascii="Times New Roman" w:hAnsi="Times New Roman"/>
          <w:sz w:val="24"/>
          <w:szCs w:val="24"/>
          <w:lang w:val="es-MX"/>
        </w:rPr>
        <w:t>úe</w:t>
      </w:r>
      <w:r w:rsidR="00A11C64">
        <w:rPr>
          <w:rFonts w:ascii="Times New Roman" w:hAnsi="Times New Roman"/>
          <w:sz w:val="24"/>
          <w:szCs w:val="24"/>
          <w:lang w:val="es-MX"/>
        </w:rPr>
        <w:t xml:space="preserve"> entre el 25.9</w:t>
      </w:r>
      <w:r w:rsidR="005D1695" w:rsidRPr="00A27E31">
        <w:rPr>
          <w:rFonts w:ascii="Times New Roman" w:hAnsi="Times New Roman"/>
          <w:sz w:val="24"/>
          <w:szCs w:val="24"/>
          <w:lang w:val="es-MX"/>
        </w:rPr>
        <w:t xml:space="preserve"> y el 2</w:t>
      </w:r>
      <w:r w:rsidR="00A11C64">
        <w:rPr>
          <w:rFonts w:ascii="Times New Roman" w:hAnsi="Times New Roman"/>
          <w:sz w:val="24"/>
          <w:szCs w:val="24"/>
          <w:lang w:val="es-MX"/>
        </w:rPr>
        <w:t>5.</w:t>
      </w:r>
      <w:r w:rsidR="00522F10">
        <w:rPr>
          <w:rFonts w:ascii="Times New Roman" w:hAnsi="Times New Roman"/>
          <w:sz w:val="24"/>
          <w:szCs w:val="24"/>
          <w:lang w:val="es-MX"/>
        </w:rPr>
        <w:t>6</w:t>
      </w:r>
      <w:r w:rsidR="005D1695" w:rsidRPr="00A27E31">
        <w:rPr>
          <w:rFonts w:ascii="Times New Roman" w:hAnsi="Times New Roman"/>
          <w:sz w:val="24"/>
          <w:szCs w:val="24"/>
          <w:lang w:val="es-MX"/>
        </w:rPr>
        <w:t xml:space="preserve"> por ciento</w:t>
      </w:r>
      <w:r w:rsidR="00817B0C">
        <w:rPr>
          <w:rFonts w:ascii="Times New Roman" w:hAnsi="Times New Roman"/>
          <w:sz w:val="24"/>
          <w:szCs w:val="24"/>
          <w:lang w:val="es-MX"/>
        </w:rPr>
        <w:t xml:space="preserve"> respectivamente. </w:t>
      </w:r>
      <w:r w:rsidRPr="00A27E31">
        <w:rPr>
          <w:rFonts w:ascii="Times New Roman" w:hAnsi="Times New Roman"/>
          <w:sz w:val="24"/>
          <w:szCs w:val="24"/>
          <w:lang w:val="es-MX"/>
        </w:rPr>
        <w:t xml:space="preserve">Indicadores que muestran una leve tendencia decreciente, en el mediano plazo, derivado de la reducción gradual del déficit fiscal, además están muy por debajo del </w:t>
      </w:r>
      <w:r w:rsidRPr="00A27E31">
        <w:rPr>
          <w:rFonts w:ascii="Times New Roman" w:hAnsi="Times New Roman"/>
          <w:i/>
          <w:sz w:val="24"/>
          <w:szCs w:val="24"/>
          <w:lang w:val="es-MX"/>
        </w:rPr>
        <w:t>benchmark</w:t>
      </w:r>
      <w:r w:rsidRPr="00A27E31">
        <w:rPr>
          <w:rStyle w:val="Refdenotaalpie"/>
          <w:rFonts w:ascii="Times New Roman" w:hAnsi="Times New Roman"/>
          <w:sz w:val="24"/>
          <w:szCs w:val="24"/>
          <w:lang w:val="es-MX"/>
        </w:rPr>
        <w:footnoteReference w:id="1"/>
      </w:r>
      <w:r w:rsidRPr="00A27E31">
        <w:rPr>
          <w:rFonts w:ascii="Times New Roman" w:hAnsi="Times New Roman"/>
          <w:sz w:val="24"/>
          <w:szCs w:val="24"/>
          <w:lang w:val="es-MX"/>
        </w:rPr>
        <w:t xml:space="preserve"> utilizado por Guatemala (40% del PIB), aunque dado que Guatemala es un país de ingres</w:t>
      </w:r>
      <w:r w:rsidR="005D1695" w:rsidRPr="00A27E31">
        <w:rPr>
          <w:rFonts w:ascii="Times New Roman" w:hAnsi="Times New Roman"/>
          <w:sz w:val="24"/>
          <w:szCs w:val="24"/>
          <w:lang w:val="es-MX"/>
        </w:rPr>
        <w:t>o medio, podría ser de hasta 50 por ciento</w:t>
      </w:r>
      <w:r w:rsidRPr="00A27E31">
        <w:rPr>
          <w:rFonts w:ascii="Times New Roman" w:hAnsi="Times New Roman"/>
          <w:sz w:val="24"/>
          <w:szCs w:val="24"/>
          <w:lang w:val="es-MX"/>
        </w:rPr>
        <w:t xml:space="preserve">, según establecen organismos financieros internacionales como el Fondo Monetario Internacional y el Banco Mundial.  Esta proyección es consistente con una expansión de la política fiscal en dicho año que pretende estimular la economía mediante un incremento en el gasto social especialmente el orientado a la Salud y Asistencia Social y Educación y a programas de seguridad ciudadana y al sector justicia. </w:t>
      </w:r>
    </w:p>
    <w:p w14:paraId="7FF01F83" w14:textId="77777777" w:rsidR="008A5924" w:rsidRPr="00184700" w:rsidRDefault="008A5924" w:rsidP="008A5924">
      <w:pPr>
        <w:pStyle w:val="Sinespaciado"/>
        <w:jc w:val="both"/>
        <w:rPr>
          <w:rFonts w:ascii="Times New Roman" w:hAnsi="Times New Roman"/>
          <w:lang w:val="es-MX"/>
        </w:rPr>
      </w:pPr>
    </w:p>
    <w:p w14:paraId="39F5EDC9" w14:textId="77777777" w:rsidR="008A5924" w:rsidRPr="00A27E31" w:rsidRDefault="008A5924" w:rsidP="008A5924">
      <w:pPr>
        <w:pStyle w:val="Sinespaciado"/>
        <w:jc w:val="both"/>
        <w:rPr>
          <w:rFonts w:ascii="Times New Roman" w:hAnsi="Times New Roman"/>
          <w:sz w:val="24"/>
          <w:szCs w:val="24"/>
          <w:lang w:val="es-MX"/>
        </w:rPr>
      </w:pPr>
      <w:r w:rsidRPr="00A27E31">
        <w:rPr>
          <w:rFonts w:ascii="Times New Roman" w:hAnsi="Times New Roman"/>
          <w:sz w:val="24"/>
          <w:szCs w:val="24"/>
          <w:lang w:val="es-MX"/>
        </w:rPr>
        <w:t>Asimismo, el otro indicador de solvencia que es importante es la relación deuda / ingresos fiscales, el cual muestra la capacidad efectiva que tiene el gobierno para atender sus compromisos de deuda, este indicador para el caso de Guatemala muestra valores relativamente altos en 2020 se</w:t>
      </w:r>
      <w:r w:rsidR="00546B39">
        <w:rPr>
          <w:rFonts w:ascii="Times New Roman" w:hAnsi="Times New Roman"/>
          <w:sz w:val="24"/>
          <w:szCs w:val="24"/>
          <w:lang w:val="es-MX"/>
        </w:rPr>
        <w:t xml:space="preserve"> estima podría ubicarse en 245.9</w:t>
      </w:r>
      <w:r w:rsidR="005D1695" w:rsidRPr="00A27E31">
        <w:rPr>
          <w:rFonts w:ascii="Times New Roman" w:hAnsi="Times New Roman"/>
          <w:sz w:val="24"/>
          <w:szCs w:val="24"/>
          <w:lang w:val="es-MX"/>
        </w:rPr>
        <w:t xml:space="preserve"> por ciento</w:t>
      </w:r>
      <w:r w:rsidRPr="00A27E31">
        <w:rPr>
          <w:rFonts w:ascii="Times New Roman" w:hAnsi="Times New Roman"/>
          <w:sz w:val="24"/>
          <w:szCs w:val="24"/>
          <w:lang w:val="es-MX"/>
        </w:rPr>
        <w:t>, cerca del máxim</w:t>
      </w:r>
      <w:r w:rsidR="005D1695" w:rsidRPr="00A27E31">
        <w:rPr>
          <w:rFonts w:ascii="Times New Roman" w:hAnsi="Times New Roman"/>
          <w:sz w:val="24"/>
          <w:szCs w:val="24"/>
          <w:lang w:val="es-MX"/>
        </w:rPr>
        <w:t>o recomendado el cual es de 250 por ciento</w:t>
      </w:r>
      <w:r w:rsidRPr="00A27E31">
        <w:rPr>
          <w:rFonts w:ascii="Times New Roman" w:hAnsi="Times New Roman"/>
          <w:sz w:val="24"/>
          <w:szCs w:val="24"/>
          <w:lang w:val="es-MX"/>
        </w:rPr>
        <w:t>, sin embargo este indicador es para países de ingreso bajo, para economías de ingreso medio como Guatemala, no se precisa de un máximo aunque podría tomarse un máx</w:t>
      </w:r>
      <w:r w:rsidR="005D1695" w:rsidRPr="00A27E31">
        <w:rPr>
          <w:rFonts w:ascii="Times New Roman" w:hAnsi="Times New Roman"/>
          <w:sz w:val="24"/>
          <w:szCs w:val="24"/>
          <w:lang w:val="es-MX"/>
        </w:rPr>
        <w:t>imo 300 por ciento</w:t>
      </w:r>
      <w:r w:rsidRPr="00A27E31">
        <w:rPr>
          <w:rFonts w:ascii="Times New Roman" w:hAnsi="Times New Roman"/>
          <w:sz w:val="24"/>
          <w:szCs w:val="24"/>
          <w:lang w:val="es-MX"/>
        </w:rPr>
        <w:t xml:space="preserve"> como umbral.  No obstante, para el mediano plazo se espera que este indicador tenga una reducci</w:t>
      </w:r>
      <w:r w:rsidR="00D70B82">
        <w:rPr>
          <w:rFonts w:ascii="Times New Roman" w:hAnsi="Times New Roman"/>
          <w:sz w:val="24"/>
          <w:szCs w:val="24"/>
          <w:lang w:val="es-MX"/>
        </w:rPr>
        <w:t>ón gradual y se ubique en 234.</w:t>
      </w:r>
      <w:r w:rsidR="00546B39">
        <w:rPr>
          <w:rFonts w:ascii="Times New Roman" w:hAnsi="Times New Roman"/>
          <w:sz w:val="24"/>
          <w:szCs w:val="24"/>
          <w:lang w:val="es-MX"/>
        </w:rPr>
        <w:t>3</w:t>
      </w:r>
      <w:r w:rsidR="005D1695" w:rsidRPr="00A27E31">
        <w:rPr>
          <w:rFonts w:ascii="Times New Roman" w:hAnsi="Times New Roman"/>
          <w:sz w:val="24"/>
          <w:szCs w:val="24"/>
          <w:lang w:val="es-MX"/>
        </w:rPr>
        <w:t xml:space="preserve"> por ciento</w:t>
      </w:r>
      <w:r w:rsidRPr="00A27E31">
        <w:rPr>
          <w:rFonts w:ascii="Times New Roman" w:hAnsi="Times New Roman"/>
          <w:sz w:val="24"/>
          <w:szCs w:val="24"/>
          <w:lang w:val="es-MX"/>
        </w:rPr>
        <w:t xml:space="preserve"> en 2024, siempre y cuando el nivel de recaudación tributaria aumente.  La principal razón por la que este indicador muestra un nivel alto, es como resultado del bajo nivel de recaudación tributaria, en la medida en que los ingresos fiscales aumenten considerablemente y la generación de endeudamiento sea moderada, la relación deuda / ingreso bajaría gradualmente y la solvencia del país sería más holgada.</w:t>
      </w:r>
    </w:p>
    <w:p w14:paraId="2AB001FA" w14:textId="77777777" w:rsidR="008A5924" w:rsidRPr="00A27E31" w:rsidRDefault="008A5924" w:rsidP="008A5924">
      <w:pPr>
        <w:pStyle w:val="Sinespaciado"/>
        <w:jc w:val="both"/>
        <w:rPr>
          <w:rFonts w:ascii="Times New Roman" w:hAnsi="Times New Roman"/>
          <w:sz w:val="24"/>
          <w:szCs w:val="24"/>
          <w:lang w:val="es-MX"/>
        </w:rPr>
      </w:pPr>
    </w:p>
    <w:p w14:paraId="3D489203" w14:textId="77777777" w:rsidR="008A5924" w:rsidRPr="00184700" w:rsidRDefault="008A5924" w:rsidP="008A5924">
      <w:pPr>
        <w:pStyle w:val="Sinespaciado"/>
        <w:jc w:val="both"/>
        <w:rPr>
          <w:rFonts w:ascii="Times New Roman" w:hAnsi="Times New Roman"/>
          <w:lang w:val="es-MX"/>
        </w:rPr>
      </w:pPr>
      <w:r w:rsidRPr="00A27E31">
        <w:rPr>
          <w:rFonts w:ascii="Times New Roman" w:hAnsi="Times New Roman"/>
          <w:sz w:val="24"/>
          <w:szCs w:val="24"/>
          <w:lang w:val="es-MX"/>
        </w:rPr>
        <w:t>En cuanto la relación deuda externa</w:t>
      </w:r>
      <w:r w:rsidR="00026089">
        <w:rPr>
          <w:rFonts w:ascii="Times New Roman" w:hAnsi="Times New Roman"/>
          <w:sz w:val="24"/>
          <w:szCs w:val="24"/>
          <w:lang w:val="es-MX"/>
        </w:rPr>
        <w:t xml:space="preserve"> </w:t>
      </w:r>
      <w:r w:rsidRPr="00A27E31">
        <w:rPr>
          <w:rFonts w:ascii="Times New Roman" w:hAnsi="Times New Roman"/>
          <w:sz w:val="24"/>
          <w:szCs w:val="24"/>
          <w:lang w:val="es-MX"/>
        </w:rPr>
        <w:t>/</w:t>
      </w:r>
      <w:r w:rsidR="00026089">
        <w:rPr>
          <w:rFonts w:ascii="Times New Roman" w:hAnsi="Times New Roman"/>
          <w:sz w:val="24"/>
          <w:szCs w:val="24"/>
          <w:lang w:val="es-MX"/>
        </w:rPr>
        <w:t xml:space="preserve"> </w:t>
      </w:r>
      <w:r w:rsidRPr="00A27E31">
        <w:rPr>
          <w:rFonts w:ascii="Times New Roman" w:hAnsi="Times New Roman"/>
          <w:sz w:val="24"/>
          <w:szCs w:val="24"/>
          <w:lang w:val="es-MX"/>
        </w:rPr>
        <w:t>exportaciones, este indicador es importante para medir la vulnerabilidad externa del país, cuyo máximo recomend</w:t>
      </w:r>
      <w:r w:rsidR="005D1695" w:rsidRPr="00A27E31">
        <w:rPr>
          <w:rFonts w:ascii="Times New Roman" w:hAnsi="Times New Roman"/>
          <w:sz w:val="24"/>
          <w:szCs w:val="24"/>
          <w:lang w:val="es-MX"/>
        </w:rPr>
        <w:t>ado debería ser no mayor de 180 por ciento</w:t>
      </w:r>
      <w:r w:rsidRPr="00A27E31">
        <w:rPr>
          <w:rFonts w:ascii="Times New Roman" w:hAnsi="Times New Roman"/>
          <w:sz w:val="24"/>
          <w:szCs w:val="24"/>
          <w:lang w:val="es-MX"/>
        </w:rPr>
        <w:t>, el gobierno muestra un nivel estimado en 2</w:t>
      </w:r>
      <w:r w:rsidR="005D1695" w:rsidRPr="00A27E31">
        <w:rPr>
          <w:rFonts w:ascii="Times New Roman" w:hAnsi="Times New Roman"/>
          <w:sz w:val="24"/>
          <w:szCs w:val="24"/>
          <w:lang w:val="es-MX"/>
        </w:rPr>
        <w:t>019 de 64.</w:t>
      </w:r>
      <w:r w:rsidR="00424D26">
        <w:rPr>
          <w:rFonts w:ascii="Times New Roman" w:hAnsi="Times New Roman"/>
          <w:sz w:val="24"/>
          <w:szCs w:val="24"/>
          <w:lang w:val="es-MX"/>
        </w:rPr>
        <w:t>6</w:t>
      </w:r>
      <w:r w:rsidR="005D1695" w:rsidRPr="00A27E31">
        <w:rPr>
          <w:rFonts w:ascii="Times New Roman" w:hAnsi="Times New Roman"/>
          <w:sz w:val="24"/>
          <w:szCs w:val="24"/>
          <w:lang w:val="es-MX"/>
        </w:rPr>
        <w:t xml:space="preserve"> por ciento, pa</w:t>
      </w:r>
      <w:r w:rsidR="00424D26">
        <w:rPr>
          <w:rFonts w:ascii="Times New Roman" w:hAnsi="Times New Roman"/>
          <w:sz w:val="24"/>
          <w:szCs w:val="24"/>
          <w:lang w:val="es-MX"/>
        </w:rPr>
        <w:t>ra 2020 se prevé en 60.</w:t>
      </w:r>
      <w:r w:rsidR="00522F10">
        <w:rPr>
          <w:rFonts w:ascii="Times New Roman" w:hAnsi="Times New Roman"/>
          <w:sz w:val="24"/>
          <w:szCs w:val="24"/>
          <w:lang w:val="es-MX"/>
        </w:rPr>
        <w:t>1</w:t>
      </w:r>
      <w:r w:rsidR="005D1695" w:rsidRPr="00A27E31">
        <w:rPr>
          <w:rFonts w:ascii="Times New Roman" w:hAnsi="Times New Roman"/>
          <w:sz w:val="24"/>
          <w:szCs w:val="24"/>
          <w:lang w:val="es-MX"/>
        </w:rPr>
        <w:t xml:space="preserve"> po</w:t>
      </w:r>
      <w:r w:rsidR="00424D26">
        <w:rPr>
          <w:rFonts w:ascii="Times New Roman" w:hAnsi="Times New Roman"/>
          <w:sz w:val="24"/>
          <w:szCs w:val="24"/>
          <w:lang w:val="es-MX"/>
        </w:rPr>
        <w:t>r ciento y podría disminuir a 47</w:t>
      </w:r>
      <w:r w:rsidR="00522F10">
        <w:rPr>
          <w:rFonts w:ascii="Times New Roman" w:hAnsi="Times New Roman"/>
          <w:sz w:val="24"/>
          <w:szCs w:val="24"/>
          <w:lang w:val="es-MX"/>
        </w:rPr>
        <w:t>.1</w:t>
      </w:r>
      <w:r w:rsidR="005D1695" w:rsidRPr="00A27E31">
        <w:rPr>
          <w:rFonts w:ascii="Times New Roman" w:hAnsi="Times New Roman"/>
          <w:sz w:val="24"/>
          <w:szCs w:val="24"/>
          <w:lang w:val="es-MX"/>
        </w:rPr>
        <w:t xml:space="preserve"> por ciento</w:t>
      </w:r>
      <w:r w:rsidRPr="00A27E31">
        <w:rPr>
          <w:rFonts w:ascii="Times New Roman" w:hAnsi="Times New Roman"/>
          <w:sz w:val="24"/>
          <w:szCs w:val="24"/>
          <w:lang w:val="es-MX"/>
        </w:rPr>
        <w:t xml:space="preserve"> en 2024, debido al crecimiento esperado en las exportaciones y la reducción gradual del déficit fiscal</w:t>
      </w:r>
      <w:r w:rsidRPr="00184700">
        <w:rPr>
          <w:rFonts w:ascii="Times New Roman" w:hAnsi="Times New Roman"/>
          <w:lang w:val="es-MX"/>
        </w:rPr>
        <w:t>.</w:t>
      </w:r>
    </w:p>
    <w:p w14:paraId="24164DCA" w14:textId="77777777" w:rsidR="008A5924" w:rsidRPr="00184700" w:rsidRDefault="008A5924" w:rsidP="008A5924">
      <w:pPr>
        <w:pStyle w:val="Sinespaciado"/>
        <w:jc w:val="both"/>
        <w:rPr>
          <w:rFonts w:ascii="Times New Roman" w:hAnsi="Times New Roman"/>
          <w:b/>
        </w:rPr>
      </w:pPr>
    </w:p>
    <w:p w14:paraId="06B309EA" w14:textId="1B57B6D4" w:rsidR="008A5924" w:rsidRPr="00A27E31" w:rsidRDefault="008A5924" w:rsidP="008A5924">
      <w:pPr>
        <w:pStyle w:val="Descripcin"/>
        <w:keepNext/>
        <w:rPr>
          <w:b w:val="0"/>
          <w:color w:val="000000" w:themeColor="text1"/>
        </w:rPr>
      </w:pPr>
      <w:bookmarkStart w:id="19" w:name="_Toc16242970"/>
      <w:r w:rsidRPr="00A27E31">
        <w:rPr>
          <w:color w:val="000000" w:themeColor="text1"/>
        </w:rPr>
        <w:t xml:space="preserve">Gráfico  </w:t>
      </w:r>
      <w:r w:rsidRPr="00A27E31">
        <w:rPr>
          <w:color w:val="000000" w:themeColor="text1"/>
        </w:rPr>
        <w:fldChar w:fldCharType="begin"/>
      </w:r>
      <w:r w:rsidRPr="00A27E31">
        <w:rPr>
          <w:color w:val="000000" w:themeColor="text1"/>
        </w:rPr>
        <w:instrText xml:space="preserve"> SEQ Gráfico_ \* ARABIC </w:instrText>
      </w:r>
      <w:r w:rsidRPr="00A27E31">
        <w:rPr>
          <w:color w:val="000000" w:themeColor="text1"/>
        </w:rPr>
        <w:fldChar w:fldCharType="separate"/>
      </w:r>
      <w:r w:rsidR="004B2A60">
        <w:rPr>
          <w:noProof/>
          <w:color w:val="000000" w:themeColor="text1"/>
        </w:rPr>
        <w:t>7</w:t>
      </w:r>
      <w:r w:rsidRPr="00A27E31">
        <w:rPr>
          <w:noProof/>
          <w:color w:val="000000" w:themeColor="text1"/>
        </w:rPr>
        <w:fldChar w:fldCharType="end"/>
      </w:r>
      <w:r w:rsidRPr="00A27E31">
        <w:rPr>
          <w:color w:val="000000" w:themeColor="text1"/>
        </w:rPr>
        <w:t>: Indicadores de Solvencia de la Deuda Pública</w:t>
      </w:r>
      <w:bookmarkEnd w:id="19"/>
    </w:p>
    <w:p w14:paraId="1D900D15" w14:textId="77777777" w:rsidR="008A5924" w:rsidRDefault="008A5924" w:rsidP="008A5924">
      <w:pPr>
        <w:pStyle w:val="Sinespaciado"/>
        <w:keepNext/>
        <w:jc w:val="center"/>
        <w:rPr>
          <w:rFonts w:ascii="Times New Roman" w:hAnsi="Times New Roman"/>
          <w:sz w:val="18"/>
        </w:rPr>
      </w:pPr>
      <w:r w:rsidRPr="00184700">
        <w:rPr>
          <w:rFonts w:ascii="Times New Roman" w:hAnsi="Times New Roman"/>
          <w:sz w:val="18"/>
        </w:rPr>
        <w:t>Porcentajes</w:t>
      </w:r>
    </w:p>
    <w:p w14:paraId="3A52A583" w14:textId="77777777" w:rsidR="00A11C64" w:rsidRDefault="00A11C64" w:rsidP="008A5924">
      <w:pPr>
        <w:pStyle w:val="Sinespaciado"/>
        <w:keepNext/>
        <w:jc w:val="center"/>
        <w:rPr>
          <w:rFonts w:ascii="Times New Roman" w:hAnsi="Times New Roman"/>
          <w:sz w:val="18"/>
        </w:rPr>
      </w:pPr>
    </w:p>
    <w:p w14:paraId="0FA465FD" w14:textId="77777777" w:rsidR="008A5924" w:rsidRPr="00184700" w:rsidRDefault="00546B39" w:rsidP="00B546C3">
      <w:pPr>
        <w:jc w:val="center"/>
      </w:pPr>
      <w:r>
        <w:rPr>
          <w:noProof/>
          <w:lang w:val="es-GT" w:eastAsia="es-GT"/>
        </w:rPr>
        <w:drawing>
          <wp:inline distT="0" distB="0" distL="0" distR="0" wp14:anchorId="5E7E4A41" wp14:editId="2DF38C69">
            <wp:extent cx="6301058" cy="2409825"/>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5734" cy="2419262"/>
                    </a:xfrm>
                    <a:prstGeom prst="rect">
                      <a:avLst/>
                    </a:prstGeom>
                    <a:noFill/>
                  </pic:spPr>
                </pic:pic>
              </a:graphicData>
            </a:graphic>
          </wp:inline>
        </w:drawing>
      </w:r>
    </w:p>
    <w:p w14:paraId="30E954C2" w14:textId="77777777" w:rsidR="008A5924" w:rsidRPr="001203DD" w:rsidRDefault="00B546C3" w:rsidP="008A5924">
      <w:pPr>
        <w:rPr>
          <w:sz w:val="16"/>
        </w:rPr>
      </w:pPr>
      <w:r>
        <w:rPr>
          <w:b/>
          <w:sz w:val="16"/>
        </w:rPr>
        <w:t xml:space="preserve">            </w:t>
      </w:r>
      <w:r w:rsidR="008A5924" w:rsidRPr="00C7441D">
        <w:rPr>
          <w:b/>
          <w:sz w:val="16"/>
        </w:rPr>
        <w:t>Fuente:</w:t>
      </w:r>
      <w:r w:rsidR="008A5924" w:rsidRPr="001203DD">
        <w:rPr>
          <w:sz w:val="16"/>
        </w:rPr>
        <w:t xml:space="preserve"> Ministerio de Finanzas Públicas</w:t>
      </w:r>
    </w:p>
    <w:p w14:paraId="026552A6" w14:textId="77777777" w:rsidR="008A5924" w:rsidRPr="00184700" w:rsidRDefault="008A5924" w:rsidP="008A5924">
      <w:pPr>
        <w:pStyle w:val="Sinespaciado"/>
        <w:jc w:val="both"/>
        <w:rPr>
          <w:rFonts w:ascii="Times New Roman" w:hAnsi="Times New Roman"/>
          <w:lang w:val="es-MX"/>
        </w:rPr>
      </w:pPr>
    </w:p>
    <w:p w14:paraId="04205851" w14:textId="77777777" w:rsidR="008A5924" w:rsidRPr="00A27E31" w:rsidRDefault="008A5924" w:rsidP="000045E9">
      <w:pPr>
        <w:pStyle w:val="Sinespaciado"/>
        <w:jc w:val="both"/>
        <w:rPr>
          <w:rFonts w:ascii="Times New Roman" w:hAnsi="Times New Roman"/>
          <w:sz w:val="24"/>
          <w:szCs w:val="24"/>
          <w:lang w:val="es-MX"/>
        </w:rPr>
      </w:pPr>
      <w:r w:rsidRPr="00A27E31">
        <w:rPr>
          <w:rFonts w:ascii="Times New Roman" w:hAnsi="Times New Roman"/>
          <w:sz w:val="24"/>
          <w:szCs w:val="24"/>
          <w:lang w:val="es-MX"/>
        </w:rPr>
        <w:t>Es importante indicar, que las proyecciones de endeudamiento para Guatemala, son inferiores a las que se estiman para el mediano plazo en los países de Centroamérica, Costa Rica, por ejemplo, muestra un comportamiento creciente desde 2016, en donde el nivel de deuda se ubicaba en el máximo recomendado para nuestras economías (40% del PIB) y el FMI prevé que la deuda e</w:t>
      </w:r>
      <w:r w:rsidR="00383BB0">
        <w:rPr>
          <w:rFonts w:ascii="Times New Roman" w:hAnsi="Times New Roman"/>
          <w:sz w:val="24"/>
          <w:szCs w:val="24"/>
          <w:lang w:val="es-MX"/>
        </w:rPr>
        <w:t xml:space="preserve">n ese país podría ubicarse </w:t>
      </w:r>
      <w:r w:rsidR="005D1695" w:rsidRPr="00A27E31">
        <w:rPr>
          <w:rFonts w:ascii="Times New Roman" w:hAnsi="Times New Roman"/>
          <w:sz w:val="24"/>
          <w:szCs w:val="24"/>
          <w:lang w:val="es-MX"/>
        </w:rPr>
        <w:t>55.9 por ciento del PIB para 2019 y en 68.5 por ciento</w:t>
      </w:r>
      <w:r w:rsidRPr="00A27E31">
        <w:rPr>
          <w:rFonts w:ascii="Times New Roman" w:hAnsi="Times New Roman"/>
          <w:sz w:val="24"/>
          <w:szCs w:val="24"/>
          <w:lang w:val="es-MX"/>
        </w:rPr>
        <w:t xml:space="preserve"> para el cierre de 2023, si no adopta una política fiscal altamente restrictiva y con efecto de varios años.</w:t>
      </w:r>
    </w:p>
    <w:p w14:paraId="67E8BCC5" w14:textId="77777777" w:rsidR="008A5924" w:rsidRPr="00A27E31" w:rsidRDefault="008A5924" w:rsidP="008A5924">
      <w:pPr>
        <w:pStyle w:val="Sinespaciado"/>
        <w:jc w:val="both"/>
        <w:rPr>
          <w:rFonts w:ascii="Times New Roman" w:hAnsi="Times New Roman"/>
          <w:sz w:val="24"/>
          <w:szCs w:val="24"/>
          <w:lang w:val="es-MX"/>
        </w:rPr>
      </w:pPr>
    </w:p>
    <w:p w14:paraId="669EBBE1" w14:textId="77777777" w:rsidR="008A5924" w:rsidRPr="00A27E31" w:rsidRDefault="008A5924" w:rsidP="008A5924">
      <w:pPr>
        <w:pStyle w:val="Sinespaciado"/>
        <w:jc w:val="both"/>
        <w:rPr>
          <w:rFonts w:ascii="Times New Roman" w:hAnsi="Times New Roman"/>
          <w:sz w:val="24"/>
          <w:szCs w:val="24"/>
          <w:lang w:val="es-MX"/>
        </w:rPr>
      </w:pPr>
      <w:r w:rsidRPr="00A27E31">
        <w:rPr>
          <w:rFonts w:ascii="Times New Roman" w:hAnsi="Times New Roman"/>
          <w:sz w:val="24"/>
          <w:szCs w:val="24"/>
          <w:lang w:val="es-MX"/>
        </w:rPr>
        <w:t>Asimismo, El Salvador si bien muestra un</w:t>
      </w:r>
      <w:r w:rsidR="006F6E08" w:rsidRPr="00A27E31">
        <w:rPr>
          <w:rFonts w:ascii="Times New Roman" w:hAnsi="Times New Roman"/>
          <w:sz w:val="24"/>
          <w:szCs w:val="24"/>
          <w:lang w:val="es-MX"/>
        </w:rPr>
        <w:t xml:space="preserve"> endeudamiento que llegó a 59.3 por ciento</w:t>
      </w:r>
      <w:r w:rsidRPr="00A27E31">
        <w:rPr>
          <w:rFonts w:ascii="Times New Roman" w:hAnsi="Times New Roman"/>
          <w:sz w:val="24"/>
          <w:szCs w:val="24"/>
          <w:lang w:val="es-MX"/>
        </w:rPr>
        <w:t xml:space="preserve"> del PIB en 2017, el FMI prevé que se mantenga en el mediano plazo.  En el caso de Honduras, que alcanzó en</w:t>
      </w:r>
      <w:r w:rsidR="005D1695" w:rsidRPr="00A27E31">
        <w:rPr>
          <w:rFonts w:ascii="Times New Roman" w:hAnsi="Times New Roman"/>
          <w:sz w:val="24"/>
          <w:szCs w:val="24"/>
          <w:lang w:val="es-MX"/>
        </w:rPr>
        <w:t xml:space="preserve"> 2017 un nivel de deuda de 43.9 por ciento</w:t>
      </w:r>
      <w:r w:rsidRPr="00A27E31">
        <w:rPr>
          <w:rFonts w:ascii="Times New Roman" w:hAnsi="Times New Roman"/>
          <w:sz w:val="24"/>
          <w:szCs w:val="24"/>
          <w:lang w:val="es-MX"/>
        </w:rPr>
        <w:t xml:space="preserve"> del PIB, el FMI estima que podría mostrar una reducción importante, derivado de las medidas de política que podrían implementar y estar</w:t>
      </w:r>
      <w:r w:rsidR="005D1695" w:rsidRPr="00A27E31">
        <w:rPr>
          <w:rFonts w:ascii="Times New Roman" w:hAnsi="Times New Roman"/>
          <w:sz w:val="24"/>
          <w:szCs w:val="24"/>
          <w:lang w:val="es-MX"/>
        </w:rPr>
        <w:t>ía al final de 2023 en cerca 35 por ciento</w:t>
      </w:r>
      <w:r w:rsidRPr="00A27E31">
        <w:rPr>
          <w:rFonts w:ascii="Times New Roman" w:hAnsi="Times New Roman"/>
          <w:sz w:val="24"/>
          <w:szCs w:val="24"/>
          <w:lang w:val="es-MX"/>
        </w:rPr>
        <w:t>.  Nicaragua, por su parte, su</w:t>
      </w:r>
      <w:r w:rsidRPr="00184700">
        <w:rPr>
          <w:rFonts w:ascii="Times New Roman" w:hAnsi="Times New Roman"/>
          <w:lang w:val="es-MX"/>
        </w:rPr>
        <w:t xml:space="preserve"> </w:t>
      </w:r>
      <w:r w:rsidRPr="00A27E31">
        <w:rPr>
          <w:rFonts w:ascii="Times New Roman" w:hAnsi="Times New Roman"/>
          <w:sz w:val="24"/>
          <w:szCs w:val="24"/>
          <w:lang w:val="es-MX"/>
        </w:rPr>
        <w:t>nivel alcanzó el</w:t>
      </w:r>
      <w:r w:rsidR="005D1695" w:rsidRPr="00A27E31">
        <w:rPr>
          <w:rFonts w:ascii="Times New Roman" w:hAnsi="Times New Roman"/>
          <w:sz w:val="24"/>
          <w:szCs w:val="24"/>
          <w:lang w:val="es-MX"/>
        </w:rPr>
        <w:t xml:space="preserve"> 33.6 por ciento</w:t>
      </w:r>
      <w:r w:rsidRPr="00A27E31">
        <w:rPr>
          <w:rFonts w:ascii="Times New Roman" w:hAnsi="Times New Roman"/>
          <w:sz w:val="24"/>
          <w:szCs w:val="24"/>
          <w:lang w:val="es-MX"/>
        </w:rPr>
        <w:t xml:space="preserve"> del PIB para 2017 y se prevé un aumento moderado en el mediano plazo, aunque los problemas de índole político que recién se están generando en ese país, podrían afectar la posición fiscal y el endeudamiento en los próximos años.</w:t>
      </w:r>
    </w:p>
    <w:p w14:paraId="729A8DFD" w14:textId="77777777" w:rsidR="008A5924" w:rsidRPr="00184700" w:rsidRDefault="008A5924" w:rsidP="008A5924"/>
    <w:p w14:paraId="2E46084A" w14:textId="6A83A996" w:rsidR="008A5924" w:rsidRPr="00A27E31" w:rsidRDefault="008A5924" w:rsidP="008A5924">
      <w:pPr>
        <w:pStyle w:val="Descripcin"/>
        <w:keepNext/>
        <w:rPr>
          <w:b w:val="0"/>
          <w:color w:val="000000" w:themeColor="text1"/>
        </w:rPr>
      </w:pPr>
      <w:bookmarkStart w:id="20" w:name="_Toc16242971"/>
      <w:r w:rsidRPr="00A27E31">
        <w:rPr>
          <w:color w:val="000000" w:themeColor="text1"/>
        </w:rPr>
        <w:t xml:space="preserve">Gráfico  </w:t>
      </w:r>
      <w:r w:rsidRPr="00A27E31">
        <w:rPr>
          <w:color w:val="000000" w:themeColor="text1"/>
        </w:rPr>
        <w:fldChar w:fldCharType="begin"/>
      </w:r>
      <w:r w:rsidRPr="00A27E31">
        <w:rPr>
          <w:color w:val="000000" w:themeColor="text1"/>
        </w:rPr>
        <w:instrText xml:space="preserve"> SEQ Gráfico_ \* ARABIC </w:instrText>
      </w:r>
      <w:r w:rsidRPr="00A27E31">
        <w:rPr>
          <w:color w:val="000000" w:themeColor="text1"/>
        </w:rPr>
        <w:fldChar w:fldCharType="separate"/>
      </w:r>
      <w:r w:rsidR="004B2A60">
        <w:rPr>
          <w:noProof/>
          <w:color w:val="000000" w:themeColor="text1"/>
        </w:rPr>
        <w:t>8</w:t>
      </w:r>
      <w:r w:rsidRPr="00A27E31">
        <w:rPr>
          <w:noProof/>
          <w:color w:val="000000" w:themeColor="text1"/>
        </w:rPr>
        <w:fldChar w:fldCharType="end"/>
      </w:r>
      <w:r w:rsidRPr="00A27E31">
        <w:rPr>
          <w:color w:val="000000" w:themeColor="text1"/>
        </w:rPr>
        <w:t>: Indicadores de Solvencia en Centroamérica</w:t>
      </w:r>
      <w:bookmarkEnd w:id="20"/>
    </w:p>
    <w:p w14:paraId="4FB8CF94" w14:textId="77777777" w:rsidR="008A5924" w:rsidRDefault="008A5924" w:rsidP="008A5924">
      <w:pPr>
        <w:pStyle w:val="Sinespaciado"/>
        <w:keepNext/>
        <w:jc w:val="center"/>
        <w:rPr>
          <w:rFonts w:ascii="Times New Roman" w:hAnsi="Times New Roman"/>
          <w:sz w:val="18"/>
        </w:rPr>
      </w:pPr>
      <w:r w:rsidRPr="00184700">
        <w:rPr>
          <w:rFonts w:ascii="Times New Roman" w:hAnsi="Times New Roman"/>
          <w:sz w:val="18"/>
        </w:rPr>
        <w:t>Porcentajes</w:t>
      </w:r>
    </w:p>
    <w:p w14:paraId="000052A9" w14:textId="77777777" w:rsidR="008A5924" w:rsidRPr="00184700" w:rsidRDefault="00546B39" w:rsidP="003C65BF">
      <w:pPr>
        <w:jc w:val="center"/>
      </w:pPr>
      <w:r>
        <w:rPr>
          <w:noProof/>
          <w:lang w:val="es-GT" w:eastAsia="es-GT"/>
        </w:rPr>
        <w:drawing>
          <wp:inline distT="0" distB="0" distL="0" distR="0" wp14:anchorId="735E6817" wp14:editId="07CC334B">
            <wp:extent cx="6378950" cy="2571750"/>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8090" cy="2587530"/>
                    </a:xfrm>
                    <a:prstGeom prst="rect">
                      <a:avLst/>
                    </a:prstGeom>
                    <a:noFill/>
                  </pic:spPr>
                </pic:pic>
              </a:graphicData>
            </a:graphic>
          </wp:inline>
        </w:drawing>
      </w:r>
    </w:p>
    <w:p w14:paraId="276FD478" w14:textId="41103969" w:rsidR="008A5924" w:rsidRPr="001203DD" w:rsidRDefault="00B546C3" w:rsidP="008A5924">
      <w:pPr>
        <w:jc w:val="both"/>
        <w:rPr>
          <w:sz w:val="16"/>
          <w:szCs w:val="16"/>
        </w:rPr>
      </w:pPr>
      <w:r w:rsidRPr="00A86278">
        <w:rPr>
          <w:b/>
          <w:sz w:val="16"/>
          <w:szCs w:val="16"/>
        </w:rPr>
        <w:t xml:space="preserve">                  </w:t>
      </w:r>
      <w:r w:rsidR="003C65BF" w:rsidRPr="00A86278">
        <w:rPr>
          <w:b/>
          <w:sz w:val="16"/>
          <w:szCs w:val="16"/>
        </w:rPr>
        <w:t xml:space="preserve"> </w:t>
      </w:r>
      <w:r w:rsidR="008A5924" w:rsidRPr="00A86278">
        <w:rPr>
          <w:b/>
          <w:sz w:val="16"/>
          <w:szCs w:val="16"/>
        </w:rPr>
        <w:t>Fuente:</w:t>
      </w:r>
      <w:r w:rsidR="008A5924" w:rsidRPr="001203DD">
        <w:rPr>
          <w:sz w:val="16"/>
          <w:szCs w:val="16"/>
        </w:rPr>
        <w:t xml:space="preserve"> Fondo Monetario Internacional, World Economic Outlook Database, </w:t>
      </w:r>
      <w:r w:rsidR="006812CD" w:rsidRPr="001203DD">
        <w:rPr>
          <w:sz w:val="16"/>
          <w:szCs w:val="16"/>
        </w:rPr>
        <w:t>abril</w:t>
      </w:r>
      <w:r w:rsidR="008A5924" w:rsidRPr="001203DD">
        <w:rPr>
          <w:sz w:val="16"/>
          <w:szCs w:val="16"/>
        </w:rPr>
        <w:t xml:space="preserve"> 2019</w:t>
      </w:r>
    </w:p>
    <w:p w14:paraId="0836C67B" w14:textId="77777777" w:rsidR="008A5924" w:rsidRPr="00184700" w:rsidRDefault="008A5924" w:rsidP="008A5924">
      <w:pPr>
        <w:jc w:val="both"/>
      </w:pPr>
    </w:p>
    <w:p w14:paraId="38691781" w14:textId="77777777" w:rsidR="008A5924" w:rsidRPr="00A27E31" w:rsidRDefault="008A5924" w:rsidP="008A5924">
      <w:pPr>
        <w:jc w:val="both"/>
        <w:rPr>
          <w:sz w:val="24"/>
          <w:szCs w:val="24"/>
        </w:rPr>
      </w:pPr>
      <w:r w:rsidRPr="00A27E31">
        <w:rPr>
          <w:sz w:val="24"/>
          <w:szCs w:val="24"/>
        </w:rPr>
        <w:t xml:space="preserve">Otro indicador importante del índice de liquidez externa, está relacionado con las reservas internacionales netas con el saldo de la deuda pública denominada en moneda extranjera.  Cuanto más alto es el indicador, menor es la propensión de un país a presentar problemas es su balanza de pagos.   Guatemala, ha mostrado un fortalecimiento en la liquidez externa debido principalmente al aumento importante que han tenido las reservas monetarias internacionales y a un crecimiento bastante modesto de la deuda en moneda extranjera.  </w:t>
      </w:r>
    </w:p>
    <w:p w14:paraId="32B779E5" w14:textId="77777777" w:rsidR="003C65BF" w:rsidRPr="00A27E31" w:rsidRDefault="003C65BF" w:rsidP="008A5924">
      <w:pPr>
        <w:jc w:val="both"/>
        <w:rPr>
          <w:sz w:val="24"/>
          <w:szCs w:val="24"/>
        </w:rPr>
      </w:pPr>
    </w:p>
    <w:p w14:paraId="43CC0B5A" w14:textId="77777777" w:rsidR="008A5924" w:rsidRPr="00A27E31" w:rsidRDefault="008A5924" w:rsidP="008A5924">
      <w:pPr>
        <w:jc w:val="both"/>
        <w:rPr>
          <w:sz w:val="24"/>
          <w:szCs w:val="24"/>
        </w:rPr>
      </w:pPr>
      <w:r w:rsidRPr="00A27E31">
        <w:rPr>
          <w:sz w:val="24"/>
          <w:szCs w:val="24"/>
        </w:rPr>
        <w:t>Este indicador muestra que para 2018</w:t>
      </w:r>
      <w:r w:rsidR="003C65BF" w:rsidRPr="00A27E31">
        <w:rPr>
          <w:sz w:val="24"/>
          <w:szCs w:val="24"/>
        </w:rPr>
        <w:t xml:space="preserve"> las reservas representan 155.1 por ciento</w:t>
      </w:r>
      <w:r w:rsidRPr="00A27E31">
        <w:rPr>
          <w:sz w:val="24"/>
          <w:szCs w:val="24"/>
        </w:rPr>
        <w:t xml:space="preserve"> el nivel de la deuda externa, para los próximos años no se tiene este indicador debido a que no se cuenta con la estimación de reservas internacionales, pero se espera que este indicador siga siendo positivo en el mediano plazo.</w:t>
      </w:r>
    </w:p>
    <w:p w14:paraId="05DC4847" w14:textId="77777777" w:rsidR="00026089" w:rsidRDefault="00026089" w:rsidP="00D07A98">
      <w:pPr>
        <w:pStyle w:val="Descripcin"/>
        <w:keepNext/>
        <w:jc w:val="left"/>
        <w:rPr>
          <w:color w:val="000000" w:themeColor="text1"/>
        </w:rPr>
      </w:pPr>
      <w:bookmarkStart w:id="21" w:name="_Toc16242972"/>
    </w:p>
    <w:p w14:paraId="6ECD7154" w14:textId="26775489" w:rsidR="00026089" w:rsidRDefault="00026089" w:rsidP="00026089"/>
    <w:p w14:paraId="4AF2C8C3" w14:textId="5F0CB522" w:rsidR="006812CD" w:rsidRDefault="006812CD" w:rsidP="00026089"/>
    <w:p w14:paraId="058DC075" w14:textId="2A1CF995" w:rsidR="006812CD" w:rsidRDefault="006812CD" w:rsidP="00026089"/>
    <w:p w14:paraId="349FA1FF" w14:textId="77777777" w:rsidR="006812CD" w:rsidRDefault="006812CD" w:rsidP="00026089"/>
    <w:p w14:paraId="5A81A3CB" w14:textId="77777777" w:rsidR="00026089" w:rsidRPr="00026089" w:rsidRDefault="00026089" w:rsidP="00026089"/>
    <w:p w14:paraId="3A757B63" w14:textId="77777777" w:rsidR="00026089" w:rsidRDefault="00026089" w:rsidP="008A5924">
      <w:pPr>
        <w:pStyle w:val="Descripcin"/>
        <w:keepNext/>
        <w:rPr>
          <w:color w:val="000000" w:themeColor="text1"/>
        </w:rPr>
      </w:pPr>
    </w:p>
    <w:p w14:paraId="480B5A3C" w14:textId="77777777" w:rsidR="00026089" w:rsidRDefault="00026089" w:rsidP="008A5924">
      <w:pPr>
        <w:pStyle w:val="Descripcin"/>
        <w:keepNext/>
        <w:rPr>
          <w:color w:val="000000" w:themeColor="text1"/>
        </w:rPr>
      </w:pPr>
    </w:p>
    <w:p w14:paraId="76917E65" w14:textId="261BBEF2" w:rsidR="00026089" w:rsidRPr="00026089" w:rsidRDefault="008A5924" w:rsidP="00026089">
      <w:pPr>
        <w:pStyle w:val="Descripcin"/>
        <w:keepNext/>
        <w:rPr>
          <w:color w:val="000000" w:themeColor="text1"/>
        </w:rPr>
      </w:pPr>
      <w:r w:rsidRPr="00A27E31">
        <w:rPr>
          <w:color w:val="000000" w:themeColor="text1"/>
        </w:rPr>
        <w:t xml:space="preserve">Gráfico  </w:t>
      </w:r>
      <w:r w:rsidRPr="00A27E31">
        <w:rPr>
          <w:color w:val="000000" w:themeColor="text1"/>
        </w:rPr>
        <w:fldChar w:fldCharType="begin"/>
      </w:r>
      <w:r w:rsidRPr="00A27E31">
        <w:rPr>
          <w:color w:val="000000" w:themeColor="text1"/>
        </w:rPr>
        <w:instrText xml:space="preserve"> SEQ Gráfico_ \* ARABIC </w:instrText>
      </w:r>
      <w:r w:rsidRPr="00A27E31">
        <w:rPr>
          <w:color w:val="000000" w:themeColor="text1"/>
        </w:rPr>
        <w:fldChar w:fldCharType="separate"/>
      </w:r>
      <w:r w:rsidR="004B2A60">
        <w:rPr>
          <w:noProof/>
          <w:color w:val="000000" w:themeColor="text1"/>
        </w:rPr>
        <w:t>9</w:t>
      </w:r>
      <w:r w:rsidRPr="00A27E31">
        <w:rPr>
          <w:noProof/>
          <w:color w:val="000000" w:themeColor="text1"/>
        </w:rPr>
        <w:fldChar w:fldCharType="end"/>
      </w:r>
      <w:r w:rsidRPr="00A27E31">
        <w:rPr>
          <w:color w:val="000000" w:themeColor="text1"/>
        </w:rPr>
        <w:t>: Reservas Monetarias Internacionales/Deuda Externa</w:t>
      </w:r>
      <w:bookmarkEnd w:id="21"/>
    </w:p>
    <w:p w14:paraId="46AAD749" w14:textId="77777777" w:rsidR="00026089" w:rsidRDefault="00026089" w:rsidP="00026089">
      <w:pPr>
        <w:jc w:val="center"/>
        <w:rPr>
          <w:color w:val="000000" w:themeColor="text1"/>
        </w:rPr>
      </w:pPr>
      <w:r w:rsidRPr="00026089">
        <w:rPr>
          <w:color w:val="000000" w:themeColor="text1"/>
        </w:rPr>
        <w:t>Porcentajes</w:t>
      </w:r>
    </w:p>
    <w:p w14:paraId="2311E942" w14:textId="77777777" w:rsidR="00026089" w:rsidRPr="00026089" w:rsidRDefault="00026089" w:rsidP="00026089">
      <w:pPr>
        <w:jc w:val="center"/>
      </w:pPr>
    </w:p>
    <w:p w14:paraId="012E455F" w14:textId="77777777" w:rsidR="008A5924" w:rsidRPr="00184700" w:rsidRDefault="008A5924" w:rsidP="008A5924">
      <w:pPr>
        <w:pStyle w:val="Descripcin"/>
        <w:keepNext/>
        <w:rPr>
          <w:szCs w:val="24"/>
        </w:rPr>
      </w:pPr>
      <w:r w:rsidRPr="00184700">
        <w:rPr>
          <w:noProof/>
          <w:szCs w:val="24"/>
          <w:lang w:val="es-GT" w:eastAsia="es-GT"/>
        </w:rPr>
        <w:drawing>
          <wp:inline distT="0" distB="0" distL="0" distR="0" wp14:anchorId="3FD87E51" wp14:editId="6F72BA7F">
            <wp:extent cx="3665551" cy="2054203"/>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0811"/>
                    <a:stretch/>
                  </pic:blipFill>
                  <pic:spPr bwMode="auto">
                    <a:xfrm>
                      <a:off x="0" y="0"/>
                      <a:ext cx="3697384" cy="2072042"/>
                    </a:xfrm>
                    <a:prstGeom prst="rect">
                      <a:avLst/>
                    </a:prstGeom>
                    <a:noFill/>
                    <a:ln>
                      <a:noFill/>
                    </a:ln>
                    <a:extLst>
                      <a:ext uri="{53640926-AAD7-44D8-BBD7-CCE9431645EC}">
                        <a14:shadowObscured xmlns:a14="http://schemas.microsoft.com/office/drawing/2010/main"/>
                      </a:ext>
                    </a:extLst>
                  </pic:spPr>
                </pic:pic>
              </a:graphicData>
            </a:graphic>
          </wp:inline>
        </w:drawing>
      </w:r>
    </w:p>
    <w:p w14:paraId="6728106C" w14:textId="77777777" w:rsidR="008A5924" w:rsidRPr="001203DD" w:rsidRDefault="008A5924" w:rsidP="008A5924">
      <w:pPr>
        <w:ind w:firstLine="709"/>
        <w:jc w:val="both"/>
        <w:rPr>
          <w:sz w:val="16"/>
          <w:szCs w:val="16"/>
        </w:rPr>
      </w:pPr>
      <w:r w:rsidRPr="00026089">
        <w:rPr>
          <w:b/>
          <w:sz w:val="16"/>
          <w:szCs w:val="16"/>
        </w:rPr>
        <w:t xml:space="preserve"> </w:t>
      </w:r>
      <w:r w:rsidR="00B546C3" w:rsidRPr="00026089">
        <w:rPr>
          <w:b/>
          <w:sz w:val="16"/>
          <w:szCs w:val="16"/>
        </w:rPr>
        <w:t xml:space="preserve">                                    </w:t>
      </w:r>
      <w:r w:rsidRPr="00026089">
        <w:rPr>
          <w:b/>
          <w:sz w:val="16"/>
          <w:szCs w:val="16"/>
        </w:rPr>
        <w:t xml:space="preserve">  Fuente:</w:t>
      </w:r>
      <w:r w:rsidRPr="001203DD">
        <w:rPr>
          <w:sz w:val="16"/>
          <w:szCs w:val="16"/>
        </w:rPr>
        <w:t xml:space="preserve"> Elaborado por el Ministerio de Finanzas Públicas con datos del Banguat y MINFIN</w:t>
      </w:r>
    </w:p>
    <w:p w14:paraId="070AE0F2" w14:textId="77777777" w:rsidR="00383BB0" w:rsidRDefault="00383BB0" w:rsidP="008A5924">
      <w:pPr>
        <w:jc w:val="both"/>
        <w:rPr>
          <w:sz w:val="24"/>
          <w:szCs w:val="24"/>
        </w:rPr>
      </w:pPr>
    </w:p>
    <w:p w14:paraId="47645D75" w14:textId="77777777" w:rsidR="00D07A98" w:rsidRDefault="00D07A98" w:rsidP="00026089">
      <w:pPr>
        <w:jc w:val="both"/>
        <w:rPr>
          <w:sz w:val="24"/>
          <w:szCs w:val="24"/>
        </w:rPr>
      </w:pPr>
    </w:p>
    <w:p w14:paraId="70623E86" w14:textId="77777777" w:rsidR="00D07A98" w:rsidRPr="00D07A98" w:rsidRDefault="008A5924" w:rsidP="00D07A98">
      <w:pPr>
        <w:jc w:val="both"/>
        <w:rPr>
          <w:sz w:val="24"/>
          <w:szCs w:val="24"/>
        </w:rPr>
      </w:pPr>
      <w:r w:rsidRPr="00A27E31">
        <w:rPr>
          <w:sz w:val="24"/>
          <w:szCs w:val="24"/>
        </w:rPr>
        <w:t>Por otro lado, en el análisis de deuda pública, es importante evaluar también otros indicadores denominados de liquidez, los cuales están más relacionados con los pagos anuales que el gobierno realiza en relación al servicio de la deuda. En ese sentido, uno de los más importantes es la relación servicio de deuda / ingresos fiscales, en el cual el país muestra un comportamiento con ciertas fluctuaciones que están en función del vencimiento de algunas operaciones y del comportamiento de la carga tributaria, este indica</w:t>
      </w:r>
      <w:r w:rsidR="00546B39">
        <w:rPr>
          <w:sz w:val="24"/>
          <w:szCs w:val="24"/>
        </w:rPr>
        <w:t>dor para 2020 se estima en 19.8</w:t>
      </w:r>
      <w:r w:rsidR="003C65BF" w:rsidRPr="00A27E31">
        <w:rPr>
          <w:sz w:val="24"/>
          <w:szCs w:val="24"/>
        </w:rPr>
        <w:t xml:space="preserve"> por ciento</w:t>
      </w:r>
      <w:r w:rsidRPr="00A27E31">
        <w:rPr>
          <w:sz w:val="24"/>
          <w:szCs w:val="24"/>
        </w:rPr>
        <w:t xml:space="preserve"> y se prevé disminuya gradualmente, siempre que haya un aumento de la recaudación tributa</w:t>
      </w:r>
      <w:r w:rsidR="003C65BF" w:rsidRPr="00A27E31">
        <w:rPr>
          <w:sz w:val="24"/>
          <w:szCs w:val="24"/>
        </w:rPr>
        <w:t>ria y se ubique en 2024 en 18.</w:t>
      </w:r>
      <w:r w:rsidR="00522F10">
        <w:rPr>
          <w:sz w:val="24"/>
          <w:szCs w:val="24"/>
        </w:rPr>
        <w:t>2</w:t>
      </w:r>
      <w:r w:rsidR="003C65BF" w:rsidRPr="00A27E31">
        <w:rPr>
          <w:sz w:val="24"/>
          <w:szCs w:val="24"/>
        </w:rPr>
        <w:t xml:space="preserve"> por ciento</w:t>
      </w:r>
      <w:r w:rsidRPr="00A27E31">
        <w:rPr>
          <w:sz w:val="24"/>
          <w:szCs w:val="24"/>
        </w:rPr>
        <w:t>, ambos niveles se encuentran por debajo del máximo recomendado para países d</w:t>
      </w:r>
      <w:r w:rsidR="003C65BF" w:rsidRPr="00A27E31">
        <w:rPr>
          <w:sz w:val="24"/>
          <w:szCs w:val="24"/>
        </w:rPr>
        <w:t>e bajo ingreso el cual es de 20 por ciento</w:t>
      </w:r>
      <w:r w:rsidRPr="00A27E31">
        <w:rPr>
          <w:sz w:val="24"/>
          <w:szCs w:val="24"/>
        </w:rPr>
        <w:t xml:space="preserve">, sin embargo  para países de ingreso medio, no se tiene un </w:t>
      </w:r>
      <w:r w:rsidRPr="00A27E31">
        <w:rPr>
          <w:i/>
          <w:sz w:val="24"/>
          <w:szCs w:val="24"/>
        </w:rPr>
        <w:t>benchmark</w:t>
      </w:r>
      <w:r w:rsidRPr="00A27E31">
        <w:rPr>
          <w:sz w:val="24"/>
          <w:szCs w:val="24"/>
        </w:rPr>
        <w:t xml:space="preserve"> para este indicador.  Por su parte, también se tiene el servicio de la deuda externa contra exportaciones, este indicador que en los últimos años ha mostrado un comportamiento levemente creciente, debido más a que el crecimiento de las exportaciones ha sido y en algunos años negativo ha afectado el resultado, no obstante, se prevé que para 2020 </w:t>
      </w:r>
      <w:r w:rsidR="003C65BF" w:rsidRPr="00A27E31">
        <w:rPr>
          <w:sz w:val="24"/>
          <w:szCs w:val="24"/>
        </w:rPr>
        <w:t>este indicador se ubique en 5.5 y en 4.3 por ciento</w:t>
      </w:r>
      <w:r w:rsidRPr="00A27E31">
        <w:rPr>
          <w:sz w:val="24"/>
          <w:szCs w:val="24"/>
        </w:rPr>
        <w:t xml:space="preserve"> en 2024, asociado a un mejor dinamismo en las exportaciones y a que el nivel de deuda tendrá un comportamiento moderado.  Se considera que el máximo recomendable en este </w:t>
      </w:r>
      <w:r w:rsidR="003C65BF" w:rsidRPr="00A27E31">
        <w:rPr>
          <w:sz w:val="24"/>
          <w:szCs w:val="24"/>
        </w:rPr>
        <w:t>indicador no sea superior al 15 por ciento</w:t>
      </w:r>
      <w:bookmarkStart w:id="22" w:name="_Toc16242973"/>
      <w:r w:rsidR="00026089">
        <w:rPr>
          <w:sz w:val="24"/>
          <w:szCs w:val="24"/>
        </w:rPr>
        <w:t>.</w:t>
      </w:r>
    </w:p>
    <w:p w14:paraId="04057F8A" w14:textId="77777777" w:rsidR="00D07A98" w:rsidRPr="00D07A98" w:rsidRDefault="00D07A98" w:rsidP="00D07A98"/>
    <w:p w14:paraId="61FA7120" w14:textId="77777777" w:rsidR="00026089" w:rsidRDefault="00026089" w:rsidP="00D07A98">
      <w:pPr>
        <w:pStyle w:val="Descripcin"/>
        <w:keepNext/>
        <w:jc w:val="left"/>
        <w:rPr>
          <w:color w:val="000000" w:themeColor="text1"/>
        </w:rPr>
      </w:pPr>
    </w:p>
    <w:p w14:paraId="5FD2C7F8" w14:textId="77777777" w:rsidR="00D07A98" w:rsidRDefault="00D07A98" w:rsidP="00D07A98"/>
    <w:p w14:paraId="344E4BC9" w14:textId="77777777" w:rsidR="00D07A98" w:rsidRDefault="00D07A98" w:rsidP="00D07A98"/>
    <w:p w14:paraId="3ABE3DEE" w14:textId="77777777" w:rsidR="00D07A98" w:rsidRDefault="00D07A98" w:rsidP="00D07A98"/>
    <w:p w14:paraId="2F5A9A1F" w14:textId="77777777" w:rsidR="00D07A98" w:rsidRDefault="00D07A98" w:rsidP="00D07A98"/>
    <w:p w14:paraId="41D755C1" w14:textId="77777777" w:rsidR="00D07A98" w:rsidRDefault="00D07A98" w:rsidP="00D07A98"/>
    <w:p w14:paraId="7D019351" w14:textId="77777777" w:rsidR="00D07A98" w:rsidRDefault="00D07A98" w:rsidP="00D07A98"/>
    <w:p w14:paraId="407D9232" w14:textId="6B167772" w:rsidR="00D07A98" w:rsidRDefault="00D07A98" w:rsidP="00D07A98"/>
    <w:p w14:paraId="57F13903" w14:textId="77777777" w:rsidR="006812CD" w:rsidRDefault="006812CD" w:rsidP="00D07A98"/>
    <w:p w14:paraId="2C5E671A" w14:textId="77777777" w:rsidR="00D07A98" w:rsidRDefault="00D07A98" w:rsidP="00D07A98"/>
    <w:p w14:paraId="3CA6093E" w14:textId="77777777" w:rsidR="00D07A98" w:rsidRDefault="00D07A98" w:rsidP="00D07A98"/>
    <w:p w14:paraId="48BD5D39" w14:textId="77777777" w:rsidR="00D07A98" w:rsidRDefault="00D07A98" w:rsidP="00D07A98"/>
    <w:p w14:paraId="23AE3B69" w14:textId="77777777" w:rsidR="00D07A98" w:rsidRPr="00D07A98" w:rsidRDefault="00D07A98" w:rsidP="00D07A98"/>
    <w:p w14:paraId="6E29ED9A" w14:textId="6697C007" w:rsidR="008A5924" w:rsidRDefault="008A5924" w:rsidP="008A5924">
      <w:pPr>
        <w:pStyle w:val="Descripcin"/>
        <w:keepNext/>
        <w:rPr>
          <w:color w:val="000000" w:themeColor="text1"/>
        </w:rPr>
      </w:pPr>
      <w:r w:rsidRPr="00121F28">
        <w:rPr>
          <w:color w:val="000000" w:themeColor="text1"/>
        </w:rPr>
        <w:t xml:space="preserve">Gráfico  </w:t>
      </w:r>
      <w:r w:rsidRPr="00121F28">
        <w:rPr>
          <w:color w:val="000000" w:themeColor="text1"/>
        </w:rPr>
        <w:fldChar w:fldCharType="begin"/>
      </w:r>
      <w:r w:rsidRPr="00121F28">
        <w:rPr>
          <w:color w:val="000000" w:themeColor="text1"/>
        </w:rPr>
        <w:instrText xml:space="preserve"> SEQ Gráfico_ \* ARABIC </w:instrText>
      </w:r>
      <w:r w:rsidRPr="00121F28">
        <w:rPr>
          <w:color w:val="000000" w:themeColor="text1"/>
        </w:rPr>
        <w:fldChar w:fldCharType="separate"/>
      </w:r>
      <w:r w:rsidR="004B2A60">
        <w:rPr>
          <w:noProof/>
          <w:color w:val="000000" w:themeColor="text1"/>
        </w:rPr>
        <w:t>10</w:t>
      </w:r>
      <w:r w:rsidRPr="00121F28">
        <w:rPr>
          <w:noProof/>
          <w:color w:val="000000" w:themeColor="text1"/>
        </w:rPr>
        <w:fldChar w:fldCharType="end"/>
      </w:r>
      <w:r w:rsidRPr="00121F28">
        <w:rPr>
          <w:color w:val="000000" w:themeColor="text1"/>
        </w:rPr>
        <w:t>: Indicadores de Liquidez de la Deuda Pública</w:t>
      </w:r>
      <w:bookmarkEnd w:id="22"/>
    </w:p>
    <w:p w14:paraId="598D3191" w14:textId="77777777" w:rsidR="00026089" w:rsidRPr="008A700C" w:rsidRDefault="00026089" w:rsidP="008A700C"/>
    <w:p w14:paraId="18B37500" w14:textId="77777777" w:rsidR="008A5924" w:rsidRPr="00184700" w:rsidRDefault="00546B39" w:rsidP="00B546C3">
      <w:pPr>
        <w:jc w:val="center"/>
      </w:pPr>
      <w:r>
        <w:rPr>
          <w:noProof/>
          <w:lang w:val="es-GT" w:eastAsia="es-GT"/>
        </w:rPr>
        <w:drawing>
          <wp:inline distT="0" distB="0" distL="0" distR="0" wp14:anchorId="1F698882" wp14:editId="2EA6AC22">
            <wp:extent cx="6410673" cy="24003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0074" cy="2418797"/>
                    </a:xfrm>
                    <a:prstGeom prst="rect">
                      <a:avLst/>
                    </a:prstGeom>
                    <a:noFill/>
                  </pic:spPr>
                </pic:pic>
              </a:graphicData>
            </a:graphic>
          </wp:inline>
        </w:drawing>
      </w:r>
    </w:p>
    <w:p w14:paraId="379C3500" w14:textId="77777777" w:rsidR="008A5924" w:rsidRPr="001203DD" w:rsidRDefault="008A5924" w:rsidP="008A5924">
      <w:pPr>
        <w:ind w:left="1416" w:hanging="708"/>
        <w:rPr>
          <w:sz w:val="16"/>
          <w:szCs w:val="16"/>
        </w:rPr>
      </w:pPr>
      <w:r w:rsidRPr="00026089">
        <w:rPr>
          <w:b/>
          <w:sz w:val="16"/>
          <w:szCs w:val="16"/>
        </w:rPr>
        <w:t>Fuente:</w:t>
      </w:r>
      <w:r w:rsidRPr="001203DD">
        <w:rPr>
          <w:sz w:val="16"/>
          <w:szCs w:val="16"/>
        </w:rPr>
        <w:t xml:space="preserve"> Ministerio de Finanzas Públicas</w:t>
      </w:r>
    </w:p>
    <w:p w14:paraId="7EAA1D15" w14:textId="77777777" w:rsidR="008A5924" w:rsidRPr="00184700" w:rsidRDefault="008A5924" w:rsidP="008A5924">
      <w:pPr>
        <w:jc w:val="both"/>
      </w:pPr>
    </w:p>
    <w:p w14:paraId="5F2AB7E5" w14:textId="77777777" w:rsidR="008A700C" w:rsidRDefault="008A700C" w:rsidP="008A5924">
      <w:pPr>
        <w:jc w:val="both"/>
        <w:rPr>
          <w:color w:val="000000" w:themeColor="text1"/>
          <w:sz w:val="24"/>
          <w:szCs w:val="24"/>
        </w:rPr>
      </w:pPr>
    </w:p>
    <w:p w14:paraId="04DDC368" w14:textId="77777777" w:rsidR="008A5924" w:rsidRPr="00121F28" w:rsidRDefault="008A5924" w:rsidP="008A5924">
      <w:pPr>
        <w:jc w:val="both"/>
        <w:rPr>
          <w:color w:val="000000" w:themeColor="text1"/>
          <w:sz w:val="24"/>
          <w:szCs w:val="24"/>
        </w:rPr>
      </w:pPr>
      <w:r w:rsidRPr="00121F28">
        <w:rPr>
          <w:color w:val="000000" w:themeColor="text1"/>
          <w:sz w:val="24"/>
          <w:szCs w:val="24"/>
        </w:rPr>
        <w:t xml:space="preserve">Adicionalmente, conforme a los indicadores que muestran los estándares que mide el FMI para países de ingreso medio, con la finalidad de evaluar los riesgos en el perfil de la deuda, se puede indicar que el país tiene una baja vulnerabilidad considerando que en la mayor parte de los indicadores se encuentra dentro de los niveles razonables, situación similar acontece con los índices de solvencia de la deuda pública en donde el país está por debajo de dichos umbrales.  Es importante indicar que esta evaluación se realiza con datos estimados a 2018.   </w:t>
      </w:r>
    </w:p>
    <w:p w14:paraId="4A9E1FE2" w14:textId="77777777" w:rsidR="008A5924" w:rsidRPr="00121F28" w:rsidRDefault="008A5924" w:rsidP="008A5924">
      <w:pPr>
        <w:jc w:val="both"/>
        <w:rPr>
          <w:color w:val="000000" w:themeColor="text1"/>
          <w:sz w:val="24"/>
          <w:szCs w:val="24"/>
        </w:rPr>
      </w:pPr>
    </w:p>
    <w:p w14:paraId="2F39F64C" w14:textId="77777777" w:rsidR="008A5924" w:rsidRPr="00184700" w:rsidRDefault="008A5924" w:rsidP="008A5924">
      <w:pPr>
        <w:jc w:val="both"/>
      </w:pPr>
      <w:r w:rsidRPr="00121F28">
        <w:rPr>
          <w:color w:val="000000" w:themeColor="text1"/>
          <w:sz w:val="24"/>
          <w:szCs w:val="24"/>
        </w:rPr>
        <w:t>Sin embargo, el único indicador que se encuentra cerca del límite superior de la banda de vulnerabilidad es el que corresponde a la deuda pública con no residentes (43.5%), lo que ha coadyuvado a que este resultado no haya afectado los indicadores de deuda es el hecho de contar con una estabilidad en el tipo de cambio durante muchos años.  Además, es importante señalar, que un componente importante de la deuda es con organismos financieros multilaterales (58.7%), lo que minimiza el efecto de un posible riesgo de refinanciamiento con acreedores privados.   Asimismo, se prevé que en el mediano plazo este indicador se mantenga por debajo de ese umbral (45%), considerando que se prevé una mayor preferencia por el endeudamiento doméstico en moneda nacional, este argumento es consistente, con el comportamiento histórico de este indicador que ha ido reduciéndose gradualmente.  Con el financiamiento del presupuesto de mediano plazo, quizá podría variar un poco en el futuro, pero la trayectoria del comportamiento de la deuda externa será decreciente en dicho horizonte.</w:t>
      </w:r>
      <w:r w:rsidRPr="00184700">
        <w:tab/>
      </w:r>
      <w:r w:rsidRPr="00184700">
        <w:tab/>
      </w:r>
    </w:p>
    <w:p w14:paraId="5DAA893D" w14:textId="77777777" w:rsidR="008A5924" w:rsidRPr="00184700" w:rsidRDefault="008A5924" w:rsidP="008A5924">
      <w:pPr>
        <w:jc w:val="both"/>
      </w:pPr>
    </w:p>
    <w:p w14:paraId="725FDBDF" w14:textId="3B73957E" w:rsidR="008A5924" w:rsidRPr="00121F28" w:rsidRDefault="008A5924" w:rsidP="008A5924">
      <w:pPr>
        <w:pStyle w:val="Descripcin"/>
        <w:keepNext/>
        <w:rPr>
          <w:b w:val="0"/>
          <w:color w:val="000000" w:themeColor="text1"/>
        </w:rPr>
      </w:pPr>
      <w:bookmarkStart w:id="23" w:name="_Toc16242974"/>
      <w:r w:rsidRPr="00121F28">
        <w:rPr>
          <w:color w:val="000000" w:themeColor="text1"/>
        </w:rPr>
        <w:t xml:space="preserve">Gráfico  </w:t>
      </w:r>
      <w:r w:rsidRPr="00121F28">
        <w:rPr>
          <w:color w:val="000000" w:themeColor="text1"/>
        </w:rPr>
        <w:fldChar w:fldCharType="begin"/>
      </w:r>
      <w:r w:rsidRPr="00121F28">
        <w:rPr>
          <w:color w:val="000000" w:themeColor="text1"/>
        </w:rPr>
        <w:instrText xml:space="preserve"> SEQ Gráfico_ \* ARABIC </w:instrText>
      </w:r>
      <w:r w:rsidRPr="00121F28">
        <w:rPr>
          <w:color w:val="000000" w:themeColor="text1"/>
        </w:rPr>
        <w:fldChar w:fldCharType="separate"/>
      </w:r>
      <w:r w:rsidR="004B2A60">
        <w:rPr>
          <w:noProof/>
          <w:color w:val="000000" w:themeColor="text1"/>
        </w:rPr>
        <w:t>11</w:t>
      </w:r>
      <w:r w:rsidRPr="00121F28">
        <w:rPr>
          <w:noProof/>
          <w:color w:val="000000" w:themeColor="text1"/>
        </w:rPr>
        <w:fldChar w:fldCharType="end"/>
      </w:r>
      <w:r w:rsidRPr="00121F28">
        <w:rPr>
          <w:color w:val="000000" w:themeColor="text1"/>
        </w:rPr>
        <w:t>: Vulnerabilidad del Perfil de la Deuda Pública</w:t>
      </w:r>
      <w:bookmarkEnd w:id="23"/>
    </w:p>
    <w:p w14:paraId="6282FDBC" w14:textId="77777777" w:rsidR="00121F28" w:rsidRDefault="008A5924" w:rsidP="008A5924">
      <w:pPr>
        <w:pStyle w:val="Sinespaciado"/>
        <w:keepNext/>
        <w:jc w:val="center"/>
        <w:rPr>
          <w:rFonts w:ascii="Times New Roman" w:hAnsi="Times New Roman"/>
          <w:sz w:val="18"/>
        </w:rPr>
      </w:pPr>
      <w:r w:rsidRPr="00184700">
        <w:rPr>
          <w:rFonts w:ascii="Times New Roman" w:hAnsi="Times New Roman"/>
          <w:sz w:val="18"/>
        </w:rPr>
        <w:t>Lo límites son las alertas tempranas alta y baja de la estimación de riesgos</w:t>
      </w:r>
    </w:p>
    <w:p w14:paraId="564CFBB9" w14:textId="77777777" w:rsidR="008A700C" w:rsidRDefault="008A700C" w:rsidP="008A5924">
      <w:pPr>
        <w:pStyle w:val="Sinespaciado"/>
        <w:keepNext/>
        <w:jc w:val="center"/>
        <w:rPr>
          <w:rFonts w:ascii="Times New Roman" w:hAnsi="Times New Roman"/>
          <w:sz w:val="18"/>
        </w:rPr>
      </w:pPr>
    </w:p>
    <w:p w14:paraId="6261CDA8" w14:textId="77777777" w:rsidR="00121F28" w:rsidRDefault="00121F28" w:rsidP="008A5924">
      <w:pPr>
        <w:pStyle w:val="Sinespaciado"/>
        <w:keepNext/>
        <w:jc w:val="center"/>
        <w:rPr>
          <w:rFonts w:ascii="Times New Roman" w:hAnsi="Times New Roman"/>
          <w:sz w:val="18"/>
        </w:rPr>
      </w:pPr>
    </w:p>
    <w:p w14:paraId="5D1BA3FC" w14:textId="77777777" w:rsidR="008A5924" w:rsidRPr="00184700" w:rsidRDefault="008A5924" w:rsidP="008A5924">
      <w:pPr>
        <w:pStyle w:val="Sinespaciado"/>
        <w:keepNext/>
        <w:jc w:val="center"/>
        <w:rPr>
          <w:rFonts w:ascii="Times New Roman" w:hAnsi="Times New Roman"/>
          <w:b/>
        </w:rPr>
      </w:pPr>
      <w:r w:rsidRPr="00184700">
        <w:rPr>
          <w:noProof/>
          <w:lang w:val="es-GT" w:eastAsia="es-GT"/>
        </w:rPr>
        <w:drawing>
          <wp:inline distT="0" distB="0" distL="0" distR="0" wp14:anchorId="4B266413" wp14:editId="1ADA10EF">
            <wp:extent cx="5676265" cy="2362810"/>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1573" cy="2373345"/>
                    </a:xfrm>
                    <a:prstGeom prst="rect">
                      <a:avLst/>
                    </a:prstGeom>
                    <a:noFill/>
                  </pic:spPr>
                </pic:pic>
              </a:graphicData>
            </a:graphic>
          </wp:inline>
        </w:drawing>
      </w:r>
    </w:p>
    <w:p w14:paraId="086EE15A" w14:textId="77777777" w:rsidR="008A5924" w:rsidRPr="001203DD" w:rsidRDefault="00B546C3" w:rsidP="008A5924">
      <w:pPr>
        <w:jc w:val="both"/>
        <w:rPr>
          <w:sz w:val="16"/>
        </w:rPr>
      </w:pPr>
      <w:r>
        <w:rPr>
          <w:b/>
          <w:sz w:val="16"/>
        </w:rPr>
        <w:t xml:space="preserve">             </w:t>
      </w:r>
      <w:r w:rsidR="008A5924" w:rsidRPr="00CA6EE1">
        <w:rPr>
          <w:b/>
          <w:sz w:val="16"/>
        </w:rPr>
        <w:t>Fuente:</w:t>
      </w:r>
      <w:r w:rsidR="008A5924" w:rsidRPr="001203DD">
        <w:rPr>
          <w:sz w:val="16"/>
        </w:rPr>
        <w:t xml:space="preserve"> Ministerio de Finanzas Públicas</w:t>
      </w:r>
    </w:p>
    <w:p w14:paraId="20C7F544" w14:textId="77777777" w:rsidR="008A5924" w:rsidRPr="00184700" w:rsidRDefault="008A5924" w:rsidP="008A5924">
      <w:pPr>
        <w:jc w:val="both"/>
      </w:pPr>
    </w:p>
    <w:p w14:paraId="3218F4B1" w14:textId="77777777" w:rsidR="008A5924" w:rsidRPr="00121F28" w:rsidRDefault="008A5924" w:rsidP="008A5924">
      <w:pPr>
        <w:jc w:val="both"/>
        <w:rPr>
          <w:sz w:val="24"/>
          <w:szCs w:val="24"/>
        </w:rPr>
      </w:pPr>
      <w:r w:rsidRPr="00121F28">
        <w:rPr>
          <w:sz w:val="24"/>
          <w:szCs w:val="24"/>
        </w:rPr>
        <w:t>Merece especial atención, para efectos de medir la vulnerabilidad y el riesgo país el indicador del EMBI (</w:t>
      </w:r>
      <w:r w:rsidRPr="00121F28">
        <w:rPr>
          <w:i/>
          <w:sz w:val="24"/>
          <w:szCs w:val="24"/>
        </w:rPr>
        <w:t>Emerging Markets Bonds Index</w:t>
      </w:r>
      <w:r w:rsidRPr="00121F28">
        <w:rPr>
          <w:sz w:val="24"/>
          <w:szCs w:val="24"/>
        </w:rPr>
        <w:t xml:space="preserve"> o Indicador de Bonos de Mercados Emergentes) calculado por JP Morgan Chase y trata de medir la diferencia de tasa de interés que pagan los bonos denominados en dólares, emitidos por países subdesarrollados, y los Bonos del Tesoro de EEUU, que se consideran "libres" de riesgo.  El hecho que Guatemala al 30 de abril de 2019 tenga un EMBI de 205, muestra que el riesgo país es relativamente bajo y es uno de los más bajos de América Latina y a nivel Global según muestra el índice del EMBI.</w:t>
      </w:r>
    </w:p>
    <w:p w14:paraId="026FEC9E" w14:textId="77777777" w:rsidR="008A5924" w:rsidRPr="00184700" w:rsidRDefault="008A5924" w:rsidP="008A5924">
      <w:pPr>
        <w:pStyle w:val="Descripcin"/>
      </w:pPr>
    </w:p>
    <w:p w14:paraId="1AD5135C" w14:textId="6B7C2325" w:rsidR="008A5924" w:rsidRPr="00121F28" w:rsidRDefault="008A5924" w:rsidP="008A5924">
      <w:pPr>
        <w:pStyle w:val="Descripcin"/>
        <w:keepNext/>
        <w:rPr>
          <w:b w:val="0"/>
          <w:color w:val="000000" w:themeColor="text1"/>
        </w:rPr>
      </w:pPr>
      <w:bookmarkStart w:id="24" w:name="_Toc16242975"/>
      <w:r w:rsidRPr="00121F28">
        <w:rPr>
          <w:color w:val="000000" w:themeColor="text1"/>
        </w:rPr>
        <w:t xml:space="preserve">Gráfico  </w:t>
      </w:r>
      <w:r w:rsidRPr="00121F28">
        <w:rPr>
          <w:color w:val="000000" w:themeColor="text1"/>
        </w:rPr>
        <w:fldChar w:fldCharType="begin"/>
      </w:r>
      <w:r w:rsidRPr="00121F28">
        <w:rPr>
          <w:color w:val="000000" w:themeColor="text1"/>
        </w:rPr>
        <w:instrText xml:space="preserve"> SEQ Gráfico_ \* ARABIC </w:instrText>
      </w:r>
      <w:r w:rsidRPr="00121F28">
        <w:rPr>
          <w:color w:val="000000" w:themeColor="text1"/>
        </w:rPr>
        <w:fldChar w:fldCharType="separate"/>
      </w:r>
      <w:r w:rsidR="004B2A60">
        <w:rPr>
          <w:noProof/>
          <w:color w:val="000000" w:themeColor="text1"/>
        </w:rPr>
        <w:t>12</w:t>
      </w:r>
      <w:r w:rsidRPr="00121F28">
        <w:rPr>
          <w:noProof/>
          <w:color w:val="000000" w:themeColor="text1"/>
        </w:rPr>
        <w:fldChar w:fldCharType="end"/>
      </w:r>
      <w:r w:rsidRPr="00121F28">
        <w:rPr>
          <w:color w:val="000000" w:themeColor="text1"/>
        </w:rPr>
        <w:t>: EMBI Calculado para Países de América Latina</w:t>
      </w:r>
      <w:bookmarkEnd w:id="24"/>
    </w:p>
    <w:p w14:paraId="7B547F78" w14:textId="77777777" w:rsidR="008A5924" w:rsidRPr="00184700" w:rsidRDefault="008A5924" w:rsidP="008A5924">
      <w:pPr>
        <w:pStyle w:val="Sinespaciado"/>
        <w:keepNext/>
        <w:tabs>
          <w:tab w:val="left" w:pos="6237"/>
        </w:tabs>
        <w:jc w:val="center"/>
        <w:rPr>
          <w:rFonts w:ascii="Times New Roman" w:hAnsi="Times New Roman"/>
          <w:sz w:val="20"/>
        </w:rPr>
      </w:pPr>
      <w:r w:rsidRPr="00184700">
        <w:rPr>
          <w:rFonts w:ascii="Times New Roman" w:hAnsi="Times New Roman"/>
          <w:sz w:val="20"/>
        </w:rPr>
        <w:t>Al 30 de abril de 2019</w:t>
      </w:r>
    </w:p>
    <w:p w14:paraId="73AB27A3" w14:textId="77777777" w:rsidR="008A5924" w:rsidRDefault="008A5924" w:rsidP="008A5924">
      <w:pPr>
        <w:pStyle w:val="Sinespaciado"/>
        <w:keepNext/>
        <w:tabs>
          <w:tab w:val="left" w:pos="6237"/>
        </w:tabs>
        <w:jc w:val="center"/>
        <w:rPr>
          <w:rFonts w:ascii="Times New Roman" w:hAnsi="Times New Roman"/>
          <w:sz w:val="18"/>
        </w:rPr>
      </w:pPr>
      <w:r w:rsidRPr="00184700">
        <w:rPr>
          <w:rFonts w:ascii="Times New Roman" w:hAnsi="Times New Roman"/>
          <w:sz w:val="18"/>
        </w:rPr>
        <w:t>Porcentajes</w:t>
      </w:r>
    </w:p>
    <w:p w14:paraId="081C7A99" w14:textId="77777777" w:rsidR="008A700C" w:rsidRPr="00184700" w:rsidRDefault="008A700C" w:rsidP="008A5924">
      <w:pPr>
        <w:pStyle w:val="Sinespaciado"/>
        <w:keepNext/>
        <w:tabs>
          <w:tab w:val="left" w:pos="6237"/>
        </w:tabs>
        <w:jc w:val="center"/>
        <w:rPr>
          <w:rFonts w:ascii="Times New Roman" w:hAnsi="Times New Roman"/>
          <w:sz w:val="18"/>
        </w:rPr>
      </w:pPr>
    </w:p>
    <w:p w14:paraId="47980617" w14:textId="77777777" w:rsidR="008A5924" w:rsidRPr="00184700" w:rsidRDefault="008A5924" w:rsidP="008A5924">
      <w:pPr>
        <w:pStyle w:val="Sinespaciado"/>
        <w:jc w:val="center"/>
        <w:rPr>
          <w:rFonts w:ascii="Times New Roman" w:hAnsi="Times New Roman"/>
          <w:lang w:val="es-MX"/>
        </w:rPr>
      </w:pPr>
      <w:r w:rsidRPr="00184700">
        <w:rPr>
          <w:rFonts w:ascii="Times New Roman" w:hAnsi="Times New Roman"/>
          <w:noProof/>
          <w:lang w:val="es-GT" w:eastAsia="es-GT"/>
        </w:rPr>
        <w:drawing>
          <wp:inline distT="0" distB="0" distL="0" distR="0" wp14:anchorId="3AC8671C" wp14:editId="35285F2F">
            <wp:extent cx="5192202" cy="235118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170"/>
                    <a:stretch/>
                  </pic:blipFill>
                  <pic:spPr bwMode="auto">
                    <a:xfrm>
                      <a:off x="0" y="0"/>
                      <a:ext cx="5199839" cy="2354643"/>
                    </a:xfrm>
                    <a:prstGeom prst="rect">
                      <a:avLst/>
                    </a:prstGeom>
                    <a:noFill/>
                    <a:ln>
                      <a:noFill/>
                    </a:ln>
                    <a:extLst>
                      <a:ext uri="{53640926-AAD7-44D8-BBD7-CCE9431645EC}">
                        <a14:shadowObscured xmlns:a14="http://schemas.microsoft.com/office/drawing/2010/main"/>
                      </a:ext>
                    </a:extLst>
                  </pic:spPr>
                </pic:pic>
              </a:graphicData>
            </a:graphic>
          </wp:inline>
        </w:drawing>
      </w:r>
    </w:p>
    <w:p w14:paraId="2E2E7746" w14:textId="77777777" w:rsidR="008A5924" w:rsidRPr="001203DD" w:rsidRDefault="008A5924" w:rsidP="008A5924">
      <w:pPr>
        <w:pStyle w:val="Sinespaciado"/>
        <w:jc w:val="both"/>
        <w:rPr>
          <w:rFonts w:ascii="Times New Roman" w:hAnsi="Times New Roman"/>
          <w:sz w:val="16"/>
          <w:lang w:val="es-MX"/>
        </w:rPr>
      </w:pPr>
      <w:r w:rsidRPr="00CA6EE1">
        <w:rPr>
          <w:rFonts w:ascii="Times New Roman" w:hAnsi="Times New Roman"/>
          <w:b/>
          <w:sz w:val="16"/>
          <w:lang w:val="es-MX"/>
        </w:rPr>
        <w:t xml:space="preserve">  </w:t>
      </w:r>
      <w:r w:rsidR="00121F28" w:rsidRPr="00CA6EE1">
        <w:rPr>
          <w:rFonts w:ascii="Times New Roman" w:hAnsi="Times New Roman"/>
          <w:b/>
          <w:sz w:val="16"/>
          <w:lang w:val="es-MX"/>
        </w:rPr>
        <w:t xml:space="preserve">                        </w:t>
      </w:r>
      <w:r w:rsidRPr="00CA6EE1">
        <w:rPr>
          <w:rFonts w:ascii="Times New Roman" w:hAnsi="Times New Roman"/>
          <w:b/>
          <w:sz w:val="16"/>
          <w:lang w:val="es-MX"/>
        </w:rPr>
        <w:t xml:space="preserve"> Fuente</w:t>
      </w:r>
      <w:r w:rsidRPr="001203DD">
        <w:rPr>
          <w:rFonts w:ascii="Times New Roman" w:hAnsi="Times New Roman"/>
          <w:sz w:val="16"/>
          <w:lang w:val="es-MX"/>
        </w:rPr>
        <w:t>: Base de datos de JP Morgan (publicado por el Banco Central de la República Dominicana)</w:t>
      </w:r>
    </w:p>
    <w:p w14:paraId="47A286E1" w14:textId="77777777" w:rsidR="008A5924" w:rsidRPr="00184700" w:rsidRDefault="008A5924" w:rsidP="008A5924">
      <w:pPr>
        <w:jc w:val="both"/>
      </w:pPr>
    </w:p>
    <w:p w14:paraId="411D4665" w14:textId="77777777" w:rsidR="008A5924" w:rsidRPr="00121F28" w:rsidRDefault="008A5924" w:rsidP="008A5924">
      <w:pPr>
        <w:jc w:val="both"/>
        <w:rPr>
          <w:sz w:val="24"/>
        </w:rPr>
      </w:pPr>
      <w:r w:rsidRPr="00121F28">
        <w:rPr>
          <w:sz w:val="24"/>
        </w:rPr>
        <w:t>Por último, al observar la evolución y perspectivas de los principales indicadores de deuda pública para Guatemala, así como el comparativo con otros países de la región y al principal índice de riesgo país que tiene incidencia directa sobre el costo financiero de la deuda de mercado (EMBI),  se evidencia el manejo prudente y responsable de las finanzas públicas por parte del gobierno y que garantiza la preservación de la sostenibilidad fiscal en el mediano plazo, permitiendo con ello seguir contribuyendo a la estabilidad macroeconómica del país.</w:t>
      </w:r>
    </w:p>
    <w:p w14:paraId="1B2276AC" w14:textId="77777777" w:rsidR="008A5924" w:rsidRPr="00184700" w:rsidRDefault="008A5924" w:rsidP="008A5924">
      <w:pPr>
        <w:pStyle w:val="Sinespaciado"/>
        <w:jc w:val="both"/>
        <w:rPr>
          <w:rFonts w:ascii="Times New Roman" w:hAnsi="Times New Roman"/>
          <w:b/>
          <w:szCs w:val="24"/>
          <w:lang w:val="es-MX"/>
        </w:rPr>
      </w:pPr>
    </w:p>
    <w:p w14:paraId="142F6021" w14:textId="77777777" w:rsidR="008A5924" w:rsidRPr="00121F28" w:rsidRDefault="008A5924" w:rsidP="00DD6292">
      <w:pPr>
        <w:pStyle w:val="Ttulo3"/>
        <w:widowControl/>
        <w:numPr>
          <w:ilvl w:val="2"/>
          <w:numId w:val="5"/>
        </w:numPr>
        <w:spacing w:before="240" w:after="60"/>
        <w:ind w:left="1701" w:hanging="981"/>
        <w:jc w:val="both"/>
        <w:rPr>
          <w:sz w:val="24"/>
        </w:rPr>
      </w:pPr>
      <w:bookmarkStart w:id="25" w:name="_Toc509214748"/>
      <w:bookmarkStart w:id="26" w:name="_Toc523294544"/>
      <w:bookmarkStart w:id="27" w:name="_Toc16519888"/>
      <w:r w:rsidRPr="00121F28">
        <w:rPr>
          <w:sz w:val="24"/>
        </w:rPr>
        <w:t>Análisis de Sostenibilidad de la Deuda</w:t>
      </w:r>
      <w:bookmarkStart w:id="28" w:name="_Toc508979675"/>
      <w:bookmarkStart w:id="29" w:name="_Toc508980033"/>
      <w:bookmarkStart w:id="30" w:name="_Toc508980185"/>
      <w:bookmarkStart w:id="31" w:name="_Toc508981226"/>
      <w:bookmarkStart w:id="32" w:name="_Toc508982478"/>
      <w:bookmarkStart w:id="33" w:name="_Toc509213491"/>
      <w:bookmarkStart w:id="34" w:name="_Toc509213554"/>
      <w:bookmarkStart w:id="35" w:name="_Toc509213620"/>
      <w:bookmarkStart w:id="36" w:name="_Toc509213785"/>
      <w:bookmarkStart w:id="37" w:name="_Toc509214749"/>
      <w:bookmarkStart w:id="38" w:name="_Toc523208427"/>
      <w:bookmarkStart w:id="39" w:name="_Toc523208487"/>
      <w:bookmarkStart w:id="40" w:name="_Toc523209882"/>
      <w:bookmarkStart w:id="41" w:name="_Toc523210065"/>
      <w:bookmarkStart w:id="42" w:name="_Toc523225743"/>
      <w:bookmarkStart w:id="43" w:name="_Toc523229610"/>
      <w:bookmarkStart w:id="44" w:name="_Toc523247078"/>
      <w:bookmarkStart w:id="45" w:name="_Toc523294545"/>
      <w:bookmarkStart w:id="46" w:name="_Toc523208431"/>
      <w:bookmarkStart w:id="47" w:name="_Toc523208491"/>
      <w:bookmarkStart w:id="48" w:name="_Toc523209886"/>
      <w:bookmarkStart w:id="49" w:name="_Toc523210069"/>
      <w:bookmarkStart w:id="50" w:name="_Toc523225747"/>
      <w:bookmarkStart w:id="51" w:name="_Toc523229614"/>
      <w:bookmarkStart w:id="52" w:name="_Toc523247082"/>
      <w:bookmarkStart w:id="53" w:name="_Toc523294549"/>
      <w:bookmarkStart w:id="54" w:name="_Toc50921475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8879BF0" w14:textId="77777777" w:rsidR="008A5924" w:rsidRPr="00121F28" w:rsidRDefault="008A5924" w:rsidP="00DD6292">
      <w:pPr>
        <w:pStyle w:val="Ttulo4"/>
        <w:widowControl/>
        <w:numPr>
          <w:ilvl w:val="3"/>
          <w:numId w:val="5"/>
        </w:numPr>
        <w:spacing w:before="240" w:after="60"/>
        <w:jc w:val="both"/>
        <w:rPr>
          <w:sz w:val="24"/>
        </w:rPr>
      </w:pPr>
      <w:bookmarkStart w:id="55" w:name="_Toc523294550"/>
      <w:bookmarkStart w:id="56" w:name="_Toc16519889"/>
      <w:r w:rsidRPr="00121F28">
        <w:rPr>
          <w:sz w:val="24"/>
        </w:rPr>
        <w:t>Análisis de Mediano Plazo</w:t>
      </w:r>
      <w:bookmarkEnd w:id="54"/>
      <w:bookmarkEnd w:id="55"/>
      <w:bookmarkEnd w:id="56"/>
    </w:p>
    <w:p w14:paraId="0576511C" w14:textId="77777777" w:rsidR="008A5924" w:rsidRPr="00184700" w:rsidRDefault="008A5924" w:rsidP="008A5924">
      <w:pPr>
        <w:pStyle w:val="Sinespaciado"/>
        <w:jc w:val="both"/>
        <w:rPr>
          <w:rFonts w:ascii="Times New Roman" w:hAnsi="Times New Roman"/>
          <w:lang w:val="es-MX"/>
        </w:rPr>
      </w:pPr>
    </w:p>
    <w:p w14:paraId="271249A8"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 xml:space="preserve">De acuerdo con el enfoque tradicional de acumulación de deuda, los cambios en la de proporción deuda/PIB, son determinados por el diferencial entre el tipo de interés real implícito y la tasa de crecimiento del PIB, la variación del tipo de cambio, el saldo fiscal primario y los ajustes de flujos a stock tales como el uso de recursos del gobierno en el Banco de Guatemala y el Pago de las Deficiencias Netas. Las simulaciones determinísticas sobre la trayectoria de las variables que integran una ecuación dan como resultado la proporción de deuda/PIB de referencia o acorde a los niveles de las variables consideradas en el análisis.  </w:t>
      </w:r>
    </w:p>
    <w:p w14:paraId="03A08B80" w14:textId="77777777" w:rsidR="008A5924" w:rsidRPr="00121F28" w:rsidRDefault="008A5924" w:rsidP="008A5924">
      <w:pPr>
        <w:pStyle w:val="Sinespaciado"/>
        <w:jc w:val="both"/>
        <w:rPr>
          <w:rFonts w:ascii="Times New Roman" w:hAnsi="Times New Roman"/>
          <w:sz w:val="24"/>
          <w:szCs w:val="24"/>
          <w:lang w:val="es-MX"/>
        </w:rPr>
      </w:pPr>
    </w:p>
    <w:p w14:paraId="41145C55"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Las previsiones macroeconómicas, financieras y fiscales que dan como resultado la trayectoria base para 2019-2024, se utiliza para el efecto las previsiones macroeconómicas y fiscales hasta 2024, tomadas de la última actualización de las proyecciones macroeconómicas elaboradas por el Banco de Guatemala (abril 2019).  Los supuestos que se utilizaron son los siguientes:</w:t>
      </w:r>
    </w:p>
    <w:p w14:paraId="4526F083" w14:textId="77777777" w:rsidR="008A5924" w:rsidRPr="00121F28" w:rsidRDefault="008A5924" w:rsidP="008A5924">
      <w:pPr>
        <w:pStyle w:val="Sinespaciado"/>
        <w:jc w:val="both"/>
        <w:rPr>
          <w:rFonts w:ascii="Times New Roman" w:hAnsi="Times New Roman"/>
          <w:sz w:val="24"/>
          <w:szCs w:val="24"/>
          <w:lang w:val="es-MX"/>
        </w:rPr>
      </w:pPr>
    </w:p>
    <w:p w14:paraId="01E59DF2" w14:textId="77777777" w:rsidR="008A5924" w:rsidRPr="00121F28" w:rsidRDefault="008A5924" w:rsidP="00DD6292">
      <w:pPr>
        <w:pStyle w:val="Sinespaciado"/>
        <w:numPr>
          <w:ilvl w:val="0"/>
          <w:numId w:val="10"/>
        </w:numPr>
        <w:jc w:val="both"/>
        <w:rPr>
          <w:rFonts w:ascii="Times New Roman" w:hAnsi="Times New Roman"/>
          <w:sz w:val="24"/>
          <w:szCs w:val="24"/>
          <w:lang w:val="es-MX"/>
        </w:rPr>
      </w:pPr>
      <w:r w:rsidRPr="00121F28">
        <w:rPr>
          <w:rFonts w:ascii="Times New Roman" w:hAnsi="Times New Roman"/>
          <w:sz w:val="24"/>
          <w:szCs w:val="24"/>
          <w:lang w:val="es-MX"/>
        </w:rPr>
        <w:t>El crecimiento real del PIB está basado en el crecimiento estimado por</w:t>
      </w:r>
      <w:r w:rsidR="00B26F16">
        <w:rPr>
          <w:rFonts w:ascii="Times New Roman" w:hAnsi="Times New Roman"/>
          <w:sz w:val="24"/>
          <w:szCs w:val="24"/>
          <w:lang w:val="es-MX"/>
        </w:rPr>
        <w:t xml:space="preserve"> el</w:t>
      </w:r>
      <w:r w:rsidRPr="00121F28">
        <w:rPr>
          <w:rFonts w:ascii="Times New Roman" w:hAnsi="Times New Roman"/>
          <w:sz w:val="24"/>
          <w:szCs w:val="24"/>
          <w:lang w:val="es-MX"/>
        </w:rPr>
        <w:t xml:space="preserve"> Banco de Guatemala, donde se asume que este se ubicará en el escenario medio de las proyecciones de esta entidad. Esto significa que las tasas de crecimiento real, estará muy cerca del PIB potencial.</w:t>
      </w:r>
    </w:p>
    <w:p w14:paraId="60E903E9" w14:textId="77777777" w:rsidR="008A5924" w:rsidRPr="00121F28" w:rsidRDefault="008A5924" w:rsidP="00DD6292">
      <w:pPr>
        <w:pStyle w:val="Sinespaciado"/>
        <w:numPr>
          <w:ilvl w:val="0"/>
          <w:numId w:val="10"/>
        </w:numPr>
        <w:jc w:val="both"/>
        <w:rPr>
          <w:rFonts w:ascii="Times New Roman" w:hAnsi="Times New Roman"/>
          <w:sz w:val="24"/>
          <w:szCs w:val="24"/>
          <w:lang w:val="es-MX"/>
        </w:rPr>
      </w:pPr>
      <w:r w:rsidRPr="00121F28">
        <w:rPr>
          <w:rFonts w:ascii="Times New Roman" w:hAnsi="Times New Roman"/>
          <w:sz w:val="24"/>
          <w:szCs w:val="24"/>
          <w:lang w:val="es-MX"/>
        </w:rPr>
        <w:t>La tasa de inflación (y el deflactor del PIB) convergen a un 4.0 por ciento en el período indicado, en línea con la definición de metas del Banco Central, generando una brecha constante entre crecimiento real y nominal.</w:t>
      </w:r>
    </w:p>
    <w:p w14:paraId="6647E7EC" w14:textId="77777777" w:rsidR="008A5924" w:rsidRPr="00121F28" w:rsidRDefault="008A5924" w:rsidP="00DD6292">
      <w:pPr>
        <w:pStyle w:val="Sinespaciado"/>
        <w:numPr>
          <w:ilvl w:val="0"/>
          <w:numId w:val="10"/>
        </w:numPr>
        <w:jc w:val="both"/>
        <w:rPr>
          <w:rFonts w:ascii="Times New Roman" w:hAnsi="Times New Roman"/>
          <w:sz w:val="24"/>
          <w:szCs w:val="24"/>
          <w:lang w:val="es-MX"/>
        </w:rPr>
      </w:pPr>
      <w:r w:rsidRPr="00121F28">
        <w:rPr>
          <w:rFonts w:ascii="Times New Roman" w:hAnsi="Times New Roman"/>
          <w:sz w:val="24"/>
          <w:szCs w:val="24"/>
          <w:lang w:val="es-MX"/>
        </w:rPr>
        <w:t>El gasto en pago de intereses de deuda (r) está calculado como la suma ponderada de los distintos instrumentos de deuda con diferente madurez.</w:t>
      </w:r>
    </w:p>
    <w:p w14:paraId="6F993740" w14:textId="77777777" w:rsidR="008A5924" w:rsidRPr="00121F28" w:rsidRDefault="008A5924" w:rsidP="00DD6292">
      <w:pPr>
        <w:pStyle w:val="Sinespaciado"/>
        <w:numPr>
          <w:ilvl w:val="0"/>
          <w:numId w:val="10"/>
        </w:numPr>
        <w:jc w:val="both"/>
        <w:rPr>
          <w:rFonts w:ascii="Times New Roman" w:hAnsi="Times New Roman"/>
          <w:sz w:val="24"/>
          <w:szCs w:val="24"/>
          <w:lang w:val="es-MX"/>
        </w:rPr>
      </w:pPr>
      <w:r w:rsidRPr="00121F28">
        <w:rPr>
          <w:rFonts w:ascii="Times New Roman" w:hAnsi="Times New Roman"/>
          <w:sz w:val="24"/>
          <w:szCs w:val="24"/>
          <w:lang w:val="es-MX"/>
        </w:rPr>
        <w:t>El saldo fiscal primario (Sp) se obtiene de las operaciones de ingresos y gastos que se proyectan en el presupuesto de mediano plazo</w:t>
      </w:r>
    </w:p>
    <w:p w14:paraId="63E98F61" w14:textId="77777777" w:rsidR="008A5924" w:rsidRPr="00121F28" w:rsidRDefault="008A5924" w:rsidP="008A5924">
      <w:pPr>
        <w:pStyle w:val="Sinespaciado"/>
        <w:ind w:left="708"/>
        <w:jc w:val="both"/>
        <w:rPr>
          <w:rFonts w:ascii="Times New Roman" w:hAnsi="Times New Roman"/>
          <w:sz w:val="24"/>
          <w:szCs w:val="24"/>
          <w:lang w:val="es-MX"/>
        </w:rPr>
      </w:pPr>
    </w:p>
    <w:p w14:paraId="122E6345"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Con base en lo anterior, se realizó un análisis para observar las contribuciones de los determinantes macro fiscales en el cambio de la deuda pública.  Se observa que para 2019, el incremento relativo de la deuda es positivo (0.4 puntos porcentuales del PIB), resultado de una expansión de las finanzas públicas y de una leve depreciación del tipo de cambio.</w:t>
      </w:r>
    </w:p>
    <w:p w14:paraId="18A2F82E" w14:textId="77777777" w:rsidR="008A5924" w:rsidRPr="00121F28" w:rsidRDefault="008A5924" w:rsidP="008A5924">
      <w:pPr>
        <w:pStyle w:val="Sinespaciado"/>
        <w:jc w:val="both"/>
        <w:rPr>
          <w:rFonts w:ascii="Times New Roman" w:hAnsi="Times New Roman"/>
          <w:sz w:val="24"/>
          <w:szCs w:val="24"/>
          <w:lang w:val="es-MX"/>
        </w:rPr>
      </w:pPr>
    </w:p>
    <w:p w14:paraId="3F17B356"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Para 2020, el incremento relativo de la deuda (1.0 punto porcentual del PIB), se debe principalmente a un mayor déficit primario, derivado del aumento en el gasto público por encima de los ingresos fiscales y por una leve depreciación esperada en el tipo d</w:t>
      </w:r>
      <w:r w:rsidR="004F3E26">
        <w:rPr>
          <w:rFonts w:ascii="Times New Roman" w:hAnsi="Times New Roman"/>
          <w:sz w:val="24"/>
          <w:szCs w:val="24"/>
          <w:lang w:val="es-MX"/>
        </w:rPr>
        <w:t xml:space="preserve">e cambio. </w:t>
      </w:r>
      <w:r w:rsidRPr="00121F28">
        <w:rPr>
          <w:rFonts w:ascii="Times New Roman" w:hAnsi="Times New Roman"/>
          <w:sz w:val="24"/>
          <w:szCs w:val="24"/>
          <w:lang w:val="es-MX"/>
        </w:rPr>
        <w:t xml:space="preserve">Además, de otros factores como el aumento de la deuda derivado del pago de las deficiencias netas del Banco de Guatemala, obtenidas en 2018.   </w:t>
      </w:r>
    </w:p>
    <w:p w14:paraId="0B47ADAE" w14:textId="77777777" w:rsidR="008A5924" w:rsidRPr="00121F28" w:rsidRDefault="008A5924" w:rsidP="008A5924">
      <w:pPr>
        <w:pStyle w:val="Sinespaciado"/>
        <w:jc w:val="both"/>
        <w:rPr>
          <w:rFonts w:ascii="Times New Roman" w:hAnsi="Times New Roman"/>
          <w:sz w:val="24"/>
          <w:szCs w:val="24"/>
          <w:lang w:val="es-MX"/>
        </w:rPr>
      </w:pPr>
    </w:p>
    <w:p w14:paraId="57DEB1F8" w14:textId="77777777" w:rsidR="00157BEF" w:rsidRDefault="00157BEF" w:rsidP="008A5924">
      <w:pPr>
        <w:pStyle w:val="Sinespaciado"/>
        <w:jc w:val="both"/>
        <w:rPr>
          <w:rFonts w:ascii="Times New Roman" w:hAnsi="Times New Roman"/>
          <w:sz w:val="24"/>
          <w:szCs w:val="24"/>
          <w:lang w:val="es-MX"/>
        </w:rPr>
      </w:pPr>
    </w:p>
    <w:p w14:paraId="155E550F"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Para el período 2019-2024, la dinámica de la deuda, será levemente creciente, causado primero por un aumento del déficit primario en 2019-2020 y, segundo, por una reducción gradual en los años siguientes. El aumento acumulado es de 0.4 puntos porcentuales del PIB. Asimismo, el tipo de cambio se prevé se mantenga estable en torno al Q8.00 x US$1.00 en el</w:t>
      </w:r>
      <w:r w:rsidR="004F3E26">
        <w:rPr>
          <w:rFonts w:ascii="Times New Roman" w:hAnsi="Times New Roman"/>
          <w:sz w:val="24"/>
          <w:szCs w:val="24"/>
          <w:lang w:val="es-MX"/>
        </w:rPr>
        <w:t xml:space="preserve"> referido periodo. </w:t>
      </w:r>
      <w:r w:rsidRPr="00121F28">
        <w:rPr>
          <w:rFonts w:ascii="Times New Roman" w:hAnsi="Times New Roman"/>
          <w:sz w:val="24"/>
          <w:szCs w:val="24"/>
          <w:lang w:val="es-MX"/>
        </w:rPr>
        <w:t>Es importante indicar que es necesario que el crecimiento económico se ubique por encima de la tasa de interés real favoreciendo con ello la estabilidad en la dinámica de la deuda.</w:t>
      </w:r>
    </w:p>
    <w:p w14:paraId="5EF1CB62" w14:textId="77777777" w:rsidR="008A5924" w:rsidRPr="00121F28" w:rsidRDefault="008A5924" w:rsidP="008A5924">
      <w:pPr>
        <w:pStyle w:val="Sinespaciado"/>
        <w:jc w:val="both"/>
        <w:rPr>
          <w:rFonts w:ascii="Times New Roman" w:hAnsi="Times New Roman"/>
          <w:sz w:val="24"/>
          <w:szCs w:val="24"/>
          <w:lang w:val="es-MX"/>
        </w:rPr>
      </w:pPr>
    </w:p>
    <w:p w14:paraId="7D144B82"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Lo anterior da como resultado que, en términos acumulados, en el período 2019-2024, la deuda pública aumente ligeramente, por lo que se esperaría que el nivel de la deuda pública para el cie</w:t>
      </w:r>
      <w:r w:rsidR="003C65BF" w:rsidRPr="00121F28">
        <w:rPr>
          <w:rFonts w:ascii="Times New Roman" w:hAnsi="Times New Roman"/>
          <w:sz w:val="24"/>
          <w:szCs w:val="24"/>
          <w:lang w:val="es-MX"/>
        </w:rPr>
        <w:t>rre de 2019, se ubique en 25.2</w:t>
      </w:r>
      <w:r w:rsidR="007E3439" w:rsidRPr="00121F28">
        <w:rPr>
          <w:rFonts w:ascii="Times New Roman" w:hAnsi="Times New Roman"/>
          <w:sz w:val="24"/>
          <w:szCs w:val="24"/>
          <w:lang w:val="es-MX"/>
        </w:rPr>
        <w:t xml:space="preserve"> por ciento </w:t>
      </w:r>
      <w:r w:rsidRPr="00121F28">
        <w:rPr>
          <w:rFonts w:ascii="Times New Roman" w:hAnsi="Times New Roman"/>
          <w:sz w:val="24"/>
          <w:szCs w:val="24"/>
          <w:lang w:val="es-MX"/>
        </w:rPr>
        <w:t xml:space="preserve">del PIB, en </w:t>
      </w:r>
      <w:r w:rsidR="00424D26">
        <w:rPr>
          <w:rFonts w:ascii="Times New Roman" w:hAnsi="Times New Roman"/>
          <w:sz w:val="24"/>
          <w:szCs w:val="24"/>
          <w:lang w:val="es-MX"/>
        </w:rPr>
        <w:t>2020 aumentará nuevamente a 25.9</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y se espera que para 2</w:t>
      </w:r>
      <w:r w:rsidR="00D70B82">
        <w:rPr>
          <w:rFonts w:ascii="Times New Roman" w:hAnsi="Times New Roman"/>
          <w:sz w:val="24"/>
          <w:szCs w:val="24"/>
          <w:lang w:val="es-MX"/>
        </w:rPr>
        <w:t>024 disminuya en torno al 25.6</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del PIB.</w:t>
      </w:r>
    </w:p>
    <w:p w14:paraId="0EA1C36C" w14:textId="77777777" w:rsidR="008A5924" w:rsidRPr="00184700" w:rsidRDefault="008A5924" w:rsidP="008A5924">
      <w:pPr>
        <w:pStyle w:val="Sinespaciado"/>
        <w:jc w:val="both"/>
        <w:rPr>
          <w:rFonts w:ascii="Times New Roman" w:hAnsi="Times New Roman"/>
          <w:lang w:val="es-MX"/>
        </w:rPr>
      </w:pPr>
    </w:p>
    <w:p w14:paraId="6ED2D030" w14:textId="1489F499" w:rsidR="008A5924" w:rsidRPr="00121F28" w:rsidRDefault="008A5924" w:rsidP="008A5924">
      <w:pPr>
        <w:pStyle w:val="Descripcin"/>
        <w:keepNext/>
        <w:rPr>
          <w:b w:val="0"/>
          <w:color w:val="000000" w:themeColor="text1"/>
          <w:lang w:val="es-MX"/>
        </w:rPr>
      </w:pPr>
      <w:bookmarkStart w:id="57" w:name="_Toc16242976"/>
      <w:r w:rsidRPr="00121F28">
        <w:rPr>
          <w:color w:val="000000" w:themeColor="text1"/>
        </w:rPr>
        <w:t xml:space="preserve">Gráfico  </w:t>
      </w:r>
      <w:r w:rsidRPr="00121F28">
        <w:rPr>
          <w:color w:val="000000" w:themeColor="text1"/>
        </w:rPr>
        <w:fldChar w:fldCharType="begin"/>
      </w:r>
      <w:r w:rsidRPr="00121F28">
        <w:rPr>
          <w:color w:val="000000" w:themeColor="text1"/>
        </w:rPr>
        <w:instrText xml:space="preserve"> SEQ Gráfico_ \* ARABIC </w:instrText>
      </w:r>
      <w:r w:rsidRPr="00121F28">
        <w:rPr>
          <w:color w:val="000000" w:themeColor="text1"/>
        </w:rPr>
        <w:fldChar w:fldCharType="separate"/>
      </w:r>
      <w:r w:rsidR="004B2A60">
        <w:rPr>
          <w:noProof/>
          <w:color w:val="000000" w:themeColor="text1"/>
        </w:rPr>
        <w:t>13</w:t>
      </w:r>
      <w:r w:rsidRPr="00121F28">
        <w:rPr>
          <w:noProof/>
          <w:color w:val="000000" w:themeColor="text1"/>
        </w:rPr>
        <w:fldChar w:fldCharType="end"/>
      </w:r>
      <w:r w:rsidRPr="00121F28">
        <w:rPr>
          <w:color w:val="000000" w:themeColor="text1"/>
        </w:rPr>
        <w:t xml:space="preserve">: </w:t>
      </w:r>
      <w:r w:rsidRPr="00121F28">
        <w:rPr>
          <w:color w:val="000000" w:themeColor="text1"/>
          <w:lang w:val="es-MX"/>
        </w:rPr>
        <w:t>Flujos Creadores de Deuda Pública</w:t>
      </w:r>
      <w:bookmarkEnd w:id="57"/>
    </w:p>
    <w:p w14:paraId="2889A5FE" w14:textId="77777777" w:rsidR="008A5924" w:rsidRDefault="008A5924" w:rsidP="008A5924">
      <w:pPr>
        <w:pStyle w:val="Sinespaciado"/>
        <w:keepNext/>
        <w:jc w:val="center"/>
        <w:rPr>
          <w:rFonts w:ascii="Times New Roman" w:hAnsi="Times New Roman"/>
          <w:sz w:val="18"/>
          <w:lang w:val="es-MX"/>
        </w:rPr>
      </w:pPr>
      <w:r w:rsidRPr="00184700">
        <w:rPr>
          <w:rFonts w:ascii="Times New Roman" w:hAnsi="Times New Roman"/>
          <w:sz w:val="18"/>
          <w:lang w:val="es-MX"/>
        </w:rPr>
        <w:t>Porcentajes del PIB</w:t>
      </w:r>
    </w:p>
    <w:p w14:paraId="43B1D21F" w14:textId="77777777" w:rsidR="008A700C" w:rsidRPr="00184700" w:rsidRDefault="008A700C" w:rsidP="008A5924">
      <w:pPr>
        <w:pStyle w:val="Sinespaciado"/>
        <w:keepNext/>
        <w:jc w:val="center"/>
        <w:rPr>
          <w:rFonts w:ascii="Times New Roman" w:hAnsi="Times New Roman"/>
          <w:sz w:val="18"/>
          <w:lang w:val="es-MX"/>
        </w:rPr>
      </w:pPr>
    </w:p>
    <w:p w14:paraId="17D6C8BB" w14:textId="77777777" w:rsidR="008A5924" w:rsidRPr="00184700" w:rsidRDefault="00D26BDF" w:rsidP="008A5924">
      <w:pPr>
        <w:pStyle w:val="Sinespaciado"/>
        <w:keepNext/>
        <w:jc w:val="center"/>
        <w:rPr>
          <w:rFonts w:ascii="Times New Roman" w:hAnsi="Times New Roman"/>
          <w:lang w:val="es-MX"/>
        </w:rPr>
      </w:pPr>
      <w:r>
        <w:rPr>
          <w:rFonts w:ascii="Times New Roman" w:hAnsi="Times New Roman"/>
          <w:noProof/>
          <w:lang w:val="es-GT" w:eastAsia="es-GT"/>
        </w:rPr>
        <w:drawing>
          <wp:inline distT="0" distB="0" distL="0" distR="0" wp14:anchorId="68D868E3" wp14:editId="513CABFF">
            <wp:extent cx="5977877" cy="25431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5491" cy="2559177"/>
                    </a:xfrm>
                    <a:prstGeom prst="rect">
                      <a:avLst/>
                    </a:prstGeom>
                    <a:noFill/>
                  </pic:spPr>
                </pic:pic>
              </a:graphicData>
            </a:graphic>
          </wp:inline>
        </w:drawing>
      </w:r>
    </w:p>
    <w:p w14:paraId="25DF5CC4" w14:textId="77777777" w:rsidR="008A5924" w:rsidRPr="00184700" w:rsidRDefault="008A5924" w:rsidP="008A5924">
      <w:pPr>
        <w:pStyle w:val="Sinespaciado"/>
        <w:jc w:val="both"/>
        <w:rPr>
          <w:rFonts w:ascii="Times New Roman" w:hAnsi="Times New Roman"/>
          <w:sz w:val="16"/>
          <w:lang w:val="es-MX"/>
        </w:rPr>
      </w:pPr>
      <w:r w:rsidRPr="004F3E26">
        <w:rPr>
          <w:rFonts w:ascii="Times New Roman" w:hAnsi="Times New Roman"/>
          <w:b/>
          <w:sz w:val="16"/>
          <w:lang w:val="es-MX"/>
        </w:rPr>
        <w:t xml:space="preserve">  </w:t>
      </w:r>
      <w:r w:rsidR="00B546C3" w:rsidRPr="004F3E26">
        <w:rPr>
          <w:rFonts w:ascii="Times New Roman" w:hAnsi="Times New Roman"/>
          <w:b/>
          <w:sz w:val="16"/>
          <w:lang w:val="es-MX"/>
        </w:rPr>
        <w:t xml:space="preserve">               </w:t>
      </w:r>
      <w:r w:rsidRPr="004F3E26">
        <w:rPr>
          <w:rFonts w:ascii="Times New Roman" w:hAnsi="Times New Roman"/>
          <w:b/>
          <w:sz w:val="16"/>
          <w:lang w:val="es-MX"/>
        </w:rPr>
        <w:t xml:space="preserve">   Fuente:</w:t>
      </w:r>
      <w:r w:rsidRPr="00184700">
        <w:rPr>
          <w:rFonts w:ascii="Times New Roman" w:hAnsi="Times New Roman"/>
          <w:sz w:val="16"/>
          <w:lang w:val="es-MX"/>
        </w:rPr>
        <w:t xml:space="preserve"> Datos del Ministerio de Finanzas Públicas con metodología del FMI</w:t>
      </w:r>
    </w:p>
    <w:p w14:paraId="04F692D7" w14:textId="77777777" w:rsidR="008A5924" w:rsidRPr="00184700" w:rsidRDefault="008A5924" w:rsidP="008A5924">
      <w:pPr>
        <w:pStyle w:val="Sinespaciado"/>
        <w:jc w:val="both"/>
        <w:rPr>
          <w:rFonts w:ascii="Times New Roman" w:hAnsi="Times New Roman"/>
          <w:lang w:val="es-MX"/>
        </w:rPr>
      </w:pPr>
    </w:p>
    <w:p w14:paraId="026BE819"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 xml:space="preserve">Considerando que persiste cierta incertidumbre en los mercados externos, aunque de manera relativamente moderada, dicha incertidumbre puede tener efectos sobre la actividad económica nacional, principalmente en las variables macroeconómicas que tienen incidencia en las cuentas fiscales, especialmente en la dinámica de la deuda pública.  Se consideró para el efecto la construcción de algunas pruebas de tensión para determinar cómo evolucionaría la deuda en el mediano plazo ante choques que podrían producirse en el mercado externo o dentro de la economía nacional.   </w:t>
      </w:r>
    </w:p>
    <w:p w14:paraId="00B3BE15" w14:textId="77777777" w:rsidR="008A5924" w:rsidRPr="00121F28" w:rsidRDefault="008A5924" w:rsidP="008A5924">
      <w:pPr>
        <w:pStyle w:val="Sinespaciado"/>
        <w:jc w:val="both"/>
        <w:rPr>
          <w:rFonts w:ascii="Times New Roman" w:hAnsi="Times New Roman"/>
          <w:sz w:val="24"/>
          <w:szCs w:val="24"/>
          <w:lang w:val="es-MX"/>
        </w:rPr>
      </w:pPr>
    </w:p>
    <w:p w14:paraId="0A8FEB8C"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 xml:space="preserve">De esa cuenta, tomando como referencia la metodología utilizada en el Framework </w:t>
      </w:r>
      <w:r w:rsidRPr="00121F28">
        <w:rPr>
          <w:rFonts w:ascii="Times New Roman" w:hAnsi="Times New Roman"/>
          <w:i/>
          <w:sz w:val="24"/>
          <w:szCs w:val="24"/>
          <w:lang w:val="es-MX"/>
        </w:rPr>
        <w:t>Public</w:t>
      </w:r>
      <w:r w:rsidRPr="00121F28">
        <w:rPr>
          <w:rFonts w:ascii="Times New Roman" w:hAnsi="Times New Roman"/>
          <w:sz w:val="24"/>
          <w:szCs w:val="24"/>
          <w:lang w:val="es-MX"/>
        </w:rPr>
        <w:t xml:space="preserve"> </w:t>
      </w:r>
      <w:r w:rsidRPr="00121F28">
        <w:rPr>
          <w:rFonts w:ascii="Times New Roman" w:hAnsi="Times New Roman"/>
          <w:i/>
          <w:sz w:val="24"/>
          <w:szCs w:val="24"/>
          <w:lang w:val="es-MX"/>
        </w:rPr>
        <w:t>Debt Sustainability Analysis</w:t>
      </w:r>
      <w:r w:rsidRPr="00121F28">
        <w:rPr>
          <w:rFonts w:ascii="Times New Roman" w:hAnsi="Times New Roman"/>
          <w:sz w:val="24"/>
          <w:szCs w:val="24"/>
          <w:lang w:val="es-MX"/>
        </w:rPr>
        <w:t xml:space="preserve"> (DSA) del Fondo Monetario Internacional -FMI-, se elaboraron una serie de escenarios con los diferentes choques posibles que podrían experimentarse, estos choques se midieron con respecto al escenario base que es consiste con las estimaciones del presupuesto multianual </w:t>
      </w:r>
      <w:r w:rsidR="004F3E26">
        <w:rPr>
          <w:rFonts w:ascii="Times New Roman" w:hAnsi="Times New Roman"/>
          <w:sz w:val="24"/>
          <w:szCs w:val="24"/>
          <w:lang w:val="es-MX"/>
        </w:rPr>
        <w:br/>
      </w:r>
      <w:r w:rsidRPr="00121F28">
        <w:rPr>
          <w:rFonts w:ascii="Times New Roman" w:hAnsi="Times New Roman"/>
          <w:sz w:val="24"/>
          <w:szCs w:val="24"/>
          <w:lang w:val="es-MX"/>
        </w:rPr>
        <w:t>2019-2024.</w:t>
      </w:r>
    </w:p>
    <w:p w14:paraId="4E4C2202" w14:textId="77777777" w:rsidR="008A5924" w:rsidRPr="00121F28" w:rsidRDefault="008A5924" w:rsidP="008A5924">
      <w:pPr>
        <w:pStyle w:val="Sinespaciado"/>
        <w:jc w:val="both"/>
        <w:rPr>
          <w:rFonts w:ascii="Times New Roman" w:hAnsi="Times New Roman"/>
          <w:sz w:val="24"/>
          <w:szCs w:val="24"/>
          <w:lang w:val="es-MX"/>
        </w:rPr>
      </w:pPr>
    </w:p>
    <w:p w14:paraId="59C190BB"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De acuerdo a los resultados obtenidos al realizar los diferentes choques, se pudo observar que una de las variables que tiene mayor incidencia en la evolución de la dinámica de la deuda es el crecimiento económico real.  Se consideró que una reducción en el PIB real para 2020 y con secuelas en 2021, por el equivalente a una y media desviación estándar de sus niveles históricos (alrededor de 1.5 puntos porcentuales de la tasa de crecimiento), manteniendo los demás factores constantes, podría au</w:t>
      </w:r>
      <w:r w:rsidR="00D238EB">
        <w:rPr>
          <w:rFonts w:ascii="Times New Roman" w:hAnsi="Times New Roman"/>
          <w:sz w:val="24"/>
          <w:szCs w:val="24"/>
          <w:lang w:val="es-MX"/>
        </w:rPr>
        <w:t>mentar la razón deuda/PIB a 26.7</w:t>
      </w:r>
      <w:r w:rsidRPr="00121F28">
        <w:rPr>
          <w:rFonts w:ascii="Times New Roman" w:hAnsi="Times New Roman"/>
          <w:sz w:val="24"/>
          <w:szCs w:val="24"/>
          <w:lang w:val="es-MX"/>
        </w:rPr>
        <w:t xml:space="preserve"> por ciento en 202</w:t>
      </w:r>
      <w:r w:rsidR="00D238EB">
        <w:rPr>
          <w:rFonts w:ascii="Times New Roman" w:hAnsi="Times New Roman"/>
          <w:sz w:val="24"/>
          <w:szCs w:val="24"/>
          <w:lang w:val="es-MX"/>
        </w:rPr>
        <w:t>0</w:t>
      </w:r>
      <w:r w:rsidR="00546B39">
        <w:rPr>
          <w:rFonts w:ascii="Times New Roman" w:hAnsi="Times New Roman"/>
          <w:sz w:val="24"/>
          <w:szCs w:val="24"/>
          <w:lang w:val="es-MX"/>
        </w:rPr>
        <w:t xml:space="preserve"> y podría llegar a 27.3</w:t>
      </w:r>
      <w:r w:rsidRPr="00121F28">
        <w:rPr>
          <w:rFonts w:ascii="Times New Roman" w:hAnsi="Times New Roman"/>
          <w:sz w:val="24"/>
          <w:szCs w:val="24"/>
          <w:lang w:val="es-MX"/>
        </w:rPr>
        <w:t xml:space="preserve"> por ciento al cierre de 2024.</w:t>
      </w:r>
    </w:p>
    <w:p w14:paraId="71DA3876" w14:textId="77777777" w:rsidR="008A5924" w:rsidRPr="00184700" w:rsidRDefault="008A5924" w:rsidP="008A5924">
      <w:pPr>
        <w:pStyle w:val="Sinespaciado"/>
        <w:jc w:val="both"/>
        <w:rPr>
          <w:rFonts w:ascii="Times New Roman" w:hAnsi="Times New Roman"/>
          <w:lang w:val="es-MX"/>
        </w:rPr>
      </w:pPr>
    </w:p>
    <w:p w14:paraId="5BB50199"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Asimismo, un choque en el balance primario (Sp), según la evidencia presentada, podría elevar de manera importante la deuda pública.  Se simuló que estos choques ocurrirían en los años 2020-2021, los cuales podrían ser causados por el aumento de gasto extraordinario como un desastre natural o una súbita caída en la recaudación tributaria.  La dimensión del choque realiz</w:t>
      </w:r>
      <w:r w:rsidR="007E3439" w:rsidRPr="00121F28">
        <w:rPr>
          <w:rFonts w:ascii="Times New Roman" w:hAnsi="Times New Roman"/>
          <w:sz w:val="24"/>
          <w:szCs w:val="24"/>
          <w:lang w:val="es-MX"/>
        </w:rPr>
        <w:t>ado es por el equivalente a 0.4 por ciento</w:t>
      </w:r>
      <w:r w:rsidRPr="00121F28">
        <w:rPr>
          <w:rFonts w:ascii="Times New Roman" w:hAnsi="Times New Roman"/>
          <w:sz w:val="24"/>
          <w:szCs w:val="24"/>
          <w:lang w:val="es-MX"/>
        </w:rPr>
        <w:t xml:space="preserve"> del PIB en los años indicados.   Esto elevaría la razón deuda/PIB en</w:t>
      </w:r>
      <w:r w:rsidR="00546B39">
        <w:rPr>
          <w:rFonts w:ascii="Times New Roman" w:hAnsi="Times New Roman"/>
          <w:sz w:val="24"/>
          <w:szCs w:val="24"/>
          <w:lang w:val="es-MX"/>
        </w:rPr>
        <w:t xml:space="preserve"> 2020 a 26.4</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y</w:t>
      </w:r>
      <w:r w:rsidR="00D238EB">
        <w:rPr>
          <w:rFonts w:ascii="Times New Roman" w:hAnsi="Times New Roman"/>
          <w:sz w:val="24"/>
          <w:szCs w:val="24"/>
          <w:lang w:val="es-MX"/>
        </w:rPr>
        <w:t xml:space="preserve"> para 2024 podría alcanzar 26.</w:t>
      </w:r>
      <w:r w:rsidR="00546B39">
        <w:rPr>
          <w:rFonts w:ascii="Times New Roman" w:hAnsi="Times New Roman"/>
          <w:sz w:val="24"/>
          <w:szCs w:val="24"/>
          <w:lang w:val="es-MX"/>
        </w:rPr>
        <w:t>4</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w:t>
      </w:r>
    </w:p>
    <w:p w14:paraId="4A0B38CD" w14:textId="77777777" w:rsidR="008A5924" w:rsidRPr="00121F28" w:rsidRDefault="008A5924" w:rsidP="008A5924">
      <w:pPr>
        <w:pStyle w:val="Sinespaciado"/>
        <w:jc w:val="both"/>
        <w:rPr>
          <w:rFonts w:ascii="Times New Roman" w:hAnsi="Times New Roman"/>
          <w:sz w:val="24"/>
          <w:szCs w:val="24"/>
          <w:lang w:val="es-MX"/>
        </w:rPr>
      </w:pPr>
    </w:p>
    <w:p w14:paraId="2B8EF1BB"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Otro factor que incide sensiblemente en el comportamiento deuda pública, es la variación en el tipo de cambio, una depreciación importante podría elevar los niveles de la deuda pública, derivado que cerca d</w:t>
      </w:r>
      <w:r w:rsidR="007E3439" w:rsidRPr="00121F28">
        <w:rPr>
          <w:rFonts w:ascii="Times New Roman" w:hAnsi="Times New Roman"/>
          <w:sz w:val="24"/>
          <w:szCs w:val="24"/>
          <w:lang w:val="es-MX"/>
        </w:rPr>
        <w:t>el 47.0 por ciento</w:t>
      </w:r>
      <w:r w:rsidRPr="00121F28">
        <w:rPr>
          <w:rFonts w:ascii="Times New Roman" w:hAnsi="Times New Roman"/>
          <w:sz w:val="24"/>
          <w:szCs w:val="24"/>
          <w:lang w:val="es-MX"/>
        </w:rPr>
        <w:t xml:space="preserve"> del saldo de la misma se tiene en moneda extranjera.  De esa cuenta, se cons</w:t>
      </w:r>
      <w:r w:rsidR="003C65BF" w:rsidRPr="00121F28">
        <w:rPr>
          <w:rFonts w:ascii="Times New Roman" w:hAnsi="Times New Roman"/>
          <w:sz w:val="24"/>
          <w:szCs w:val="24"/>
          <w:lang w:val="es-MX"/>
        </w:rPr>
        <w:t>ideró una depreciación del 10.0 por ciento</w:t>
      </w:r>
      <w:r w:rsidRPr="00121F28">
        <w:rPr>
          <w:rFonts w:ascii="Times New Roman" w:hAnsi="Times New Roman"/>
          <w:sz w:val="24"/>
          <w:szCs w:val="24"/>
          <w:lang w:val="es-MX"/>
        </w:rPr>
        <w:t xml:space="preserve"> en 2020, esto ele</w:t>
      </w:r>
      <w:r w:rsidR="00546B39">
        <w:rPr>
          <w:rFonts w:ascii="Times New Roman" w:hAnsi="Times New Roman"/>
          <w:sz w:val="24"/>
          <w:szCs w:val="24"/>
          <w:lang w:val="es-MX"/>
        </w:rPr>
        <w:t>varía la razón deuda/PIB a 26.7</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del PIB en dicho año y se estimó que las variaciones para los años 2020-2024 se mantendrían como en el escenario base, por lo que para 2024 l</w:t>
      </w:r>
      <w:r w:rsidR="00546B39">
        <w:rPr>
          <w:rFonts w:ascii="Times New Roman" w:hAnsi="Times New Roman"/>
          <w:sz w:val="24"/>
          <w:szCs w:val="24"/>
          <w:lang w:val="es-MX"/>
        </w:rPr>
        <w:t>a razón deuda/PIB sería de 26.2</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w:t>
      </w:r>
    </w:p>
    <w:p w14:paraId="25DC63EF" w14:textId="77777777" w:rsidR="008A5924" w:rsidRPr="00121F28" w:rsidRDefault="008A5924" w:rsidP="008A5924">
      <w:pPr>
        <w:pStyle w:val="Sinespaciado"/>
        <w:jc w:val="both"/>
        <w:rPr>
          <w:rFonts w:ascii="Times New Roman" w:hAnsi="Times New Roman"/>
          <w:sz w:val="24"/>
          <w:szCs w:val="24"/>
          <w:lang w:val="es-MX"/>
        </w:rPr>
      </w:pPr>
    </w:p>
    <w:p w14:paraId="12F288DD"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Igualmente, se realizó un choque a la tasa de interés real, el cual es sensible a la volatilidad de los mercados financieros y a las decisiones en materia de política monetaria.  Para el efecto, se consideró un aumento de 300 puntos básicos en la tasa de interés real promedio que paga el gobierno en sus obligaciones en 2020 y se mantiene constante de 2021-2024.  A pesar que es un incremento importante, el efecto para 2020, se estima que será mínimo debido a que la mayor parte de la deuda se tiene contratada a tasa fija, por lo que el principal ajuste se obtendrá en los años siguientes con la contratación de nueva deuda o el repago de la misma.   De esa cuenta, para 2020 se mantiene la misma razón deuda/PIB (2</w:t>
      </w:r>
      <w:r w:rsidR="00546B39">
        <w:rPr>
          <w:rFonts w:ascii="Times New Roman" w:hAnsi="Times New Roman"/>
          <w:sz w:val="24"/>
          <w:szCs w:val="24"/>
          <w:lang w:val="es-MX"/>
        </w:rPr>
        <w:t>5.9%), para 2021 aumenta a 26.1</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y para el cier</w:t>
      </w:r>
      <w:r w:rsidR="00546B39">
        <w:rPr>
          <w:rFonts w:ascii="Times New Roman" w:hAnsi="Times New Roman"/>
          <w:sz w:val="24"/>
          <w:szCs w:val="24"/>
          <w:lang w:val="es-MX"/>
        </w:rPr>
        <w:t>re 2024 podría ubicarse en 26.4</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del PIB. </w:t>
      </w:r>
    </w:p>
    <w:p w14:paraId="7D79533C" w14:textId="77777777" w:rsidR="008A5924" w:rsidRPr="00121F28" w:rsidRDefault="008A5924" w:rsidP="008A5924">
      <w:pPr>
        <w:pStyle w:val="Sinespaciado"/>
        <w:jc w:val="both"/>
        <w:rPr>
          <w:rFonts w:ascii="Times New Roman" w:hAnsi="Times New Roman"/>
          <w:sz w:val="24"/>
          <w:szCs w:val="24"/>
          <w:lang w:val="es-MX"/>
        </w:rPr>
      </w:pPr>
    </w:p>
    <w:p w14:paraId="327B138B"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Por último, se considera un efecto combinado de los diferentes choques y se estima que para 2020 la razón d</w:t>
      </w:r>
      <w:r w:rsidR="00D238EB">
        <w:rPr>
          <w:rFonts w:ascii="Times New Roman" w:hAnsi="Times New Roman"/>
          <w:sz w:val="24"/>
          <w:szCs w:val="24"/>
          <w:lang w:val="es-MX"/>
        </w:rPr>
        <w:t>euda/PIB podría ascender a 28.1</w:t>
      </w:r>
      <w:r w:rsidR="007E3439"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y para el año 2024 podría ubicarse, si todos los cho</w:t>
      </w:r>
      <w:r w:rsidR="00546B39">
        <w:rPr>
          <w:rFonts w:ascii="Times New Roman" w:hAnsi="Times New Roman"/>
          <w:sz w:val="24"/>
          <w:szCs w:val="24"/>
          <w:lang w:val="es-MX"/>
        </w:rPr>
        <w:t>ques se dan al unísono, en 29.5</w:t>
      </w:r>
      <w:r w:rsidR="0009454C"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w:t>
      </w:r>
    </w:p>
    <w:p w14:paraId="36A980F5" w14:textId="77777777" w:rsidR="008A5924" w:rsidRPr="00121F28" w:rsidRDefault="008A5924" w:rsidP="008A5924">
      <w:pPr>
        <w:pStyle w:val="Sinespaciado"/>
        <w:jc w:val="both"/>
        <w:rPr>
          <w:rFonts w:ascii="Times New Roman" w:hAnsi="Times New Roman"/>
          <w:sz w:val="24"/>
          <w:szCs w:val="24"/>
          <w:lang w:val="es-MX"/>
        </w:rPr>
      </w:pPr>
    </w:p>
    <w:p w14:paraId="1FC4F918"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De igual forma, se analizó la relación deuda/ ingresos fiscales.  Con dicho indicador en el escenario base que es el de presupuesto multianual, es decreciente en el tiempo debido a que las estimaciones fiscales prevén una mejora gradual en la recaudación tributaria, únicamente para 2020 es</w:t>
      </w:r>
      <w:r w:rsidR="003C65BF" w:rsidRPr="00121F28">
        <w:rPr>
          <w:rFonts w:ascii="Times New Roman" w:hAnsi="Times New Roman"/>
          <w:sz w:val="24"/>
          <w:szCs w:val="24"/>
          <w:lang w:val="es-MX"/>
        </w:rPr>
        <w:t>te indicador aumentaría a 249.0 por ciento</w:t>
      </w:r>
      <w:r w:rsidRPr="00121F28">
        <w:rPr>
          <w:rFonts w:ascii="Times New Roman" w:hAnsi="Times New Roman"/>
          <w:sz w:val="24"/>
          <w:szCs w:val="24"/>
          <w:lang w:val="es-MX"/>
        </w:rPr>
        <w:t xml:space="preserve"> posteriormente mostraría una reducción.  Aplicando las pruebas de tensión para el escenario de un shock combinado, debido al aumento del déficit fiscal y el deterioro de los otros determinantes de la deuda, el indicador pod</w:t>
      </w:r>
      <w:r w:rsidR="00D238EB">
        <w:rPr>
          <w:rFonts w:ascii="Times New Roman" w:hAnsi="Times New Roman"/>
          <w:sz w:val="24"/>
          <w:szCs w:val="24"/>
          <w:lang w:val="es-MX"/>
        </w:rPr>
        <w:t>ría alcanzar un máximo de 267</w:t>
      </w:r>
      <w:r w:rsidR="0009454C" w:rsidRPr="00121F28">
        <w:rPr>
          <w:rFonts w:ascii="Times New Roman" w:hAnsi="Times New Roman"/>
          <w:sz w:val="24"/>
          <w:szCs w:val="24"/>
          <w:lang w:val="es-MX"/>
        </w:rPr>
        <w:t>.6 por ciento</w:t>
      </w:r>
      <w:r w:rsidRPr="00121F28">
        <w:rPr>
          <w:rFonts w:ascii="Times New Roman" w:hAnsi="Times New Roman"/>
          <w:sz w:val="24"/>
          <w:szCs w:val="24"/>
          <w:lang w:val="es-MX"/>
        </w:rPr>
        <w:t xml:space="preserve"> en 2</w:t>
      </w:r>
      <w:r w:rsidR="00D238EB">
        <w:rPr>
          <w:rFonts w:ascii="Times New Roman" w:hAnsi="Times New Roman"/>
          <w:sz w:val="24"/>
          <w:szCs w:val="24"/>
          <w:lang w:val="es-MX"/>
        </w:rPr>
        <w:t>020, aumentaría en 2021 a 275.8</w:t>
      </w:r>
      <w:r w:rsidR="0009454C" w:rsidRPr="00121F28">
        <w:rPr>
          <w:rFonts w:ascii="Times New Roman" w:hAnsi="Times New Roman"/>
          <w:sz w:val="24"/>
          <w:szCs w:val="24"/>
          <w:lang w:val="es-MX"/>
        </w:rPr>
        <w:t xml:space="preserve"> por cient</w:t>
      </w:r>
      <w:r w:rsidR="00546B39">
        <w:rPr>
          <w:rFonts w:ascii="Times New Roman" w:hAnsi="Times New Roman"/>
          <w:sz w:val="24"/>
          <w:szCs w:val="24"/>
          <w:lang w:val="es-MX"/>
        </w:rPr>
        <w:t>o y se reduciría en 2024 a 269.9</w:t>
      </w:r>
      <w:r w:rsidR="0009454C" w:rsidRPr="00121F28">
        <w:rPr>
          <w:rFonts w:ascii="Times New Roman" w:hAnsi="Times New Roman"/>
          <w:sz w:val="24"/>
          <w:szCs w:val="24"/>
          <w:lang w:val="es-MX"/>
        </w:rPr>
        <w:t xml:space="preserve"> por ciento</w:t>
      </w:r>
      <w:r w:rsidRPr="00121F28">
        <w:rPr>
          <w:rFonts w:ascii="Times New Roman" w:hAnsi="Times New Roman"/>
          <w:sz w:val="24"/>
          <w:szCs w:val="24"/>
          <w:lang w:val="es-MX"/>
        </w:rPr>
        <w:t xml:space="preserve">.   </w:t>
      </w:r>
    </w:p>
    <w:p w14:paraId="6294C923" w14:textId="77777777" w:rsidR="008A5924" w:rsidRPr="00184700" w:rsidRDefault="008A5924" w:rsidP="008A5924">
      <w:pPr>
        <w:pStyle w:val="Descripcin"/>
      </w:pPr>
    </w:p>
    <w:p w14:paraId="00F51F22" w14:textId="277FE0D3" w:rsidR="008A5924" w:rsidRPr="00121F28" w:rsidRDefault="008A5924" w:rsidP="008A5924">
      <w:pPr>
        <w:pStyle w:val="Descripcin"/>
        <w:keepNext/>
        <w:rPr>
          <w:b w:val="0"/>
          <w:color w:val="000000" w:themeColor="text1"/>
          <w:lang w:val="es-MX"/>
        </w:rPr>
      </w:pPr>
      <w:bookmarkStart w:id="58" w:name="_Toc16242977"/>
      <w:r w:rsidRPr="00121F28">
        <w:rPr>
          <w:color w:val="000000" w:themeColor="text1"/>
        </w:rPr>
        <w:t xml:space="preserve">Gráfico  </w:t>
      </w:r>
      <w:r w:rsidRPr="00121F28">
        <w:rPr>
          <w:color w:val="000000" w:themeColor="text1"/>
        </w:rPr>
        <w:fldChar w:fldCharType="begin"/>
      </w:r>
      <w:r w:rsidRPr="00121F28">
        <w:rPr>
          <w:color w:val="000000" w:themeColor="text1"/>
        </w:rPr>
        <w:instrText xml:space="preserve"> SEQ Gráfico_ \* ARABIC </w:instrText>
      </w:r>
      <w:r w:rsidRPr="00121F28">
        <w:rPr>
          <w:color w:val="000000" w:themeColor="text1"/>
        </w:rPr>
        <w:fldChar w:fldCharType="separate"/>
      </w:r>
      <w:r w:rsidR="004B2A60">
        <w:rPr>
          <w:noProof/>
          <w:color w:val="000000" w:themeColor="text1"/>
        </w:rPr>
        <w:t>14</w:t>
      </w:r>
      <w:r w:rsidRPr="00121F28">
        <w:rPr>
          <w:noProof/>
          <w:color w:val="000000" w:themeColor="text1"/>
        </w:rPr>
        <w:fldChar w:fldCharType="end"/>
      </w:r>
      <w:r w:rsidRPr="00121F28">
        <w:rPr>
          <w:color w:val="000000" w:themeColor="text1"/>
        </w:rPr>
        <w:t xml:space="preserve">: </w:t>
      </w:r>
      <w:r w:rsidRPr="00121F28">
        <w:rPr>
          <w:color w:val="000000" w:themeColor="text1"/>
          <w:lang w:val="es-MX"/>
        </w:rPr>
        <w:t>Pruebas de Tensión para el Análisis de Sostenibilidad de la Deuda</w:t>
      </w:r>
      <w:bookmarkEnd w:id="58"/>
    </w:p>
    <w:p w14:paraId="56B7FF8A" w14:textId="77777777" w:rsidR="008A5924" w:rsidRPr="00184700" w:rsidRDefault="00546B39" w:rsidP="008A5924">
      <w:pPr>
        <w:pStyle w:val="Sinespaciado"/>
        <w:jc w:val="center"/>
        <w:rPr>
          <w:rFonts w:ascii="Times New Roman" w:hAnsi="Times New Roman"/>
          <w:b/>
          <w:lang w:val="es-MX"/>
        </w:rPr>
      </w:pPr>
      <w:r w:rsidRPr="00546B39">
        <w:rPr>
          <w:noProof/>
          <w:lang w:val="es-GT" w:eastAsia="es-GT"/>
        </w:rPr>
        <w:drawing>
          <wp:inline distT="0" distB="0" distL="0" distR="0" wp14:anchorId="1F9F462E" wp14:editId="3C5425CF">
            <wp:extent cx="6248400" cy="524573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9053" cy="5246283"/>
                    </a:xfrm>
                    <a:prstGeom prst="rect">
                      <a:avLst/>
                    </a:prstGeom>
                    <a:noFill/>
                    <a:ln>
                      <a:noFill/>
                    </a:ln>
                  </pic:spPr>
                </pic:pic>
              </a:graphicData>
            </a:graphic>
          </wp:inline>
        </w:drawing>
      </w:r>
    </w:p>
    <w:p w14:paraId="6BD34712" w14:textId="77777777" w:rsidR="008A5924" w:rsidRPr="00184700" w:rsidRDefault="00B546C3" w:rsidP="008A5924">
      <w:pPr>
        <w:pStyle w:val="Sinespaciado"/>
        <w:jc w:val="both"/>
        <w:rPr>
          <w:rFonts w:ascii="Times New Roman" w:hAnsi="Times New Roman"/>
          <w:sz w:val="16"/>
          <w:lang w:val="es-MX"/>
        </w:rPr>
      </w:pPr>
      <w:r w:rsidRPr="00FC6FE4">
        <w:rPr>
          <w:rFonts w:ascii="Times New Roman" w:hAnsi="Times New Roman"/>
          <w:b/>
          <w:sz w:val="16"/>
          <w:lang w:val="es-MX"/>
        </w:rPr>
        <w:t xml:space="preserve">              </w:t>
      </w:r>
      <w:r w:rsidR="009C111D" w:rsidRPr="00FC6FE4">
        <w:rPr>
          <w:rFonts w:ascii="Times New Roman" w:hAnsi="Times New Roman"/>
          <w:b/>
          <w:sz w:val="16"/>
          <w:lang w:val="es-MX"/>
        </w:rPr>
        <w:t xml:space="preserve">  </w:t>
      </w:r>
      <w:r w:rsidRPr="00FC6FE4">
        <w:rPr>
          <w:rFonts w:ascii="Times New Roman" w:hAnsi="Times New Roman"/>
          <w:b/>
          <w:sz w:val="16"/>
          <w:lang w:val="es-MX"/>
        </w:rPr>
        <w:t xml:space="preserve"> </w:t>
      </w:r>
      <w:r w:rsidR="008A5924" w:rsidRPr="00FC6FE4">
        <w:rPr>
          <w:rFonts w:ascii="Times New Roman" w:hAnsi="Times New Roman"/>
          <w:b/>
          <w:sz w:val="16"/>
          <w:lang w:val="es-MX"/>
        </w:rPr>
        <w:t xml:space="preserve"> Fuente:</w:t>
      </w:r>
      <w:r w:rsidR="008A5924" w:rsidRPr="00184700">
        <w:rPr>
          <w:rFonts w:ascii="Times New Roman" w:hAnsi="Times New Roman"/>
          <w:sz w:val="16"/>
          <w:lang w:val="es-MX"/>
        </w:rPr>
        <w:t xml:space="preserve"> Datos del Ministerio de Finanzas Públicas con metodología del FMI</w:t>
      </w:r>
    </w:p>
    <w:p w14:paraId="235A5F19" w14:textId="77777777" w:rsidR="008A5924" w:rsidRPr="00184700" w:rsidRDefault="008A5924" w:rsidP="008A5924">
      <w:pPr>
        <w:pStyle w:val="Sinespaciado"/>
        <w:jc w:val="both"/>
        <w:rPr>
          <w:rFonts w:ascii="Times New Roman" w:hAnsi="Times New Roman"/>
          <w:lang w:val="es-MX"/>
        </w:rPr>
      </w:pPr>
    </w:p>
    <w:p w14:paraId="5CFF08BD"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 xml:space="preserve">Por otro lado, se realizó el análisis de sostenibilidad de deuda pública bajo un enfoque estocástico sobre los determinantes macro fiscales de la proporción de deuda pública sobre PIB.  Con esta metodología se busca determinar la distribución de probabilidades de las sendas de trayectoria de la deuda pública en un determinado horizonte de proyección. El desarrollo de este enfoque reconoce explícitamente la existencia de un grado de incertidumbre acerca de las futuras condiciones macroeconómicas y de la política fiscal. Este instrumento mejora la comprensión y transparencia acerca de los riesgos en torno a la dinámica de la deuda pública. </w:t>
      </w:r>
    </w:p>
    <w:p w14:paraId="3EFF1F84" w14:textId="77777777" w:rsidR="008A5924" w:rsidRPr="00121F28" w:rsidRDefault="008A5924" w:rsidP="008A5924">
      <w:pPr>
        <w:pStyle w:val="Sinespaciado"/>
        <w:jc w:val="both"/>
        <w:rPr>
          <w:rFonts w:ascii="Times New Roman" w:hAnsi="Times New Roman"/>
          <w:sz w:val="24"/>
          <w:szCs w:val="24"/>
          <w:lang w:val="es-MX"/>
        </w:rPr>
      </w:pPr>
    </w:p>
    <w:p w14:paraId="5C68D129" w14:textId="77777777" w:rsidR="008A5924" w:rsidRPr="00121F28" w:rsidRDefault="008A5924" w:rsidP="008A5924">
      <w:pPr>
        <w:pStyle w:val="Sinespaciado"/>
        <w:jc w:val="both"/>
        <w:rPr>
          <w:rFonts w:ascii="Times New Roman" w:hAnsi="Times New Roman"/>
          <w:sz w:val="24"/>
          <w:szCs w:val="24"/>
          <w:lang w:val="es-MX"/>
        </w:rPr>
      </w:pPr>
      <w:r w:rsidRPr="00121F28">
        <w:rPr>
          <w:rFonts w:ascii="Times New Roman" w:hAnsi="Times New Roman"/>
          <w:sz w:val="24"/>
          <w:szCs w:val="24"/>
          <w:lang w:val="es-MX"/>
        </w:rPr>
        <w:t xml:space="preserve">Para el efecto, se utilizó un </w:t>
      </w:r>
      <w:r w:rsidRPr="00121F28">
        <w:rPr>
          <w:rFonts w:ascii="Times New Roman" w:hAnsi="Times New Roman"/>
          <w:i/>
          <w:sz w:val="24"/>
          <w:szCs w:val="24"/>
          <w:lang w:val="es-MX"/>
        </w:rPr>
        <w:t>Fan Chart</w:t>
      </w:r>
      <w:r w:rsidRPr="00121F28">
        <w:rPr>
          <w:rFonts w:ascii="Times New Roman" w:hAnsi="Times New Roman"/>
          <w:sz w:val="24"/>
          <w:szCs w:val="24"/>
          <w:lang w:val="es-MX"/>
        </w:rPr>
        <w:t xml:space="preserve"> (gráfica de abanico) el cual proporciona una vista probabilística de la incertidumbre en torno a la línea de base. Si bien las pruebas de resistencia presentadas anteriormente evalúan la sensibilidad de la dinámica de la deuda a variables clave exógenas y de política, los Fan Chart muestran un espectro de posibles resultados basados en las propiedades estocásticas del comportamiento de las variables determinantes en un país. En particular, los gráficos incorporan retroalimentación entre las variables macroeconómicas que impulsan la dinámica de la deuda y se basa en datos históricos para calibrar la persistencia de los shocks.</w:t>
      </w:r>
    </w:p>
    <w:p w14:paraId="3C2CF34D" w14:textId="77777777" w:rsidR="008A5924" w:rsidRPr="00121F28" w:rsidRDefault="008A5924" w:rsidP="008A5924">
      <w:pPr>
        <w:pStyle w:val="Sinespaciado"/>
        <w:jc w:val="both"/>
        <w:rPr>
          <w:rFonts w:ascii="Times New Roman" w:hAnsi="Times New Roman"/>
          <w:sz w:val="24"/>
          <w:szCs w:val="24"/>
          <w:lang w:val="es-MX"/>
        </w:rPr>
      </w:pPr>
    </w:p>
    <w:p w14:paraId="237EAFE9" w14:textId="77777777" w:rsidR="008A5924" w:rsidRPr="00184700" w:rsidRDefault="008A5924" w:rsidP="008A5924">
      <w:pPr>
        <w:pStyle w:val="Sinespaciado"/>
        <w:jc w:val="both"/>
        <w:rPr>
          <w:rFonts w:ascii="Times New Roman" w:hAnsi="Times New Roman"/>
          <w:lang w:val="es-MX"/>
        </w:rPr>
      </w:pPr>
      <w:r w:rsidRPr="00121F28">
        <w:rPr>
          <w:rFonts w:ascii="Times New Roman" w:hAnsi="Times New Roman"/>
          <w:sz w:val="24"/>
          <w:szCs w:val="24"/>
          <w:lang w:val="es-MX"/>
        </w:rPr>
        <w:t>En el escenario central, el análisis estocástico de la deuda pública, permite evidenciar un incremento gradual en la proporción de deuda sobre PIB y una posterior estabilización en to</w:t>
      </w:r>
      <w:r w:rsidR="00D70B82">
        <w:rPr>
          <w:rFonts w:ascii="Times New Roman" w:hAnsi="Times New Roman"/>
          <w:sz w:val="24"/>
          <w:szCs w:val="24"/>
          <w:lang w:val="es-MX"/>
        </w:rPr>
        <w:t>rno al 25.</w:t>
      </w:r>
      <w:r w:rsidR="00546B39">
        <w:rPr>
          <w:rFonts w:ascii="Times New Roman" w:hAnsi="Times New Roman"/>
          <w:sz w:val="24"/>
          <w:szCs w:val="24"/>
          <w:lang w:val="es-MX"/>
        </w:rPr>
        <w:t>6</w:t>
      </w:r>
      <w:r w:rsidR="00FC6FE4">
        <w:rPr>
          <w:rFonts w:ascii="Times New Roman" w:hAnsi="Times New Roman"/>
          <w:sz w:val="24"/>
          <w:szCs w:val="24"/>
          <w:lang w:val="es-MX"/>
        </w:rPr>
        <w:t xml:space="preserve"> por ciento del PIB.</w:t>
      </w:r>
      <w:r w:rsidRPr="00121F28">
        <w:rPr>
          <w:rFonts w:ascii="Times New Roman" w:hAnsi="Times New Roman"/>
          <w:sz w:val="24"/>
          <w:szCs w:val="24"/>
          <w:lang w:val="es-MX"/>
        </w:rPr>
        <w:t xml:space="preserve"> Considerando el comportamiento de la deuda y los diferentes choques internos y externos que podrían experimentarse, se estima que hay una probabilidad del 50.0 por ciento que la deuda pública podrí</w:t>
      </w:r>
      <w:r w:rsidR="00D238EB">
        <w:rPr>
          <w:rFonts w:ascii="Times New Roman" w:hAnsi="Times New Roman"/>
          <w:sz w:val="24"/>
          <w:szCs w:val="24"/>
          <w:lang w:val="es-MX"/>
        </w:rPr>
        <w:t>a situarse entre 25</w:t>
      </w:r>
      <w:r w:rsidR="007105F3">
        <w:rPr>
          <w:rFonts w:ascii="Times New Roman" w:hAnsi="Times New Roman"/>
          <w:sz w:val="24"/>
          <w:szCs w:val="24"/>
          <w:lang w:val="es-MX"/>
        </w:rPr>
        <w:t>.</w:t>
      </w:r>
      <w:r w:rsidR="00D70B82">
        <w:rPr>
          <w:rFonts w:ascii="Times New Roman" w:hAnsi="Times New Roman"/>
          <w:sz w:val="24"/>
          <w:szCs w:val="24"/>
          <w:lang w:val="es-MX"/>
        </w:rPr>
        <w:t>9</w:t>
      </w:r>
      <w:r w:rsidRPr="00121F28">
        <w:rPr>
          <w:rFonts w:ascii="Times New Roman" w:hAnsi="Times New Roman"/>
          <w:sz w:val="24"/>
          <w:szCs w:val="24"/>
          <w:lang w:val="es-MX"/>
        </w:rPr>
        <w:t xml:space="preserve"> y 25.</w:t>
      </w:r>
      <w:r w:rsidR="00546B39">
        <w:rPr>
          <w:rFonts w:ascii="Times New Roman" w:hAnsi="Times New Roman"/>
          <w:sz w:val="24"/>
          <w:szCs w:val="24"/>
          <w:lang w:val="es-MX"/>
        </w:rPr>
        <w:t>6</w:t>
      </w:r>
      <w:r w:rsidRPr="00121F28">
        <w:rPr>
          <w:rFonts w:ascii="Times New Roman" w:hAnsi="Times New Roman"/>
          <w:sz w:val="24"/>
          <w:szCs w:val="24"/>
          <w:lang w:val="es-MX"/>
        </w:rPr>
        <w:t xml:space="preserve"> </w:t>
      </w:r>
      <w:r w:rsidRPr="007105F3">
        <w:rPr>
          <w:rFonts w:ascii="Times New Roman" w:hAnsi="Times New Roman"/>
          <w:sz w:val="24"/>
          <w:szCs w:val="24"/>
          <w:lang w:val="es-MX"/>
        </w:rPr>
        <w:t>por cie</w:t>
      </w:r>
      <w:r w:rsidR="00FC6FE4">
        <w:rPr>
          <w:rFonts w:ascii="Times New Roman" w:hAnsi="Times New Roman"/>
          <w:sz w:val="24"/>
          <w:szCs w:val="24"/>
          <w:lang w:val="es-MX"/>
        </w:rPr>
        <w:t xml:space="preserve">nto en el período de análisis. </w:t>
      </w:r>
      <w:r w:rsidRPr="007105F3">
        <w:rPr>
          <w:rFonts w:ascii="Times New Roman" w:hAnsi="Times New Roman"/>
          <w:sz w:val="24"/>
          <w:szCs w:val="24"/>
          <w:lang w:val="es-MX"/>
        </w:rPr>
        <w:t>Asimis</w:t>
      </w:r>
      <w:r w:rsidR="0009454C" w:rsidRPr="007105F3">
        <w:rPr>
          <w:rFonts w:ascii="Times New Roman" w:hAnsi="Times New Roman"/>
          <w:sz w:val="24"/>
          <w:szCs w:val="24"/>
          <w:lang w:val="es-MX"/>
        </w:rPr>
        <w:t>mo, hay una probabilidad del 90 por ciento</w:t>
      </w:r>
      <w:r w:rsidRPr="007105F3">
        <w:rPr>
          <w:rFonts w:ascii="Times New Roman" w:hAnsi="Times New Roman"/>
          <w:sz w:val="24"/>
          <w:szCs w:val="24"/>
          <w:lang w:val="es-MX"/>
        </w:rPr>
        <w:t xml:space="preserve"> que la deuda públic</w:t>
      </w:r>
      <w:r w:rsidR="001C068D">
        <w:rPr>
          <w:rFonts w:ascii="Times New Roman" w:hAnsi="Times New Roman"/>
          <w:sz w:val="24"/>
          <w:szCs w:val="24"/>
          <w:lang w:val="es-MX"/>
        </w:rPr>
        <w:t>a se ubique para 2020 entre 24.1 por ciento y 27.7</w:t>
      </w:r>
      <w:r w:rsidRPr="007105F3">
        <w:rPr>
          <w:rFonts w:ascii="Times New Roman" w:hAnsi="Times New Roman"/>
          <w:sz w:val="24"/>
          <w:szCs w:val="24"/>
          <w:lang w:val="es-MX"/>
        </w:rPr>
        <w:t xml:space="preserve"> por ciento.  Para Finales de 2024, igualmente se esperaría que con una probabilidad del 90.0 por ciento, la relación de</w:t>
      </w:r>
      <w:r w:rsidR="001C068D">
        <w:rPr>
          <w:rFonts w:ascii="Times New Roman" w:hAnsi="Times New Roman"/>
          <w:sz w:val="24"/>
          <w:szCs w:val="24"/>
          <w:lang w:val="es-MX"/>
        </w:rPr>
        <w:t>uda / PIB se encuentre entre 22.6 por ciento y 28.7</w:t>
      </w:r>
      <w:r w:rsidRPr="007105F3">
        <w:rPr>
          <w:rFonts w:ascii="Times New Roman" w:hAnsi="Times New Roman"/>
          <w:sz w:val="24"/>
          <w:szCs w:val="24"/>
          <w:lang w:val="es-MX"/>
        </w:rPr>
        <w:t xml:space="preserve"> por ciento.    </w:t>
      </w:r>
    </w:p>
    <w:p w14:paraId="4E2F3671" w14:textId="77777777" w:rsidR="008A5924" w:rsidRPr="00184700" w:rsidRDefault="008A5924" w:rsidP="008A5924">
      <w:pPr>
        <w:pStyle w:val="Sinespaciado"/>
        <w:jc w:val="both"/>
        <w:rPr>
          <w:rFonts w:ascii="Times New Roman" w:hAnsi="Times New Roman"/>
          <w:lang w:val="es-MX"/>
        </w:rPr>
      </w:pPr>
    </w:p>
    <w:p w14:paraId="04485AC1" w14:textId="5A92F9AF" w:rsidR="008A5924" w:rsidRPr="007105F3" w:rsidRDefault="008A5924" w:rsidP="008A5924">
      <w:pPr>
        <w:pStyle w:val="Descripcin"/>
        <w:keepNext/>
        <w:rPr>
          <w:b w:val="0"/>
          <w:color w:val="000000" w:themeColor="text1"/>
          <w:lang w:val="es-MX"/>
        </w:rPr>
      </w:pPr>
      <w:bookmarkStart w:id="59" w:name="_Toc16242978"/>
      <w:r w:rsidRPr="007105F3">
        <w:rPr>
          <w:color w:val="000000" w:themeColor="text1"/>
        </w:rPr>
        <w:t xml:space="preserve">Gráfico  </w:t>
      </w:r>
      <w:r w:rsidRPr="007105F3">
        <w:rPr>
          <w:color w:val="000000" w:themeColor="text1"/>
        </w:rPr>
        <w:fldChar w:fldCharType="begin"/>
      </w:r>
      <w:r w:rsidRPr="007105F3">
        <w:rPr>
          <w:color w:val="000000" w:themeColor="text1"/>
        </w:rPr>
        <w:instrText xml:space="preserve"> SEQ Gráfico_ \* ARABIC </w:instrText>
      </w:r>
      <w:r w:rsidRPr="007105F3">
        <w:rPr>
          <w:color w:val="000000" w:themeColor="text1"/>
        </w:rPr>
        <w:fldChar w:fldCharType="separate"/>
      </w:r>
      <w:r w:rsidR="004B2A60">
        <w:rPr>
          <w:noProof/>
          <w:color w:val="000000" w:themeColor="text1"/>
        </w:rPr>
        <w:t>15</w:t>
      </w:r>
      <w:r w:rsidRPr="007105F3">
        <w:rPr>
          <w:noProof/>
          <w:color w:val="000000" w:themeColor="text1"/>
        </w:rPr>
        <w:fldChar w:fldCharType="end"/>
      </w:r>
      <w:r w:rsidRPr="007105F3">
        <w:rPr>
          <w:color w:val="000000" w:themeColor="text1"/>
        </w:rPr>
        <w:t xml:space="preserve">: </w:t>
      </w:r>
      <w:r w:rsidRPr="007105F3">
        <w:rPr>
          <w:color w:val="000000" w:themeColor="text1"/>
          <w:lang w:val="es-MX"/>
        </w:rPr>
        <w:t>Trayectoria de la Deuda Pública (Fan chart)</w:t>
      </w:r>
      <w:bookmarkEnd w:id="59"/>
    </w:p>
    <w:p w14:paraId="66CE5F73" w14:textId="77777777" w:rsidR="008A5924" w:rsidRPr="00184700" w:rsidRDefault="008A5924" w:rsidP="008A5924">
      <w:pPr>
        <w:pStyle w:val="Sinespaciado"/>
        <w:keepNext/>
        <w:jc w:val="center"/>
        <w:rPr>
          <w:rFonts w:ascii="Times New Roman" w:hAnsi="Times New Roman"/>
          <w:sz w:val="16"/>
          <w:lang w:val="es-MX"/>
        </w:rPr>
      </w:pPr>
      <w:r w:rsidRPr="00184700">
        <w:rPr>
          <w:rFonts w:ascii="Times New Roman" w:hAnsi="Times New Roman"/>
          <w:sz w:val="16"/>
          <w:lang w:val="es-MX"/>
        </w:rPr>
        <w:t>Porcentajes del PIB</w:t>
      </w:r>
    </w:p>
    <w:p w14:paraId="1630A79B" w14:textId="77777777" w:rsidR="008A5924" w:rsidRPr="00184700" w:rsidRDefault="00546B39" w:rsidP="008A5924">
      <w:pPr>
        <w:pStyle w:val="Sinespaciado"/>
        <w:jc w:val="center"/>
        <w:rPr>
          <w:rFonts w:ascii="Times New Roman" w:hAnsi="Times New Roman"/>
          <w:lang w:val="es-MX"/>
        </w:rPr>
      </w:pPr>
      <w:r>
        <w:rPr>
          <w:rFonts w:ascii="Times New Roman" w:hAnsi="Times New Roman"/>
          <w:noProof/>
          <w:lang w:val="es-GT" w:eastAsia="es-GT"/>
        </w:rPr>
        <w:drawing>
          <wp:inline distT="0" distB="0" distL="0" distR="0" wp14:anchorId="033B3A8A" wp14:editId="1241666D">
            <wp:extent cx="5487035" cy="38766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3876675"/>
                    </a:xfrm>
                    <a:prstGeom prst="rect">
                      <a:avLst/>
                    </a:prstGeom>
                    <a:noFill/>
                  </pic:spPr>
                </pic:pic>
              </a:graphicData>
            </a:graphic>
          </wp:inline>
        </w:drawing>
      </w:r>
    </w:p>
    <w:p w14:paraId="639A9D34" w14:textId="77777777" w:rsidR="008A5924" w:rsidRPr="00184700" w:rsidRDefault="00B546C3" w:rsidP="008A5924">
      <w:pPr>
        <w:pStyle w:val="Sinespaciado"/>
        <w:ind w:left="708" w:firstLine="708"/>
        <w:jc w:val="both"/>
        <w:rPr>
          <w:rFonts w:ascii="Times New Roman" w:hAnsi="Times New Roman"/>
          <w:sz w:val="16"/>
          <w:lang w:val="es-MX"/>
        </w:rPr>
      </w:pPr>
      <w:r>
        <w:rPr>
          <w:rFonts w:ascii="Times New Roman" w:hAnsi="Times New Roman"/>
          <w:sz w:val="16"/>
          <w:lang w:val="es-MX"/>
        </w:rPr>
        <w:t xml:space="preserve">     </w:t>
      </w:r>
      <w:r w:rsidR="009C111D">
        <w:rPr>
          <w:rFonts w:ascii="Times New Roman" w:hAnsi="Times New Roman"/>
          <w:sz w:val="16"/>
          <w:lang w:val="es-MX"/>
        </w:rPr>
        <w:t xml:space="preserve">    </w:t>
      </w:r>
      <w:r w:rsidR="008A5924" w:rsidRPr="00184700">
        <w:rPr>
          <w:rFonts w:ascii="Times New Roman" w:hAnsi="Times New Roman"/>
          <w:sz w:val="16"/>
          <w:lang w:val="es-MX"/>
        </w:rPr>
        <w:t xml:space="preserve"> </w:t>
      </w:r>
      <w:r w:rsidR="008A5924" w:rsidRPr="00FC6FE4">
        <w:rPr>
          <w:rFonts w:ascii="Times New Roman" w:hAnsi="Times New Roman"/>
          <w:b/>
          <w:sz w:val="16"/>
          <w:lang w:val="es-MX"/>
        </w:rPr>
        <w:t>Fuente</w:t>
      </w:r>
      <w:r w:rsidR="008A5924" w:rsidRPr="00184700">
        <w:rPr>
          <w:rFonts w:ascii="Times New Roman" w:hAnsi="Times New Roman"/>
          <w:sz w:val="16"/>
          <w:lang w:val="es-MX"/>
        </w:rPr>
        <w:t>: Datos del Ministerio de Finanzas con metodología del FMI</w:t>
      </w:r>
    </w:p>
    <w:p w14:paraId="3D8DC110" w14:textId="77777777" w:rsidR="008A5924" w:rsidRPr="00184700" w:rsidRDefault="008A5924" w:rsidP="008A5924">
      <w:pPr>
        <w:pStyle w:val="Sinespaciado"/>
        <w:jc w:val="both"/>
        <w:rPr>
          <w:rFonts w:ascii="Times New Roman" w:hAnsi="Times New Roman"/>
          <w:lang w:val="es-MX"/>
        </w:rPr>
      </w:pPr>
    </w:p>
    <w:p w14:paraId="02344F3E" w14:textId="77777777" w:rsidR="008A5924" w:rsidRPr="007105F3" w:rsidRDefault="008A5924" w:rsidP="008A5924">
      <w:pPr>
        <w:pStyle w:val="Sinespaciado"/>
        <w:jc w:val="both"/>
        <w:rPr>
          <w:rFonts w:ascii="Times New Roman" w:hAnsi="Times New Roman"/>
          <w:sz w:val="24"/>
          <w:szCs w:val="24"/>
          <w:lang w:val="es-MX"/>
        </w:rPr>
      </w:pPr>
      <w:r w:rsidRPr="007105F3">
        <w:rPr>
          <w:rFonts w:ascii="Times New Roman" w:hAnsi="Times New Roman"/>
          <w:sz w:val="24"/>
          <w:szCs w:val="24"/>
          <w:lang w:val="es-MX"/>
        </w:rPr>
        <w:t xml:space="preserve">Tomando en cuenta las pruebas de tensión individuales y colectiva, así como el análisis estocástico realizado, se puede concluir que ante la posibilidad de choques internos o externos que incidan en la dinámica de la deuda pública estás no afectarían la capacidad de pago del gobierno en el mediano plazo, sobre todo al considerar que los principales indicadores de solvencia de la deuda pública se mantienen por debajo del umbral recomendado por los organismos financieros internacionales como el Fondo Monetario Internacional (ratio deuda/PIB  40.0 por ciento  y relación deuda/ingresos 250.0 por ciento). </w:t>
      </w:r>
    </w:p>
    <w:p w14:paraId="2BD0BB7E" w14:textId="77777777" w:rsidR="008A5924" w:rsidRPr="007105F3" w:rsidRDefault="008A5924" w:rsidP="008A5924">
      <w:pPr>
        <w:pStyle w:val="Sinespaciado"/>
        <w:jc w:val="both"/>
        <w:rPr>
          <w:rFonts w:ascii="Times New Roman" w:hAnsi="Times New Roman"/>
          <w:sz w:val="24"/>
          <w:szCs w:val="24"/>
          <w:lang w:val="es-MX"/>
        </w:rPr>
      </w:pPr>
    </w:p>
    <w:p w14:paraId="01B58C93" w14:textId="77777777" w:rsidR="008A5924" w:rsidRPr="007105F3" w:rsidRDefault="008A5924" w:rsidP="00DD6292">
      <w:pPr>
        <w:pStyle w:val="Ttulo4"/>
        <w:widowControl/>
        <w:numPr>
          <w:ilvl w:val="3"/>
          <w:numId w:val="5"/>
        </w:numPr>
        <w:spacing w:before="240" w:after="60"/>
        <w:jc w:val="both"/>
        <w:rPr>
          <w:sz w:val="24"/>
          <w:szCs w:val="24"/>
        </w:rPr>
      </w:pPr>
      <w:bookmarkStart w:id="60" w:name="_Toc508979679"/>
      <w:bookmarkStart w:id="61" w:name="_Toc508980037"/>
      <w:bookmarkStart w:id="62" w:name="_Toc508980189"/>
      <w:bookmarkStart w:id="63" w:name="_Toc508981230"/>
      <w:bookmarkStart w:id="64" w:name="_Toc508982481"/>
      <w:bookmarkStart w:id="65" w:name="_Toc509213494"/>
      <w:bookmarkStart w:id="66" w:name="_Toc509213557"/>
      <w:bookmarkStart w:id="67" w:name="_Toc509213623"/>
      <w:bookmarkStart w:id="68" w:name="_Toc509213788"/>
      <w:bookmarkStart w:id="69" w:name="_Toc509214752"/>
      <w:bookmarkStart w:id="70" w:name="_Toc523208433"/>
      <w:bookmarkStart w:id="71" w:name="_Toc523208493"/>
      <w:bookmarkStart w:id="72" w:name="_Toc523209888"/>
      <w:bookmarkStart w:id="73" w:name="_Toc523210071"/>
      <w:bookmarkStart w:id="74" w:name="_Toc523225749"/>
      <w:bookmarkStart w:id="75" w:name="_Toc523229616"/>
      <w:bookmarkStart w:id="76" w:name="_Toc523247084"/>
      <w:bookmarkStart w:id="77" w:name="_Toc523294551"/>
      <w:bookmarkStart w:id="78" w:name="_Toc508982483"/>
      <w:bookmarkStart w:id="79" w:name="_Toc509213496"/>
      <w:bookmarkStart w:id="80" w:name="_Toc509213559"/>
      <w:bookmarkStart w:id="81" w:name="_Toc509213625"/>
      <w:bookmarkStart w:id="82" w:name="_Toc509213790"/>
      <w:bookmarkStart w:id="83" w:name="_Toc509214754"/>
      <w:bookmarkStart w:id="84" w:name="_Toc523208435"/>
      <w:bookmarkStart w:id="85" w:name="_Toc523208495"/>
      <w:bookmarkStart w:id="86" w:name="_Toc523209890"/>
      <w:bookmarkStart w:id="87" w:name="_Toc523210073"/>
      <w:bookmarkStart w:id="88" w:name="_Toc523225751"/>
      <w:bookmarkStart w:id="89" w:name="_Toc523229618"/>
      <w:bookmarkStart w:id="90" w:name="_Toc523247086"/>
      <w:bookmarkStart w:id="91" w:name="_Toc523294553"/>
      <w:bookmarkStart w:id="92" w:name="_Toc509214755"/>
      <w:bookmarkStart w:id="93" w:name="_Toc523294554"/>
      <w:bookmarkStart w:id="94" w:name="_Toc1651989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7105F3">
        <w:rPr>
          <w:sz w:val="24"/>
          <w:szCs w:val="24"/>
        </w:rPr>
        <w:t>Análisis de Largo Plazo</w:t>
      </w:r>
      <w:bookmarkEnd w:id="92"/>
      <w:bookmarkEnd w:id="93"/>
      <w:bookmarkEnd w:id="94"/>
      <w:r w:rsidRPr="007105F3">
        <w:rPr>
          <w:sz w:val="24"/>
          <w:szCs w:val="24"/>
        </w:rPr>
        <w:t xml:space="preserve">   </w:t>
      </w:r>
    </w:p>
    <w:p w14:paraId="2CDE8592" w14:textId="77777777" w:rsidR="008A5924" w:rsidRPr="007105F3" w:rsidRDefault="008A5924" w:rsidP="008A5924">
      <w:pPr>
        <w:pStyle w:val="Sinespaciado"/>
        <w:jc w:val="both"/>
        <w:rPr>
          <w:rFonts w:ascii="Times New Roman" w:hAnsi="Times New Roman"/>
          <w:sz w:val="24"/>
          <w:szCs w:val="24"/>
          <w:lang w:val="es-MX"/>
        </w:rPr>
      </w:pPr>
    </w:p>
    <w:p w14:paraId="6FB70549" w14:textId="77777777" w:rsidR="008A5924" w:rsidRPr="007105F3" w:rsidRDefault="008A5924" w:rsidP="008A5924">
      <w:pPr>
        <w:pStyle w:val="Sinespaciado"/>
        <w:jc w:val="both"/>
        <w:rPr>
          <w:rFonts w:ascii="Times New Roman" w:hAnsi="Times New Roman"/>
          <w:sz w:val="24"/>
          <w:szCs w:val="24"/>
          <w:lang w:val="es-MX"/>
        </w:rPr>
      </w:pPr>
      <w:r w:rsidRPr="007105F3">
        <w:rPr>
          <w:rFonts w:ascii="Times New Roman" w:hAnsi="Times New Roman"/>
          <w:sz w:val="24"/>
          <w:szCs w:val="24"/>
          <w:lang w:val="es-MX"/>
        </w:rPr>
        <w:t xml:space="preserve">Para evaluar el comportamiento y posible trayectoria de la deuda pública en el largo plazo, es decir en un horizonte de 20 años, se realizó un análisis simplificado de choques a los principales determinantes de la deuda pública que podría generarse a partir de 2025 tomando como referencia el escenario base de mediano plazo (2019-2024).   </w:t>
      </w:r>
    </w:p>
    <w:p w14:paraId="5B52AACB" w14:textId="77777777" w:rsidR="008A5924" w:rsidRPr="007105F3" w:rsidRDefault="008A5924" w:rsidP="008A5924">
      <w:pPr>
        <w:pStyle w:val="Sinespaciado"/>
        <w:jc w:val="both"/>
        <w:rPr>
          <w:rFonts w:ascii="Times New Roman" w:hAnsi="Times New Roman"/>
          <w:sz w:val="24"/>
          <w:szCs w:val="24"/>
          <w:lang w:val="es-MX"/>
        </w:rPr>
      </w:pPr>
    </w:p>
    <w:p w14:paraId="0D6F0F88" w14:textId="77777777" w:rsidR="008A5924" w:rsidRPr="007105F3" w:rsidRDefault="008A5924" w:rsidP="008A5924">
      <w:pPr>
        <w:pStyle w:val="Sinespaciado"/>
        <w:jc w:val="both"/>
        <w:rPr>
          <w:rFonts w:ascii="Times New Roman" w:hAnsi="Times New Roman"/>
          <w:sz w:val="24"/>
          <w:szCs w:val="24"/>
          <w:lang w:val="es-MX"/>
        </w:rPr>
      </w:pPr>
      <w:r w:rsidRPr="007105F3">
        <w:rPr>
          <w:rFonts w:ascii="Times New Roman" w:hAnsi="Times New Roman"/>
          <w:sz w:val="24"/>
          <w:szCs w:val="24"/>
          <w:lang w:val="es-MX"/>
        </w:rPr>
        <w:t>En ese sentido, de mantenerse las condiciones previstas en 2024 y que estas se extiendan en el largo plazo (2039), es decir un resultado primario deficitari</w:t>
      </w:r>
      <w:r w:rsidR="0009454C" w:rsidRPr="007105F3">
        <w:rPr>
          <w:rFonts w:ascii="Times New Roman" w:hAnsi="Times New Roman"/>
          <w:sz w:val="24"/>
          <w:szCs w:val="24"/>
          <w:lang w:val="es-MX"/>
        </w:rPr>
        <w:t>o que se ubique en torno al 0.4 por ciento</w:t>
      </w:r>
      <w:r w:rsidRPr="007105F3">
        <w:rPr>
          <w:rFonts w:ascii="Times New Roman" w:hAnsi="Times New Roman"/>
          <w:sz w:val="24"/>
          <w:szCs w:val="24"/>
          <w:lang w:val="es-MX"/>
        </w:rPr>
        <w:t xml:space="preserve"> del PIB, el cual es equivalente a u</w:t>
      </w:r>
      <w:r w:rsidR="0009454C" w:rsidRPr="007105F3">
        <w:rPr>
          <w:rFonts w:ascii="Times New Roman" w:hAnsi="Times New Roman"/>
          <w:sz w:val="24"/>
          <w:szCs w:val="24"/>
          <w:lang w:val="es-MX"/>
        </w:rPr>
        <w:t xml:space="preserve">n déficit fiscal cercano al 2.0 por ciento </w:t>
      </w:r>
      <w:r w:rsidRPr="007105F3">
        <w:rPr>
          <w:rFonts w:ascii="Times New Roman" w:hAnsi="Times New Roman"/>
          <w:sz w:val="24"/>
          <w:szCs w:val="24"/>
          <w:lang w:val="es-MX"/>
        </w:rPr>
        <w:t>del PIB;  el crecimiento económico promedio se ubique en el PIB potencial (3.5%), la tasa de interés real se estima por abajo del PIB potencial y el tipo de cambio nominal se prevé que en promedio se mantenga más o menos constante como se ha observado en los últimos quince años. Con dichos supuestos la proporción Deuda / PIB, si bien muestra un comportamiento creciente, será moderado y se prevé que dicho indicador alcance al fin</w:t>
      </w:r>
      <w:r w:rsidR="0009454C" w:rsidRPr="007105F3">
        <w:rPr>
          <w:rFonts w:ascii="Times New Roman" w:hAnsi="Times New Roman"/>
          <w:sz w:val="24"/>
          <w:szCs w:val="24"/>
          <w:lang w:val="es-MX"/>
        </w:rPr>
        <w:t>al del período indi</w:t>
      </w:r>
      <w:r w:rsidR="000F592F">
        <w:rPr>
          <w:rFonts w:ascii="Times New Roman" w:hAnsi="Times New Roman"/>
          <w:sz w:val="24"/>
          <w:szCs w:val="24"/>
          <w:lang w:val="es-MX"/>
        </w:rPr>
        <w:t>cado un 25</w:t>
      </w:r>
      <w:r w:rsidR="0009454C" w:rsidRPr="007105F3">
        <w:rPr>
          <w:rFonts w:ascii="Times New Roman" w:hAnsi="Times New Roman"/>
          <w:sz w:val="24"/>
          <w:szCs w:val="24"/>
          <w:lang w:val="es-MX"/>
        </w:rPr>
        <w:t>.</w:t>
      </w:r>
      <w:r w:rsidR="00D70B82">
        <w:rPr>
          <w:rFonts w:ascii="Times New Roman" w:hAnsi="Times New Roman"/>
          <w:sz w:val="24"/>
          <w:szCs w:val="24"/>
          <w:lang w:val="es-MX"/>
        </w:rPr>
        <w:t>6</w:t>
      </w:r>
      <w:r w:rsidR="0009454C" w:rsidRPr="007105F3">
        <w:rPr>
          <w:rFonts w:ascii="Times New Roman" w:hAnsi="Times New Roman"/>
          <w:sz w:val="24"/>
          <w:szCs w:val="24"/>
          <w:lang w:val="es-MX"/>
        </w:rPr>
        <w:t xml:space="preserve"> por ciento</w:t>
      </w:r>
      <w:r w:rsidRPr="007105F3">
        <w:rPr>
          <w:rFonts w:ascii="Times New Roman" w:hAnsi="Times New Roman"/>
          <w:sz w:val="24"/>
          <w:szCs w:val="24"/>
          <w:lang w:val="es-MX"/>
        </w:rPr>
        <w:t>.</w:t>
      </w:r>
    </w:p>
    <w:p w14:paraId="78B38974" w14:textId="77777777" w:rsidR="008A5924" w:rsidRPr="00184700" w:rsidRDefault="008A5924" w:rsidP="008A5924">
      <w:pPr>
        <w:pStyle w:val="Sinespaciado"/>
        <w:jc w:val="both"/>
        <w:rPr>
          <w:rFonts w:ascii="Times New Roman" w:hAnsi="Times New Roman"/>
          <w:lang w:val="es-MX"/>
        </w:rPr>
      </w:pPr>
    </w:p>
    <w:p w14:paraId="1AAD180F" w14:textId="77777777" w:rsidR="008A5924" w:rsidRPr="007105F3" w:rsidRDefault="008A5924" w:rsidP="008A5924">
      <w:pPr>
        <w:pStyle w:val="Sinespaciado"/>
        <w:jc w:val="both"/>
        <w:rPr>
          <w:rFonts w:ascii="Times New Roman" w:hAnsi="Times New Roman"/>
          <w:sz w:val="24"/>
          <w:szCs w:val="24"/>
          <w:lang w:val="es-MX"/>
        </w:rPr>
      </w:pPr>
      <w:r w:rsidRPr="00FC6FE4">
        <w:rPr>
          <w:rFonts w:ascii="Times New Roman" w:hAnsi="Times New Roman"/>
          <w:sz w:val="24"/>
          <w:szCs w:val="24"/>
          <w:lang w:val="es-MX"/>
        </w:rPr>
        <w:t>Lo anterior muestra que hay margen suficiente para soportar choques de la economía, sin que esto repercuta severamente en la sostenibilidad fiscal.</w:t>
      </w:r>
      <w:r w:rsidRPr="007105F3">
        <w:rPr>
          <w:rFonts w:ascii="Times New Roman" w:hAnsi="Times New Roman"/>
          <w:sz w:val="24"/>
          <w:szCs w:val="24"/>
          <w:lang w:val="es-MX"/>
        </w:rPr>
        <w:t xml:space="preserve">  Para el efecto se aplicaron choques transitorios a los principales determinantes del comportamiento de la deuda y en el peor escenario de un choque combinado en el que se da una reducción del PIB real en los primeros dos años (caída del 30.0% del valor estimado), incremento de la tasa de interés real en 200 puntos básicos y un aumento importante en el déficit primario en los primeros tres años (aumentos en puntos porcentuales del PIB de 1.1, 0.8 y 0.6).  Con estos choques la relación deuda / PIB pa</w:t>
      </w:r>
      <w:r w:rsidR="002F2377">
        <w:rPr>
          <w:rFonts w:ascii="Times New Roman" w:hAnsi="Times New Roman"/>
          <w:sz w:val="24"/>
          <w:szCs w:val="24"/>
          <w:lang w:val="es-MX"/>
        </w:rPr>
        <w:t>ra 2039 podría situarse en 36.1</w:t>
      </w:r>
      <w:r w:rsidR="0009454C" w:rsidRPr="007105F3">
        <w:rPr>
          <w:rFonts w:ascii="Times New Roman" w:hAnsi="Times New Roman"/>
          <w:sz w:val="24"/>
          <w:szCs w:val="24"/>
          <w:lang w:val="es-MX"/>
        </w:rPr>
        <w:t xml:space="preserve"> por ciento</w:t>
      </w:r>
      <w:r w:rsidRPr="007105F3">
        <w:rPr>
          <w:rFonts w:ascii="Times New Roman" w:hAnsi="Times New Roman"/>
          <w:sz w:val="24"/>
          <w:szCs w:val="24"/>
          <w:lang w:val="es-MX"/>
        </w:rPr>
        <w:t>, nivel que aún sigue estando por debajo del 40.0</w:t>
      </w:r>
      <w:r w:rsidR="0009454C" w:rsidRPr="007105F3">
        <w:rPr>
          <w:rFonts w:ascii="Times New Roman" w:hAnsi="Times New Roman"/>
          <w:sz w:val="24"/>
          <w:szCs w:val="24"/>
          <w:lang w:val="es-MX"/>
        </w:rPr>
        <w:t xml:space="preserve"> por ciento</w:t>
      </w:r>
      <w:r w:rsidRPr="007105F3">
        <w:rPr>
          <w:rFonts w:ascii="Times New Roman" w:hAnsi="Times New Roman"/>
          <w:sz w:val="24"/>
          <w:szCs w:val="24"/>
          <w:lang w:val="es-MX"/>
        </w:rPr>
        <w:t xml:space="preserve">.  </w:t>
      </w:r>
    </w:p>
    <w:p w14:paraId="7D80C718" w14:textId="77777777" w:rsidR="008A5924" w:rsidRPr="007105F3" w:rsidRDefault="008A5924" w:rsidP="008A5924">
      <w:pPr>
        <w:pStyle w:val="Sinespaciado"/>
        <w:jc w:val="both"/>
        <w:rPr>
          <w:rFonts w:ascii="Times New Roman" w:hAnsi="Times New Roman"/>
          <w:sz w:val="24"/>
          <w:szCs w:val="24"/>
          <w:lang w:val="es-MX"/>
        </w:rPr>
      </w:pPr>
    </w:p>
    <w:p w14:paraId="5062E724" w14:textId="2A8053EA" w:rsidR="008A5924" w:rsidRPr="007105F3" w:rsidRDefault="008A5924" w:rsidP="008A5924">
      <w:pPr>
        <w:pStyle w:val="Descripcin"/>
        <w:rPr>
          <w:b w:val="0"/>
          <w:color w:val="000000" w:themeColor="text1"/>
          <w:lang w:val="es-MX"/>
        </w:rPr>
      </w:pPr>
      <w:bookmarkStart w:id="95" w:name="_Toc16242979"/>
      <w:r w:rsidRPr="007105F3">
        <w:rPr>
          <w:color w:val="000000" w:themeColor="text1"/>
        </w:rPr>
        <w:t xml:space="preserve">Gráfico  </w:t>
      </w:r>
      <w:r w:rsidRPr="007105F3">
        <w:rPr>
          <w:color w:val="000000" w:themeColor="text1"/>
        </w:rPr>
        <w:fldChar w:fldCharType="begin"/>
      </w:r>
      <w:r w:rsidRPr="007105F3">
        <w:rPr>
          <w:color w:val="000000" w:themeColor="text1"/>
        </w:rPr>
        <w:instrText xml:space="preserve"> SEQ Gráfico_ \* ARABIC </w:instrText>
      </w:r>
      <w:r w:rsidRPr="007105F3">
        <w:rPr>
          <w:color w:val="000000" w:themeColor="text1"/>
        </w:rPr>
        <w:fldChar w:fldCharType="separate"/>
      </w:r>
      <w:r w:rsidR="004B2A60">
        <w:rPr>
          <w:noProof/>
          <w:color w:val="000000" w:themeColor="text1"/>
        </w:rPr>
        <w:t>16</w:t>
      </w:r>
      <w:r w:rsidRPr="007105F3">
        <w:rPr>
          <w:noProof/>
          <w:color w:val="000000" w:themeColor="text1"/>
        </w:rPr>
        <w:fldChar w:fldCharType="end"/>
      </w:r>
      <w:r w:rsidRPr="007105F3">
        <w:rPr>
          <w:color w:val="000000" w:themeColor="text1"/>
        </w:rPr>
        <w:t>: Escenarios del Comportamiento de la Deuda Pública en el Largo Plazo</w:t>
      </w:r>
      <w:bookmarkEnd w:id="95"/>
    </w:p>
    <w:p w14:paraId="7D4A40FE" w14:textId="77777777" w:rsidR="008A5924" w:rsidRDefault="008A5924" w:rsidP="008A5924">
      <w:pPr>
        <w:pStyle w:val="Sinespaciado"/>
        <w:jc w:val="center"/>
        <w:rPr>
          <w:rFonts w:ascii="Times New Roman" w:hAnsi="Times New Roman"/>
          <w:sz w:val="18"/>
          <w:szCs w:val="20"/>
          <w:lang w:val="es-MX"/>
        </w:rPr>
      </w:pPr>
      <w:r w:rsidRPr="00184700">
        <w:rPr>
          <w:rFonts w:ascii="Times New Roman" w:hAnsi="Times New Roman"/>
          <w:sz w:val="18"/>
          <w:szCs w:val="20"/>
          <w:lang w:val="es-MX"/>
        </w:rPr>
        <w:t>Porcentajes del PIB</w:t>
      </w:r>
    </w:p>
    <w:p w14:paraId="24AC4636" w14:textId="77777777" w:rsidR="008A700C" w:rsidRPr="00184700" w:rsidRDefault="008A700C" w:rsidP="008A5924">
      <w:pPr>
        <w:pStyle w:val="Sinespaciado"/>
        <w:jc w:val="center"/>
        <w:rPr>
          <w:rFonts w:ascii="Times New Roman" w:hAnsi="Times New Roman"/>
          <w:sz w:val="20"/>
          <w:lang w:val="es-MX"/>
        </w:rPr>
      </w:pPr>
    </w:p>
    <w:p w14:paraId="000E5BDD" w14:textId="77777777" w:rsidR="008A5924" w:rsidRPr="00184700" w:rsidRDefault="002F2377" w:rsidP="008A5924">
      <w:pPr>
        <w:pStyle w:val="Sinespaciado"/>
        <w:jc w:val="center"/>
        <w:rPr>
          <w:rFonts w:ascii="Times New Roman" w:hAnsi="Times New Roman"/>
          <w:lang w:val="es-MX"/>
        </w:rPr>
      </w:pPr>
      <w:r>
        <w:rPr>
          <w:rFonts w:ascii="Times New Roman" w:hAnsi="Times New Roman"/>
          <w:noProof/>
          <w:lang w:val="es-GT" w:eastAsia="es-GT"/>
        </w:rPr>
        <w:drawing>
          <wp:inline distT="0" distB="0" distL="0" distR="0" wp14:anchorId="7203101B" wp14:editId="7A8DC89A">
            <wp:extent cx="4798060" cy="3072765"/>
            <wp:effectExtent l="0" t="0" r="254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8060" cy="3072765"/>
                    </a:xfrm>
                    <a:prstGeom prst="rect">
                      <a:avLst/>
                    </a:prstGeom>
                    <a:noFill/>
                  </pic:spPr>
                </pic:pic>
              </a:graphicData>
            </a:graphic>
          </wp:inline>
        </w:drawing>
      </w:r>
    </w:p>
    <w:p w14:paraId="41E6E362" w14:textId="77777777" w:rsidR="008A5924" w:rsidRPr="00184700" w:rsidRDefault="008A5924" w:rsidP="008A5924">
      <w:pPr>
        <w:pStyle w:val="Sinespaciado"/>
        <w:ind w:left="708"/>
        <w:rPr>
          <w:rFonts w:ascii="Times New Roman" w:hAnsi="Times New Roman"/>
          <w:sz w:val="16"/>
          <w:lang w:val="es-MX"/>
        </w:rPr>
      </w:pPr>
      <w:r w:rsidRPr="00FC6FE4">
        <w:rPr>
          <w:rFonts w:ascii="Times New Roman" w:hAnsi="Times New Roman"/>
          <w:b/>
          <w:sz w:val="16"/>
          <w:lang w:val="es-MX"/>
        </w:rPr>
        <w:t xml:space="preserve">         </w:t>
      </w:r>
      <w:r w:rsidR="001A3FAE" w:rsidRPr="00FC6FE4">
        <w:rPr>
          <w:rFonts w:ascii="Times New Roman" w:hAnsi="Times New Roman"/>
          <w:b/>
          <w:sz w:val="16"/>
          <w:lang w:val="es-MX"/>
        </w:rPr>
        <w:t xml:space="preserve">  </w:t>
      </w:r>
      <w:r w:rsidRPr="00FC6FE4">
        <w:rPr>
          <w:rFonts w:ascii="Times New Roman" w:hAnsi="Times New Roman"/>
          <w:b/>
          <w:sz w:val="16"/>
          <w:lang w:val="es-MX"/>
        </w:rPr>
        <w:t>Fuente:</w:t>
      </w:r>
      <w:r w:rsidRPr="00184700">
        <w:rPr>
          <w:rFonts w:ascii="Times New Roman" w:hAnsi="Times New Roman"/>
          <w:sz w:val="16"/>
          <w:lang w:val="es-MX"/>
        </w:rPr>
        <w:t xml:space="preserve"> Ministerio de Finanzas Públicas, aplicando supuestos propios utilizando el análisis de Olivier Blanchard</w:t>
      </w:r>
    </w:p>
    <w:p w14:paraId="51AE05FC" w14:textId="77777777" w:rsidR="008A5924" w:rsidRPr="00184700" w:rsidRDefault="008A5924" w:rsidP="008A5924">
      <w:pPr>
        <w:pStyle w:val="Sinespaciado"/>
        <w:ind w:left="708"/>
        <w:rPr>
          <w:rFonts w:ascii="Times New Roman" w:hAnsi="Times New Roman"/>
          <w:szCs w:val="24"/>
          <w:lang w:val="es-MX"/>
        </w:rPr>
      </w:pPr>
    </w:p>
    <w:p w14:paraId="1C2884CB" w14:textId="77777777" w:rsidR="008A5924" w:rsidRPr="007105F3" w:rsidRDefault="008A5924" w:rsidP="008A5924">
      <w:pPr>
        <w:pStyle w:val="Sinespaciado"/>
        <w:jc w:val="both"/>
        <w:rPr>
          <w:rFonts w:ascii="Times New Roman" w:hAnsi="Times New Roman"/>
          <w:sz w:val="24"/>
          <w:szCs w:val="24"/>
          <w:lang w:val="es-MX"/>
        </w:rPr>
      </w:pPr>
      <w:r w:rsidRPr="007105F3">
        <w:rPr>
          <w:rFonts w:ascii="Times New Roman" w:hAnsi="Times New Roman"/>
          <w:sz w:val="24"/>
          <w:szCs w:val="24"/>
          <w:lang w:val="es-MX"/>
        </w:rPr>
        <w:t>Considerando los resultados mostrados, es importante indicar que la autoridad fiscal puede tomar medidas de política para evitar un deterioro de las cuentas fiscales y revertir así la tendencia de la deuda mediante ajustes en los ingresos o gastos del gobierno que pueden reducir o minimizar el impacto de los efectos adversos en el largo plazo.  En ese sentido, se elaboraron dos escenarios adicionales que muestran dos tipos de ajustes fiscales uno en el que se busca un equilibrio en el balance primario, es decir, no e</w:t>
      </w:r>
      <w:r w:rsidR="0009454C" w:rsidRPr="007105F3">
        <w:rPr>
          <w:rFonts w:ascii="Times New Roman" w:hAnsi="Times New Roman"/>
          <w:sz w:val="24"/>
          <w:szCs w:val="24"/>
          <w:lang w:val="es-MX"/>
        </w:rPr>
        <w:t>xceder el déficit fiscal de 1.6 por ciento</w:t>
      </w:r>
      <w:r w:rsidRPr="007105F3">
        <w:rPr>
          <w:rFonts w:ascii="Times New Roman" w:hAnsi="Times New Roman"/>
          <w:sz w:val="24"/>
          <w:szCs w:val="24"/>
          <w:lang w:val="es-MX"/>
        </w:rPr>
        <w:t xml:space="preserve"> del PIB, después de los choques en la economía; y otro escenario en el que el ajuste fiscal es más severo y se log</w:t>
      </w:r>
      <w:r w:rsidR="0009454C" w:rsidRPr="007105F3">
        <w:rPr>
          <w:rFonts w:ascii="Times New Roman" w:hAnsi="Times New Roman"/>
          <w:sz w:val="24"/>
          <w:szCs w:val="24"/>
          <w:lang w:val="es-MX"/>
        </w:rPr>
        <w:t>ra un superávit primario de 0.2 por ciento</w:t>
      </w:r>
      <w:r w:rsidRPr="007105F3">
        <w:rPr>
          <w:rFonts w:ascii="Times New Roman" w:hAnsi="Times New Roman"/>
          <w:sz w:val="24"/>
          <w:szCs w:val="24"/>
          <w:lang w:val="es-MX"/>
        </w:rPr>
        <w:t xml:space="preserve"> del PIB posterior a los choques (déficit fiscal entre 1.3 - 1.4% el PIB).   </w:t>
      </w:r>
    </w:p>
    <w:p w14:paraId="597B16F8" w14:textId="77777777" w:rsidR="008A5924" w:rsidRPr="007105F3" w:rsidRDefault="008A5924" w:rsidP="008A5924">
      <w:pPr>
        <w:pStyle w:val="Sinespaciado"/>
        <w:jc w:val="both"/>
        <w:rPr>
          <w:rFonts w:ascii="Times New Roman" w:hAnsi="Times New Roman"/>
          <w:sz w:val="24"/>
          <w:szCs w:val="24"/>
          <w:lang w:val="es-MX"/>
        </w:rPr>
      </w:pPr>
    </w:p>
    <w:p w14:paraId="622CFCE9" w14:textId="77777777" w:rsidR="008A5924" w:rsidRPr="007105F3" w:rsidRDefault="008A5924" w:rsidP="008A5924">
      <w:pPr>
        <w:pStyle w:val="Sinespaciado"/>
        <w:jc w:val="both"/>
        <w:rPr>
          <w:rFonts w:ascii="Times New Roman" w:hAnsi="Times New Roman"/>
          <w:sz w:val="24"/>
          <w:szCs w:val="24"/>
          <w:lang w:val="es-MX"/>
        </w:rPr>
      </w:pPr>
      <w:r w:rsidRPr="007105F3">
        <w:rPr>
          <w:rFonts w:ascii="Times New Roman" w:hAnsi="Times New Roman"/>
          <w:sz w:val="24"/>
          <w:szCs w:val="24"/>
          <w:lang w:val="es-MX"/>
        </w:rPr>
        <w:t>Con dichos ajustes la relación de deud</w:t>
      </w:r>
      <w:r w:rsidR="00176CA7">
        <w:rPr>
          <w:rFonts w:ascii="Times New Roman" w:hAnsi="Times New Roman"/>
          <w:sz w:val="24"/>
          <w:szCs w:val="24"/>
          <w:lang w:val="es-MX"/>
        </w:rPr>
        <w:t>a PIB para 2039 pasaría de 36.1</w:t>
      </w:r>
      <w:r w:rsidR="0009454C" w:rsidRPr="007105F3">
        <w:rPr>
          <w:rFonts w:ascii="Times New Roman" w:hAnsi="Times New Roman"/>
          <w:sz w:val="24"/>
          <w:szCs w:val="24"/>
          <w:lang w:val="es-MX"/>
        </w:rPr>
        <w:t xml:space="preserve"> por ciento</w:t>
      </w:r>
      <w:r w:rsidRPr="007105F3">
        <w:rPr>
          <w:rFonts w:ascii="Times New Roman" w:hAnsi="Times New Roman"/>
          <w:sz w:val="24"/>
          <w:szCs w:val="24"/>
          <w:lang w:val="es-MX"/>
        </w:rPr>
        <w:t xml:space="preserve"> a 31.</w:t>
      </w:r>
      <w:r w:rsidR="00176CA7">
        <w:rPr>
          <w:rFonts w:ascii="Times New Roman" w:hAnsi="Times New Roman"/>
          <w:sz w:val="24"/>
          <w:szCs w:val="24"/>
          <w:lang w:val="es-MX"/>
        </w:rPr>
        <w:t>4</w:t>
      </w:r>
      <w:r w:rsidR="0009454C" w:rsidRPr="007105F3">
        <w:rPr>
          <w:rFonts w:ascii="Times New Roman" w:hAnsi="Times New Roman"/>
          <w:sz w:val="24"/>
          <w:szCs w:val="24"/>
          <w:lang w:val="es-MX"/>
        </w:rPr>
        <w:t xml:space="preserve"> por ciento</w:t>
      </w:r>
      <w:r w:rsidRPr="007105F3">
        <w:rPr>
          <w:rFonts w:ascii="Times New Roman" w:hAnsi="Times New Roman"/>
          <w:sz w:val="24"/>
          <w:szCs w:val="24"/>
          <w:lang w:val="es-MX"/>
        </w:rPr>
        <w:t>, únicamente logrando un equilibrio en el resultado primario y con un ajuste un poco más fuerte logrando un superávit primario, la relaci</w:t>
      </w:r>
      <w:r w:rsidR="0009454C" w:rsidRPr="007105F3">
        <w:rPr>
          <w:rFonts w:ascii="Times New Roman" w:hAnsi="Times New Roman"/>
          <w:sz w:val="24"/>
          <w:szCs w:val="24"/>
          <w:lang w:val="es-MX"/>
        </w:rPr>
        <w:t>ón deuda/PIB disminuiría a 29.</w:t>
      </w:r>
      <w:r w:rsidR="00176CA7">
        <w:rPr>
          <w:rFonts w:ascii="Times New Roman" w:hAnsi="Times New Roman"/>
          <w:sz w:val="24"/>
          <w:szCs w:val="24"/>
          <w:lang w:val="es-MX"/>
        </w:rPr>
        <w:t>0</w:t>
      </w:r>
      <w:r w:rsidR="0009454C" w:rsidRPr="007105F3">
        <w:rPr>
          <w:rFonts w:ascii="Times New Roman" w:hAnsi="Times New Roman"/>
          <w:sz w:val="24"/>
          <w:szCs w:val="24"/>
          <w:lang w:val="es-MX"/>
        </w:rPr>
        <w:t xml:space="preserve"> por ciento</w:t>
      </w:r>
      <w:r w:rsidRPr="007105F3">
        <w:rPr>
          <w:rFonts w:ascii="Times New Roman" w:hAnsi="Times New Roman"/>
          <w:sz w:val="24"/>
          <w:szCs w:val="24"/>
          <w:lang w:val="es-MX"/>
        </w:rPr>
        <w:t xml:space="preserve"> del PIB.   </w:t>
      </w:r>
    </w:p>
    <w:p w14:paraId="72EF6828" w14:textId="77777777" w:rsidR="008A5924" w:rsidRPr="007105F3" w:rsidRDefault="008A5924" w:rsidP="008A5924">
      <w:pPr>
        <w:pStyle w:val="Sinespaciado"/>
        <w:jc w:val="both"/>
        <w:rPr>
          <w:rFonts w:ascii="Times New Roman" w:hAnsi="Times New Roman"/>
          <w:sz w:val="24"/>
          <w:szCs w:val="24"/>
          <w:lang w:val="es-MX"/>
        </w:rPr>
      </w:pPr>
    </w:p>
    <w:p w14:paraId="657BCDDA" w14:textId="77777777" w:rsidR="008A5924" w:rsidRPr="007105F3" w:rsidRDefault="008A5924" w:rsidP="008A5924">
      <w:pPr>
        <w:pStyle w:val="Sinespaciado"/>
        <w:jc w:val="both"/>
        <w:rPr>
          <w:rFonts w:ascii="Times New Roman" w:hAnsi="Times New Roman"/>
          <w:sz w:val="24"/>
          <w:szCs w:val="24"/>
          <w:lang w:val="es-MX"/>
        </w:rPr>
      </w:pPr>
      <w:r w:rsidRPr="007105F3">
        <w:rPr>
          <w:rFonts w:ascii="Times New Roman" w:hAnsi="Times New Roman"/>
          <w:sz w:val="24"/>
          <w:szCs w:val="24"/>
          <w:lang w:val="es-MX"/>
        </w:rPr>
        <w:t xml:space="preserve">Dada la evolución de las cuentas fiscales, la disciplina en el manejo de los recursos y el historial de estabilidad macroeconómica en los últimos 20 años, son escenarios factibles y que dan sustento para afirmar que la deuda pública en Guatemala es sostenible en el mediano y largo plazos.  </w:t>
      </w:r>
    </w:p>
    <w:p w14:paraId="5994FFD5" w14:textId="77777777" w:rsidR="008A5924" w:rsidRDefault="008A5924" w:rsidP="008A5924">
      <w:pPr>
        <w:pStyle w:val="Sinespaciado"/>
        <w:jc w:val="both"/>
        <w:rPr>
          <w:rFonts w:ascii="Times New Roman" w:hAnsi="Times New Roman"/>
          <w:lang w:val="es-MX"/>
        </w:rPr>
      </w:pPr>
    </w:p>
    <w:p w14:paraId="44276DD6" w14:textId="323F23DA" w:rsidR="008A5924" w:rsidRPr="0024635E" w:rsidRDefault="008A5924" w:rsidP="008A5924">
      <w:pPr>
        <w:pStyle w:val="Descripcin"/>
        <w:rPr>
          <w:b w:val="0"/>
          <w:color w:val="000000" w:themeColor="text1"/>
          <w:lang w:val="es-MX"/>
        </w:rPr>
      </w:pPr>
      <w:bookmarkStart w:id="96" w:name="_Toc16242980"/>
      <w:r w:rsidRPr="007105F3">
        <w:rPr>
          <w:color w:val="000000" w:themeColor="text1"/>
        </w:rPr>
        <w:t xml:space="preserve">Gráfico  </w:t>
      </w:r>
      <w:r w:rsidRPr="007105F3">
        <w:rPr>
          <w:color w:val="000000" w:themeColor="text1"/>
        </w:rPr>
        <w:fldChar w:fldCharType="begin"/>
      </w:r>
      <w:r w:rsidRPr="007105F3">
        <w:rPr>
          <w:color w:val="000000" w:themeColor="text1"/>
        </w:rPr>
        <w:instrText xml:space="preserve"> SEQ Gráfico_ \* ARABIC </w:instrText>
      </w:r>
      <w:r w:rsidRPr="007105F3">
        <w:rPr>
          <w:color w:val="000000" w:themeColor="text1"/>
        </w:rPr>
        <w:fldChar w:fldCharType="separate"/>
      </w:r>
      <w:r w:rsidR="004B2A60">
        <w:rPr>
          <w:noProof/>
          <w:color w:val="000000" w:themeColor="text1"/>
        </w:rPr>
        <w:t>17</w:t>
      </w:r>
      <w:r w:rsidRPr="007105F3">
        <w:rPr>
          <w:noProof/>
          <w:color w:val="000000" w:themeColor="text1"/>
        </w:rPr>
        <w:fldChar w:fldCharType="end"/>
      </w:r>
      <w:r w:rsidRPr="007105F3">
        <w:rPr>
          <w:color w:val="000000" w:themeColor="text1"/>
        </w:rPr>
        <w:t xml:space="preserve">: </w:t>
      </w:r>
      <w:r w:rsidRPr="0024635E">
        <w:rPr>
          <w:color w:val="000000" w:themeColor="text1"/>
          <w:lang w:val="es-MX"/>
        </w:rPr>
        <w:t>Escenarios de Ajuste Fiscal para Atenuar Choques</w:t>
      </w:r>
      <w:bookmarkEnd w:id="96"/>
      <w:r w:rsidRPr="0024635E">
        <w:rPr>
          <w:color w:val="000000" w:themeColor="text1"/>
          <w:lang w:val="es-MX"/>
        </w:rPr>
        <w:t xml:space="preserve"> </w:t>
      </w:r>
    </w:p>
    <w:p w14:paraId="37AD9451" w14:textId="77777777" w:rsidR="008A5924" w:rsidRPr="0024635E" w:rsidRDefault="008A5924" w:rsidP="008A5924">
      <w:pPr>
        <w:pStyle w:val="Sinespaciado"/>
        <w:jc w:val="center"/>
        <w:rPr>
          <w:rFonts w:ascii="Times New Roman" w:hAnsi="Times New Roman"/>
          <w:b/>
          <w:sz w:val="20"/>
          <w:szCs w:val="20"/>
          <w:lang w:val="es-MX"/>
        </w:rPr>
      </w:pPr>
      <w:r w:rsidRPr="0024635E">
        <w:rPr>
          <w:rFonts w:ascii="Times New Roman" w:hAnsi="Times New Roman"/>
          <w:b/>
          <w:sz w:val="20"/>
          <w:szCs w:val="20"/>
          <w:lang w:val="es-MX"/>
        </w:rPr>
        <w:t>Adversos en la Deuda Pública de Largo Plazo</w:t>
      </w:r>
    </w:p>
    <w:p w14:paraId="191FBEA5" w14:textId="77777777" w:rsidR="008A5924" w:rsidRDefault="008A5924" w:rsidP="008A5924">
      <w:pPr>
        <w:pStyle w:val="Sinespaciado"/>
        <w:jc w:val="center"/>
        <w:rPr>
          <w:rFonts w:ascii="Times New Roman" w:hAnsi="Times New Roman"/>
          <w:sz w:val="18"/>
          <w:szCs w:val="20"/>
          <w:lang w:val="es-MX"/>
        </w:rPr>
      </w:pPr>
      <w:r w:rsidRPr="00184700">
        <w:rPr>
          <w:rFonts w:ascii="Times New Roman" w:hAnsi="Times New Roman"/>
          <w:sz w:val="18"/>
          <w:szCs w:val="20"/>
          <w:lang w:val="es-MX"/>
        </w:rPr>
        <w:t>Porcentajes del PIB</w:t>
      </w:r>
    </w:p>
    <w:p w14:paraId="71E183E6" w14:textId="77777777" w:rsidR="008A700C" w:rsidRPr="00184700" w:rsidRDefault="008A700C" w:rsidP="008A5924">
      <w:pPr>
        <w:pStyle w:val="Sinespaciado"/>
        <w:jc w:val="center"/>
        <w:rPr>
          <w:rFonts w:ascii="Times New Roman" w:hAnsi="Times New Roman"/>
          <w:sz w:val="18"/>
          <w:szCs w:val="20"/>
          <w:lang w:val="es-MX"/>
        </w:rPr>
      </w:pPr>
    </w:p>
    <w:p w14:paraId="738E0517" w14:textId="77777777" w:rsidR="008A5924" w:rsidRPr="00184700" w:rsidRDefault="00176CA7" w:rsidP="001A3FAE">
      <w:pPr>
        <w:pStyle w:val="Sinespaciado"/>
        <w:ind w:left="708"/>
        <w:jc w:val="center"/>
        <w:rPr>
          <w:rFonts w:ascii="Times New Roman" w:hAnsi="Times New Roman"/>
          <w:sz w:val="16"/>
          <w:lang w:val="es-MX"/>
        </w:rPr>
      </w:pPr>
      <w:r>
        <w:rPr>
          <w:rFonts w:ascii="Times New Roman" w:hAnsi="Times New Roman"/>
          <w:noProof/>
          <w:sz w:val="16"/>
          <w:lang w:val="es-GT" w:eastAsia="es-GT"/>
        </w:rPr>
        <w:drawing>
          <wp:inline distT="0" distB="0" distL="0" distR="0" wp14:anchorId="2C55B242" wp14:editId="6EA4609F">
            <wp:extent cx="4798060" cy="3066415"/>
            <wp:effectExtent l="0" t="0" r="254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8060" cy="3066415"/>
                    </a:xfrm>
                    <a:prstGeom prst="rect">
                      <a:avLst/>
                    </a:prstGeom>
                    <a:noFill/>
                  </pic:spPr>
                </pic:pic>
              </a:graphicData>
            </a:graphic>
          </wp:inline>
        </w:drawing>
      </w:r>
    </w:p>
    <w:p w14:paraId="2A662AFC" w14:textId="77777777" w:rsidR="008A5924" w:rsidRPr="00184700" w:rsidRDefault="001A3FAE" w:rsidP="008A5924">
      <w:pPr>
        <w:pStyle w:val="Sinespaciado"/>
        <w:ind w:left="708"/>
        <w:rPr>
          <w:rFonts w:ascii="Times New Roman" w:hAnsi="Times New Roman"/>
          <w:sz w:val="16"/>
          <w:lang w:val="es-MX"/>
        </w:rPr>
      </w:pPr>
      <w:r>
        <w:rPr>
          <w:rFonts w:ascii="Times New Roman" w:hAnsi="Times New Roman"/>
          <w:sz w:val="16"/>
          <w:lang w:val="es-MX"/>
        </w:rPr>
        <w:t xml:space="preserve">                         </w:t>
      </w:r>
      <w:r w:rsidR="008A5924" w:rsidRPr="00FE2A8E">
        <w:rPr>
          <w:rFonts w:ascii="Times New Roman" w:hAnsi="Times New Roman"/>
          <w:b/>
          <w:sz w:val="16"/>
          <w:lang w:val="es-MX"/>
        </w:rPr>
        <w:t>Fuente:</w:t>
      </w:r>
      <w:r w:rsidR="008A5924" w:rsidRPr="00184700">
        <w:rPr>
          <w:rFonts w:ascii="Times New Roman" w:hAnsi="Times New Roman"/>
          <w:sz w:val="16"/>
          <w:lang w:val="es-MX"/>
        </w:rPr>
        <w:t xml:space="preserve"> Ministerio de Finanzas Públicas, aplicando supuestos propios utilizando el análisis de Olivier Blanchard</w:t>
      </w:r>
    </w:p>
    <w:p w14:paraId="2C8BC11E" w14:textId="77777777" w:rsidR="008A5924" w:rsidRPr="00184700" w:rsidRDefault="008A5924" w:rsidP="008A5924">
      <w:pPr>
        <w:pStyle w:val="Sinespaciado"/>
        <w:ind w:left="1134"/>
        <w:jc w:val="both"/>
        <w:outlineLvl w:val="2"/>
        <w:rPr>
          <w:rFonts w:ascii="Times New Roman" w:hAnsi="Times New Roman"/>
          <w:b/>
          <w:lang w:val="es-MX"/>
        </w:rPr>
      </w:pPr>
      <w:bookmarkStart w:id="97" w:name="_Toc522028387"/>
      <w:bookmarkStart w:id="98" w:name="_Toc522028568"/>
      <w:bookmarkStart w:id="99" w:name="_Toc522028623"/>
      <w:bookmarkStart w:id="100" w:name="_Toc522028892"/>
      <w:bookmarkStart w:id="101" w:name="_Toc509214756"/>
      <w:bookmarkStart w:id="102" w:name="_Toc522000457"/>
      <w:bookmarkEnd w:id="97"/>
      <w:bookmarkEnd w:id="98"/>
      <w:bookmarkEnd w:id="99"/>
      <w:bookmarkEnd w:id="100"/>
    </w:p>
    <w:p w14:paraId="087C5EE3" w14:textId="77777777" w:rsidR="008A5924" w:rsidRPr="007105F3" w:rsidRDefault="008A5924" w:rsidP="00DD6292">
      <w:pPr>
        <w:pStyle w:val="Ttulo3"/>
        <w:widowControl/>
        <w:numPr>
          <w:ilvl w:val="2"/>
          <w:numId w:val="5"/>
        </w:numPr>
        <w:spacing w:before="240" w:after="60"/>
        <w:ind w:left="1701" w:hanging="981"/>
        <w:jc w:val="both"/>
        <w:rPr>
          <w:sz w:val="24"/>
          <w:szCs w:val="24"/>
        </w:rPr>
      </w:pPr>
      <w:bookmarkStart w:id="103" w:name="_Toc523294555"/>
      <w:bookmarkStart w:id="104" w:name="_Toc16519891"/>
      <w:r w:rsidRPr="007105F3">
        <w:rPr>
          <w:sz w:val="24"/>
          <w:szCs w:val="24"/>
        </w:rPr>
        <w:t>Aspectos generales para la mitigación</w:t>
      </w:r>
      <w:bookmarkEnd w:id="101"/>
      <w:bookmarkEnd w:id="102"/>
      <w:bookmarkEnd w:id="103"/>
      <w:bookmarkEnd w:id="104"/>
      <w:r w:rsidRPr="007105F3">
        <w:rPr>
          <w:sz w:val="24"/>
          <w:szCs w:val="24"/>
        </w:rPr>
        <w:t xml:space="preserve">   </w:t>
      </w:r>
    </w:p>
    <w:p w14:paraId="2650ECC7" w14:textId="77777777" w:rsidR="008A5924" w:rsidRPr="007105F3" w:rsidRDefault="008A5924" w:rsidP="008A5924">
      <w:pPr>
        <w:pStyle w:val="Sinespaciado"/>
        <w:jc w:val="both"/>
        <w:rPr>
          <w:rFonts w:ascii="Times New Roman" w:hAnsi="Times New Roman"/>
          <w:sz w:val="24"/>
          <w:szCs w:val="24"/>
          <w:lang w:val="es-MX"/>
        </w:rPr>
      </w:pPr>
    </w:p>
    <w:p w14:paraId="09985E9F" w14:textId="77777777" w:rsidR="008A5924" w:rsidRDefault="008A5924" w:rsidP="008A5924">
      <w:pPr>
        <w:pStyle w:val="Sinespaciado"/>
        <w:jc w:val="both"/>
        <w:rPr>
          <w:rFonts w:ascii="Times New Roman" w:hAnsi="Times New Roman"/>
          <w:sz w:val="24"/>
          <w:szCs w:val="24"/>
          <w:lang w:val="es-MX"/>
        </w:rPr>
      </w:pPr>
      <w:r w:rsidRPr="007105F3">
        <w:rPr>
          <w:rFonts w:ascii="Times New Roman" w:hAnsi="Times New Roman"/>
          <w:sz w:val="24"/>
          <w:szCs w:val="24"/>
          <w:lang w:val="es-MX"/>
        </w:rPr>
        <w:t>Las medidas de política fiscal para atenuar los choques exógenos podrían fundamentarse en una mejora sustancial de la recaudación tributaria que permita ampliar la base tributaria, modificar o modernizar algunas tarifas impositivas y que la Superintendencia de Administración Tributaria mejore la fiscalización y los controles aduaneros para la reducción de la evasión y el contrabando aduanero.  Asimismo, es necesario ampliar los mecanismos de cooperación internacional, evaluar los espacios para el uso de crédito público (de acuerdo a los indicadores de deuda y sostenibilidad), fortalecer la provisión de bienes públicos con un alto rendimiento económico y social (como son la infraestructura, protección social, salud y educación) y aumentar el coeficiente de inversión mediante asociaciones público-privadas, entre otros aspectos para mejorar la posición económica y fiscal del país en un horizonte de mediano plazo.</w:t>
      </w:r>
    </w:p>
    <w:p w14:paraId="3572A273" w14:textId="77777777" w:rsidR="00D70B82" w:rsidRPr="007105F3" w:rsidRDefault="00D70B82" w:rsidP="008A5924">
      <w:pPr>
        <w:pStyle w:val="Sinespaciado"/>
        <w:jc w:val="both"/>
        <w:rPr>
          <w:rFonts w:ascii="Times New Roman" w:hAnsi="Times New Roman"/>
          <w:sz w:val="24"/>
          <w:szCs w:val="24"/>
          <w:lang w:val="es-MX"/>
        </w:rPr>
      </w:pPr>
    </w:p>
    <w:p w14:paraId="09CEE175" w14:textId="77777777" w:rsidR="008A5924" w:rsidRPr="007105F3" w:rsidRDefault="008A5924" w:rsidP="00DD6292">
      <w:pPr>
        <w:pStyle w:val="Ttulo2"/>
        <w:widowControl/>
        <w:numPr>
          <w:ilvl w:val="1"/>
          <w:numId w:val="5"/>
        </w:numPr>
        <w:spacing w:before="240" w:after="60"/>
        <w:ind w:left="993" w:hanging="633"/>
        <w:rPr>
          <w:sz w:val="24"/>
          <w:szCs w:val="24"/>
        </w:rPr>
      </w:pPr>
      <w:bookmarkStart w:id="105" w:name="_Toc16519892"/>
      <w:r w:rsidRPr="007105F3">
        <w:rPr>
          <w:sz w:val="24"/>
          <w:szCs w:val="24"/>
        </w:rPr>
        <w:t>Riesgo ante la no aprobación del Proyecto de Presupuesto 2020</w:t>
      </w:r>
      <w:bookmarkEnd w:id="105"/>
    </w:p>
    <w:p w14:paraId="60AC0A83" w14:textId="77777777" w:rsidR="008A5924" w:rsidRPr="007105F3" w:rsidRDefault="008A5924" w:rsidP="008A5924">
      <w:pPr>
        <w:pStyle w:val="Sinespaciado"/>
        <w:jc w:val="both"/>
        <w:rPr>
          <w:rFonts w:ascii="Times New Roman" w:hAnsi="Times New Roman"/>
          <w:b/>
          <w:sz w:val="24"/>
          <w:szCs w:val="24"/>
        </w:rPr>
      </w:pPr>
    </w:p>
    <w:p w14:paraId="431C2898" w14:textId="77777777" w:rsidR="008A5924" w:rsidRPr="007105F3" w:rsidRDefault="00FE2A8E" w:rsidP="008A5924">
      <w:pPr>
        <w:pStyle w:val="Sinespaciado"/>
        <w:jc w:val="both"/>
        <w:rPr>
          <w:rFonts w:ascii="Times New Roman" w:hAnsi="Times New Roman"/>
          <w:sz w:val="24"/>
          <w:szCs w:val="24"/>
        </w:rPr>
      </w:pPr>
      <w:r>
        <w:rPr>
          <w:rFonts w:ascii="Times New Roman" w:hAnsi="Times New Roman"/>
          <w:sz w:val="24"/>
          <w:szCs w:val="24"/>
        </w:rPr>
        <w:t>El Proyecto de P</w:t>
      </w:r>
      <w:r w:rsidR="008A5924" w:rsidRPr="007105F3">
        <w:rPr>
          <w:rFonts w:ascii="Times New Roman" w:hAnsi="Times New Roman"/>
          <w:sz w:val="24"/>
          <w:szCs w:val="24"/>
        </w:rPr>
        <w:t>resupuesto General de Ingresos y Egresos del Estado para 2020 y la programación multianual 2020-2024, es un instrumento de la política fiscal que tiende al crecimiento y desarrollo económico, mediante una planificación intersectorial e institucional que aprovecha los recursos provenientes de la recaudación de impuestos (distribución del ingreso) y el uso de la capacidad del Estado para obtener financiamiento de los inversionistas privados nacionales o extranjeros, así como de los organismos financieros in</w:t>
      </w:r>
      <w:r>
        <w:rPr>
          <w:rFonts w:ascii="Times New Roman" w:hAnsi="Times New Roman"/>
          <w:sz w:val="24"/>
          <w:szCs w:val="24"/>
        </w:rPr>
        <w:t xml:space="preserve">ternacionales (endeudamiento). </w:t>
      </w:r>
      <w:r w:rsidR="008A5924" w:rsidRPr="007105F3">
        <w:rPr>
          <w:rFonts w:ascii="Times New Roman" w:hAnsi="Times New Roman"/>
          <w:sz w:val="24"/>
          <w:szCs w:val="24"/>
        </w:rPr>
        <w:t>Ambos permiten financiar el funcionamiento de la Administración Central, las obligaciones legales y constitucionales, así como ampliar y mejorar infraestructura vial y productiva del país, mejorar los servicios sociales fundamentales (educación, salud y seguridad alimentaria) y fortalecer las instituciones gubernamentales principalmente en las áreas de seguridad y justicia.</w:t>
      </w:r>
    </w:p>
    <w:p w14:paraId="2A4E235D" w14:textId="77777777" w:rsidR="008A5924" w:rsidRPr="00184700" w:rsidRDefault="008A5924" w:rsidP="008A5924">
      <w:pPr>
        <w:pStyle w:val="Sinespaciado"/>
        <w:jc w:val="both"/>
        <w:rPr>
          <w:rFonts w:ascii="Times New Roman" w:hAnsi="Times New Roman"/>
        </w:rPr>
      </w:pPr>
    </w:p>
    <w:p w14:paraId="12AF7FF4" w14:textId="77777777" w:rsidR="008A5924" w:rsidRPr="007105F3" w:rsidRDefault="008A5924" w:rsidP="008A5924">
      <w:pPr>
        <w:pStyle w:val="Sinespaciado"/>
        <w:jc w:val="both"/>
        <w:rPr>
          <w:rFonts w:ascii="Times New Roman" w:hAnsi="Times New Roman"/>
          <w:sz w:val="24"/>
          <w:szCs w:val="24"/>
        </w:rPr>
      </w:pPr>
      <w:r w:rsidRPr="007105F3">
        <w:rPr>
          <w:rFonts w:ascii="Times New Roman" w:hAnsi="Times New Roman"/>
          <w:sz w:val="24"/>
          <w:szCs w:val="24"/>
        </w:rPr>
        <w:t>De esa cuenta, es importante conocer los aspectos relevantes de la contribución del presupuesto público sobre la economía guatemalteca, así como determinar los efectos de una posible no aprobación del proyecto de presupuesto por parte del Congreso de la República.</w:t>
      </w:r>
    </w:p>
    <w:p w14:paraId="71CC6CF5" w14:textId="77777777" w:rsidR="008A5924" w:rsidRPr="007105F3" w:rsidRDefault="008A5924" w:rsidP="00DD6292">
      <w:pPr>
        <w:pStyle w:val="Ttulo3"/>
        <w:widowControl/>
        <w:numPr>
          <w:ilvl w:val="2"/>
          <w:numId w:val="5"/>
        </w:numPr>
        <w:spacing w:before="240" w:after="60"/>
        <w:ind w:left="1701" w:hanging="981"/>
        <w:jc w:val="both"/>
        <w:rPr>
          <w:sz w:val="24"/>
          <w:szCs w:val="24"/>
        </w:rPr>
      </w:pPr>
      <w:bookmarkStart w:id="106" w:name="_Toc16519893"/>
      <w:r w:rsidRPr="007105F3">
        <w:rPr>
          <w:sz w:val="24"/>
          <w:szCs w:val="24"/>
        </w:rPr>
        <w:t>Importancia Macroeconómica del Proyecto de Presupuesto 2020</w:t>
      </w:r>
      <w:bookmarkEnd w:id="106"/>
    </w:p>
    <w:p w14:paraId="4A7CF17C" w14:textId="77777777" w:rsidR="008A5924" w:rsidRPr="007105F3" w:rsidRDefault="008A5924" w:rsidP="008A5924">
      <w:pPr>
        <w:rPr>
          <w:sz w:val="24"/>
          <w:szCs w:val="24"/>
          <w:lang w:val="es-MX"/>
        </w:rPr>
      </w:pPr>
    </w:p>
    <w:p w14:paraId="3648ECE7"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Es importante recordar que la política fiscal influye en el desempeño de la actividad económica, orientando la recaudación de impuestos y el gasto público hacia determinados objetivos. El incremento del gasto público genera un impulso directo a la actividad económica a través de la demanda agregada (de manera directa e indirecta). En este contexto, el presupuesto público se constituye en un instrumento clave para la definición y orientación de los objetivos de la administración gubernamental, en congruencia con la situación económica prevaleciente y frente a las perspectivas de mediano plazo.</w:t>
      </w:r>
    </w:p>
    <w:p w14:paraId="26B51F01" w14:textId="77777777" w:rsidR="008A5924" w:rsidRPr="007105F3" w:rsidRDefault="008A5924" w:rsidP="008A5924">
      <w:pPr>
        <w:pStyle w:val="Sinespaciado"/>
        <w:tabs>
          <w:tab w:val="right" w:pos="426"/>
        </w:tabs>
        <w:jc w:val="both"/>
        <w:rPr>
          <w:rFonts w:ascii="Times New Roman" w:hAnsi="Times New Roman"/>
          <w:sz w:val="24"/>
          <w:szCs w:val="24"/>
          <w:lang w:val="es-MX"/>
        </w:rPr>
      </w:pPr>
    </w:p>
    <w:p w14:paraId="0D732EFA"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El incremento del gasto público que se deriv</w:t>
      </w:r>
      <w:r w:rsidR="00922817">
        <w:rPr>
          <w:rFonts w:ascii="Times New Roman" w:hAnsi="Times New Roman"/>
          <w:sz w:val="24"/>
          <w:szCs w:val="24"/>
          <w:lang w:val="es-MX"/>
        </w:rPr>
        <w:t>aría de la aprobación del P</w:t>
      </w:r>
      <w:r w:rsidRPr="007105F3">
        <w:rPr>
          <w:rFonts w:ascii="Times New Roman" w:hAnsi="Times New Roman"/>
          <w:sz w:val="24"/>
          <w:szCs w:val="24"/>
          <w:lang w:val="es-MX"/>
        </w:rPr>
        <w:t xml:space="preserve">royecto de Presupuesto General de Ingresos y Egresos del Estado para el Ejercicio Fiscal 2020, a pesar de que implicaría un déficit presupuestario superior al observado en los años recientes, no sería inflacionario (dada la posición cíclica de la economía) y, además, sería contra cíclico, por lo que contribuiría a cerrar más rápidamente la brecha del PIB (respecto de su potencial).  Es decir, tendría un efecto positivo en la actividad económica, sin generar ningún desequilibrio monetario. </w:t>
      </w:r>
    </w:p>
    <w:p w14:paraId="16DDD67C" w14:textId="77777777" w:rsidR="008A5924" w:rsidRPr="007105F3" w:rsidRDefault="008A5924" w:rsidP="008A5924">
      <w:pPr>
        <w:pStyle w:val="Sinespaciado"/>
        <w:tabs>
          <w:tab w:val="right" w:pos="426"/>
        </w:tabs>
        <w:jc w:val="both"/>
        <w:rPr>
          <w:rFonts w:ascii="Times New Roman" w:hAnsi="Times New Roman"/>
          <w:sz w:val="24"/>
          <w:szCs w:val="24"/>
          <w:lang w:val="es-MX"/>
        </w:rPr>
      </w:pPr>
    </w:p>
    <w:p w14:paraId="577A0639"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 xml:space="preserve">La aprobación del presupuesto público para 2020 incidiría positivamente en el crecimiento de la actividad económica, tanto en el corto como en el mediano plazo, particularmente tomando en cuenta que el gasto previsto para inversión es una quinta parte del gasto total, lo cual tiene efectos multiplicadores en la economía. </w:t>
      </w:r>
    </w:p>
    <w:p w14:paraId="7F4D94DE" w14:textId="77777777" w:rsidR="008A5924" w:rsidRPr="007105F3" w:rsidRDefault="008A5924" w:rsidP="008A5924">
      <w:pPr>
        <w:pStyle w:val="Sinespaciado"/>
        <w:tabs>
          <w:tab w:val="right" w:pos="426"/>
        </w:tabs>
        <w:jc w:val="both"/>
        <w:rPr>
          <w:rFonts w:ascii="Times New Roman" w:hAnsi="Times New Roman"/>
          <w:sz w:val="24"/>
          <w:szCs w:val="24"/>
          <w:lang w:val="es-MX"/>
        </w:rPr>
      </w:pPr>
    </w:p>
    <w:p w14:paraId="5E54F285"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 xml:space="preserve">En cuanto a la colocación de los bonos del tesoro, a pesar de darse un efecto desplazamiento en el sector privado, no generaría efectos en el nivel inflacionario dado que la actividad efectiva proyectada es menor a la potencial, el mayor volumen de gasto público tendría un efecto expansivo en la actividad económica, lo cual generaría expectativas de mayor crecimiento económico. </w:t>
      </w:r>
    </w:p>
    <w:p w14:paraId="7BE8CB7A" w14:textId="77777777" w:rsidR="008A5924" w:rsidRPr="007105F3" w:rsidRDefault="008A5924" w:rsidP="008A5924">
      <w:pPr>
        <w:pStyle w:val="Sinespaciado"/>
        <w:tabs>
          <w:tab w:val="right" w:pos="426"/>
        </w:tabs>
        <w:jc w:val="both"/>
        <w:rPr>
          <w:rFonts w:ascii="Times New Roman" w:hAnsi="Times New Roman"/>
          <w:sz w:val="24"/>
          <w:szCs w:val="24"/>
          <w:lang w:val="es-MX"/>
        </w:rPr>
      </w:pPr>
    </w:p>
    <w:p w14:paraId="2CD30E7E"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La aprobación del presupuesto del ejercicio fiscal 2020 generaría espacios de oportunidad para el desarrollo económico y social del país.  La política fiscal daría un impulso a la demanda agregada de aproximadamente un punto porcentual del PIB potencial.  Además, la ejecución más dinámica del gasto público enviaría señales positivas para las perspectivas de los agentes económicos y mayores posibilidades de cumplir con los programas y proyectos del gobierno.</w:t>
      </w:r>
    </w:p>
    <w:p w14:paraId="37DFC553" w14:textId="77777777" w:rsidR="008A5924" w:rsidRPr="007105F3" w:rsidRDefault="008A5924" w:rsidP="008A5924">
      <w:pPr>
        <w:pStyle w:val="Sinespaciado"/>
        <w:tabs>
          <w:tab w:val="right" w:pos="426"/>
        </w:tabs>
        <w:jc w:val="both"/>
        <w:rPr>
          <w:rFonts w:ascii="Times New Roman" w:hAnsi="Times New Roman"/>
          <w:sz w:val="24"/>
          <w:szCs w:val="24"/>
          <w:lang w:val="es-MX"/>
        </w:rPr>
      </w:pPr>
    </w:p>
    <w:p w14:paraId="1EA1DAEB"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La política fiscal es una herramienta importante cuando las autoridades buscan influir en la actividad económica, debido a los efectos de corto plazo que tiene sobre la demanda agregada y su papel estabilizador para moderar las fluctuaciones del ciclo económico.</w:t>
      </w:r>
    </w:p>
    <w:p w14:paraId="42583413" w14:textId="77777777" w:rsidR="008A5924" w:rsidRPr="007105F3" w:rsidRDefault="008A5924" w:rsidP="008A5924">
      <w:pPr>
        <w:pStyle w:val="Sinespaciado"/>
        <w:tabs>
          <w:tab w:val="right" w:pos="426"/>
        </w:tabs>
        <w:jc w:val="both"/>
        <w:rPr>
          <w:rFonts w:ascii="Times New Roman" w:hAnsi="Times New Roman"/>
          <w:sz w:val="24"/>
          <w:szCs w:val="24"/>
          <w:lang w:val="es-MX"/>
        </w:rPr>
      </w:pPr>
    </w:p>
    <w:p w14:paraId="4CD29A6A"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Para medir el impacto de la política fiscal en la demanda interna, generado por modificaciones discrecionales de la política fiscal, es necesario extraer el componente cíclico del déficit fiscal. El indicador idóneo es el impulso fiscal y su resultado muestra si hay una expansión, contracción o neutralidad de la política fiscal sobre la brecha del producto.</w:t>
      </w:r>
    </w:p>
    <w:p w14:paraId="467AA25C" w14:textId="77777777" w:rsidR="008A5924" w:rsidRPr="007105F3" w:rsidRDefault="008A5924" w:rsidP="00DD6292">
      <w:pPr>
        <w:pStyle w:val="Ttulo3"/>
        <w:widowControl/>
        <w:numPr>
          <w:ilvl w:val="2"/>
          <w:numId w:val="5"/>
        </w:numPr>
        <w:spacing w:before="240" w:after="60"/>
        <w:ind w:left="1701" w:hanging="981"/>
        <w:jc w:val="both"/>
        <w:rPr>
          <w:sz w:val="24"/>
          <w:szCs w:val="24"/>
        </w:rPr>
      </w:pPr>
      <w:bookmarkStart w:id="107" w:name="_Toc16519894"/>
      <w:r w:rsidRPr="007105F3">
        <w:rPr>
          <w:sz w:val="24"/>
          <w:szCs w:val="24"/>
        </w:rPr>
        <w:t>Efectos de la no Aprobación del Proyecto de Presupuesto 2020</w:t>
      </w:r>
      <w:bookmarkEnd w:id="107"/>
    </w:p>
    <w:p w14:paraId="69B372B2" w14:textId="77777777" w:rsidR="008A5924" w:rsidRPr="007105F3" w:rsidRDefault="008A5924" w:rsidP="008A5924">
      <w:pPr>
        <w:pStyle w:val="Sinespaciado"/>
        <w:jc w:val="both"/>
        <w:rPr>
          <w:rFonts w:ascii="Times New Roman" w:hAnsi="Times New Roman"/>
          <w:sz w:val="24"/>
          <w:szCs w:val="24"/>
        </w:rPr>
      </w:pPr>
    </w:p>
    <w:p w14:paraId="2443F740"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 xml:space="preserve">Implicaría profundos inconvenientes para su ejecución, dado el menor espacio presupuestario requeriría que se priorizaran algunos gastos, entre los que se incluyen las remuneraciones, el servicio de la deuda y algunos aportes institucionales, incluyo aquellos por mandato constitucional. </w:t>
      </w:r>
    </w:p>
    <w:p w14:paraId="5E710AE5" w14:textId="77777777" w:rsidR="008A5924" w:rsidRPr="007105F3" w:rsidRDefault="008A5924" w:rsidP="008A5924">
      <w:pPr>
        <w:pStyle w:val="Sinespaciado"/>
        <w:tabs>
          <w:tab w:val="right" w:pos="426"/>
        </w:tabs>
        <w:jc w:val="both"/>
        <w:rPr>
          <w:rFonts w:ascii="Times New Roman" w:hAnsi="Times New Roman"/>
          <w:sz w:val="24"/>
          <w:szCs w:val="24"/>
          <w:lang w:val="es-MX"/>
        </w:rPr>
      </w:pPr>
    </w:p>
    <w:p w14:paraId="31BBD952" w14:textId="77777777" w:rsidR="008A5924" w:rsidRPr="007105F3" w:rsidRDefault="008A5924" w:rsidP="00DD6292">
      <w:pPr>
        <w:pStyle w:val="Sinespaciado"/>
        <w:numPr>
          <w:ilvl w:val="0"/>
          <w:numId w:val="11"/>
        </w:numPr>
        <w:tabs>
          <w:tab w:val="right" w:pos="426"/>
        </w:tabs>
        <w:ind w:left="0" w:firstLine="0"/>
        <w:jc w:val="both"/>
        <w:rPr>
          <w:rFonts w:ascii="Times New Roman" w:hAnsi="Times New Roman"/>
          <w:sz w:val="24"/>
          <w:szCs w:val="24"/>
          <w:lang w:val="es-MX"/>
        </w:rPr>
      </w:pPr>
      <w:r w:rsidRPr="007105F3">
        <w:rPr>
          <w:rFonts w:ascii="Times New Roman" w:hAnsi="Times New Roman"/>
          <w:sz w:val="24"/>
          <w:szCs w:val="24"/>
          <w:lang w:val="es-MX"/>
        </w:rPr>
        <w:t>Esto iría en detrimento de la prestación eficiente de los servicios públicos y de la inversión en infraestructura, ambas precondiciones para generar un clima de confianza en la economía y propiciar un crecimiento económico sostenido en el mediano plazo.</w:t>
      </w:r>
    </w:p>
    <w:p w14:paraId="0E8CE85F" w14:textId="77777777" w:rsidR="008A5924" w:rsidRPr="007105F3" w:rsidRDefault="008A5924" w:rsidP="008A5924">
      <w:pPr>
        <w:pStyle w:val="Sinespaciado"/>
        <w:tabs>
          <w:tab w:val="right" w:pos="426"/>
        </w:tabs>
        <w:jc w:val="both"/>
        <w:rPr>
          <w:rFonts w:ascii="Times New Roman" w:hAnsi="Times New Roman"/>
          <w:sz w:val="24"/>
          <w:szCs w:val="24"/>
          <w:lang w:val="es-MX"/>
        </w:rPr>
      </w:pPr>
    </w:p>
    <w:p w14:paraId="4EBB4639" w14:textId="77777777" w:rsidR="008A5924" w:rsidRDefault="008A5924" w:rsidP="00DD6292">
      <w:pPr>
        <w:pStyle w:val="Sinespaciado"/>
        <w:numPr>
          <w:ilvl w:val="0"/>
          <w:numId w:val="11"/>
        </w:numPr>
        <w:tabs>
          <w:tab w:val="right" w:pos="426"/>
        </w:tabs>
        <w:ind w:left="0" w:firstLine="0"/>
        <w:jc w:val="both"/>
        <w:rPr>
          <w:rFonts w:ascii="Times New Roman" w:hAnsi="Times New Roman"/>
          <w:lang w:val="es-MX"/>
        </w:rPr>
      </w:pPr>
      <w:r w:rsidRPr="007105F3">
        <w:rPr>
          <w:rFonts w:ascii="Times New Roman" w:hAnsi="Times New Roman"/>
          <w:sz w:val="24"/>
          <w:szCs w:val="24"/>
          <w:lang w:val="es-MX"/>
        </w:rPr>
        <w:t>La política fiscal pasaría de ser expansiva a contractiva y afectaría la posibilidad de que el crecimiento econ</w:t>
      </w:r>
      <w:r w:rsidR="0009454C" w:rsidRPr="007105F3">
        <w:rPr>
          <w:rFonts w:ascii="Times New Roman" w:hAnsi="Times New Roman"/>
          <w:sz w:val="24"/>
          <w:szCs w:val="24"/>
          <w:lang w:val="es-MX"/>
        </w:rPr>
        <w:t>ómico se ubique al menos en 3.5 por ciento</w:t>
      </w:r>
      <w:r w:rsidRPr="007105F3">
        <w:rPr>
          <w:rFonts w:ascii="Times New Roman" w:hAnsi="Times New Roman"/>
          <w:sz w:val="24"/>
          <w:szCs w:val="24"/>
          <w:lang w:val="es-MX"/>
        </w:rPr>
        <w:t>, en el escenario de no aprobación del presupuesto el cre</w:t>
      </w:r>
      <w:r w:rsidR="0009454C" w:rsidRPr="007105F3">
        <w:rPr>
          <w:rFonts w:ascii="Times New Roman" w:hAnsi="Times New Roman"/>
          <w:sz w:val="24"/>
          <w:szCs w:val="24"/>
          <w:lang w:val="es-MX"/>
        </w:rPr>
        <w:t>cimiento podría situarse en 3.1 por ciento</w:t>
      </w:r>
      <w:r w:rsidRPr="00184700">
        <w:rPr>
          <w:rFonts w:ascii="Times New Roman" w:hAnsi="Times New Roman"/>
          <w:lang w:val="es-MX"/>
        </w:rPr>
        <w:t>.</w:t>
      </w:r>
    </w:p>
    <w:p w14:paraId="0181DE04" w14:textId="77777777" w:rsidR="007105F3" w:rsidRPr="00184700" w:rsidRDefault="007105F3" w:rsidP="007105F3">
      <w:pPr>
        <w:pStyle w:val="Sinespaciado"/>
        <w:tabs>
          <w:tab w:val="right" w:pos="426"/>
        </w:tabs>
        <w:jc w:val="both"/>
        <w:rPr>
          <w:rFonts w:ascii="Times New Roman" w:hAnsi="Times New Roman"/>
          <w:lang w:val="es-MX"/>
        </w:rPr>
      </w:pPr>
    </w:p>
    <w:p w14:paraId="6E2EE2BE" w14:textId="19EF3E86" w:rsidR="008A5924" w:rsidRPr="007105F3" w:rsidRDefault="008A5924" w:rsidP="008A5924">
      <w:pPr>
        <w:pStyle w:val="Descripcin"/>
        <w:keepNext/>
        <w:rPr>
          <w:b w:val="0"/>
          <w:color w:val="000000" w:themeColor="text1"/>
          <w:sz w:val="22"/>
        </w:rPr>
      </w:pPr>
      <w:bookmarkStart w:id="108" w:name="_Toc16242981"/>
      <w:r w:rsidRPr="007105F3">
        <w:rPr>
          <w:color w:val="000000" w:themeColor="text1"/>
        </w:rPr>
        <w:t xml:space="preserve">Gráfico  </w:t>
      </w:r>
      <w:r w:rsidRPr="007105F3">
        <w:rPr>
          <w:color w:val="000000" w:themeColor="text1"/>
        </w:rPr>
        <w:fldChar w:fldCharType="begin"/>
      </w:r>
      <w:r w:rsidRPr="007105F3">
        <w:rPr>
          <w:color w:val="000000" w:themeColor="text1"/>
        </w:rPr>
        <w:instrText xml:space="preserve"> SEQ Gráfico_ \* ARABIC </w:instrText>
      </w:r>
      <w:r w:rsidRPr="007105F3">
        <w:rPr>
          <w:color w:val="000000" w:themeColor="text1"/>
        </w:rPr>
        <w:fldChar w:fldCharType="separate"/>
      </w:r>
      <w:r w:rsidR="004B2A60">
        <w:rPr>
          <w:noProof/>
          <w:color w:val="000000" w:themeColor="text1"/>
        </w:rPr>
        <w:t>18</w:t>
      </w:r>
      <w:r w:rsidRPr="007105F3">
        <w:rPr>
          <w:noProof/>
          <w:color w:val="000000" w:themeColor="text1"/>
        </w:rPr>
        <w:fldChar w:fldCharType="end"/>
      </w:r>
      <w:r w:rsidRPr="007105F3">
        <w:rPr>
          <w:color w:val="000000" w:themeColor="text1"/>
        </w:rPr>
        <w:t>: Impulso Fiscal</w:t>
      </w:r>
      <w:bookmarkEnd w:id="108"/>
    </w:p>
    <w:p w14:paraId="17BD8212" w14:textId="77777777" w:rsidR="008A5924" w:rsidRDefault="008A5924" w:rsidP="008A5924">
      <w:pPr>
        <w:pStyle w:val="Prrafodelista"/>
        <w:keepNext/>
        <w:jc w:val="center"/>
        <w:rPr>
          <w:sz w:val="18"/>
        </w:rPr>
      </w:pPr>
      <w:r w:rsidRPr="00184700">
        <w:rPr>
          <w:sz w:val="18"/>
        </w:rPr>
        <w:t>Porcentajes</w:t>
      </w:r>
    </w:p>
    <w:p w14:paraId="5C33B2E5" w14:textId="77777777" w:rsidR="008A700C" w:rsidRPr="00184700" w:rsidRDefault="008A700C" w:rsidP="008A5924">
      <w:pPr>
        <w:pStyle w:val="Prrafodelista"/>
        <w:keepNext/>
        <w:jc w:val="center"/>
        <w:rPr>
          <w:sz w:val="18"/>
        </w:rPr>
      </w:pPr>
    </w:p>
    <w:p w14:paraId="4662EA89" w14:textId="77777777" w:rsidR="008A5924" w:rsidRDefault="008A5924" w:rsidP="008A5924">
      <w:pPr>
        <w:pStyle w:val="Sinespaciado"/>
        <w:ind w:left="720"/>
        <w:jc w:val="center"/>
        <w:rPr>
          <w:rFonts w:ascii="Times New Roman" w:hAnsi="Times New Roman"/>
        </w:rPr>
      </w:pPr>
      <w:r w:rsidRPr="00184700">
        <w:rPr>
          <w:rFonts w:ascii="Times New Roman" w:hAnsi="Times New Roman"/>
          <w:noProof/>
          <w:lang w:val="es-GT" w:eastAsia="es-GT"/>
        </w:rPr>
        <w:drawing>
          <wp:inline distT="0" distB="0" distL="0" distR="0" wp14:anchorId="331B9B04" wp14:editId="4516A79E">
            <wp:extent cx="4487545" cy="2457266"/>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7125" cy="2462512"/>
                    </a:xfrm>
                    <a:prstGeom prst="rect">
                      <a:avLst/>
                    </a:prstGeom>
                    <a:noFill/>
                  </pic:spPr>
                </pic:pic>
              </a:graphicData>
            </a:graphic>
          </wp:inline>
        </w:drawing>
      </w:r>
    </w:p>
    <w:p w14:paraId="5BCC6076" w14:textId="77777777" w:rsidR="00A11C64" w:rsidRPr="00A11C64" w:rsidRDefault="00A11C64" w:rsidP="00A11C64">
      <w:pPr>
        <w:pStyle w:val="Sinespaciado"/>
        <w:ind w:left="2124"/>
        <w:rPr>
          <w:rFonts w:ascii="Times New Roman" w:hAnsi="Times New Roman"/>
          <w:b/>
          <w:sz w:val="16"/>
        </w:rPr>
      </w:pPr>
      <w:r w:rsidRPr="00A11C64">
        <w:rPr>
          <w:rFonts w:ascii="Times New Roman" w:hAnsi="Times New Roman"/>
          <w:b/>
          <w:sz w:val="16"/>
        </w:rPr>
        <w:t xml:space="preserve">Fuente: </w:t>
      </w:r>
      <w:r w:rsidRPr="00A11C64">
        <w:rPr>
          <w:rFonts w:ascii="Times New Roman" w:hAnsi="Times New Roman"/>
          <w:sz w:val="16"/>
        </w:rPr>
        <w:t>Ministerio de Finanzas Públicas</w:t>
      </w:r>
    </w:p>
    <w:p w14:paraId="4A9D6EC6" w14:textId="77777777" w:rsidR="008A5924" w:rsidRPr="00184700" w:rsidRDefault="008A5924" w:rsidP="008A5924">
      <w:pPr>
        <w:pStyle w:val="Prrafodelista"/>
      </w:pPr>
    </w:p>
    <w:p w14:paraId="14AF8EF4" w14:textId="77777777" w:rsidR="00D07A98" w:rsidRPr="00D07A98" w:rsidRDefault="008A5924" w:rsidP="00D07A98">
      <w:pPr>
        <w:pStyle w:val="Sinespaciado"/>
        <w:numPr>
          <w:ilvl w:val="0"/>
          <w:numId w:val="11"/>
        </w:numPr>
        <w:tabs>
          <w:tab w:val="right" w:pos="426"/>
        </w:tabs>
        <w:ind w:left="0" w:firstLine="0"/>
        <w:jc w:val="both"/>
        <w:rPr>
          <w:rFonts w:ascii="Times New Roman" w:hAnsi="Times New Roman"/>
          <w:sz w:val="24"/>
          <w:szCs w:val="24"/>
        </w:rPr>
      </w:pPr>
      <w:r w:rsidRPr="007105F3">
        <w:rPr>
          <w:rFonts w:ascii="Times New Roman" w:hAnsi="Times New Roman"/>
          <w:sz w:val="24"/>
          <w:szCs w:val="24"/>
        </w:rPr>
        <w:t xml:space="preserve">Asimismo, tendría un efecto nocivo sobre la percepción de las empresas </w:t>
      </w:r>
      <w:r w:rsidRPr="007105F3">
        <w:rPr>
          <w:rFonts w:ascii="Times New Roman" w:hAnsi="Times New Roman"/>
          <w:sz w:val="24"/>
          <w:szCs w:val="24"/>
          <w:lang w:val="es-MX"/>
        </w:rPr>
        <w:t>calificadoras</w:t>
      </w:r>
      <w:r w:rsidRPr="007105F3">
        <w:rPr>
          <w:rFonts w:ascii="Times New Roman" w:hAnsi="Times New Roman"/>
          <w:sz w:val="24"/>
          <w:szCs w:val="24"/>
        </w:rPr>
        <w:t xml:space="preserve"> de riesgo soberano y de los organismos internacionales que evalúan al país, en el sentido de que la polarización política estaría teniendo efectos negativos sobre el desempeño económico. </w:t>
      </w:r>
    </w:p>
    <w:p w14:paraId="2E0BE522" w14:textId="77777777" w:rsidR="008A5924" w:rsidRPr="007105F3" w:rsidRDefault="008A5924" w:rsidP="00DD6292">
      <w:pPr>
        <w:pStyle w:val="Ttulo1"/>
        <w:widowControl/>
        <w:numPr>
          <w:ilvl w:val="0"/>
          <w:numId w:val="5"/>
        </w:numPr>
        <w:spacing w:before="240" w:after="60"/>
        <w:jc w:val="left"/>
        <w:rPr>
          <w:sz w:val="24"/>
          <w:szCs w:val="24"/>
        </w:rPr>
      </w:pPr>
      <w:bookmarkStart w:id="109" w:name="_Toc16519895"/>
      <w:r w:rsidRPr="007105F3">
        <w:rPr>
          <w:sz w:val="24"/>
          <w:szCs w:val="24"/>
        </w:rPr>
        <w:t>Riesgos fiscales Específicos</w:t>
      </w:r>
      <w:bookmarkEnd w:id="109"/>
    </w:p>
    <w:p w14:paraId="19620F90" w14:textId="77777777" w:rsidR="008A5924" w:rsidRPr="007105F3" w:rsidRDefault="008A5924" w:rsidP="00DD6292">
      <w:pPr>
        <w:pStyle w:val="Ttulo2"/>
        <w:widowControl/>
        <w:numPr>
          <w:ilvl w:val="1"/>
          <w:numId w:val="5"/>
        </w:numPr>
        <w:spacing w:before="240" w:after="60"/>
        <w:ind w:left="993" w:hanging="633"/>
        <w:rPr>
          <w:sz w:val="24"/>
          <w:szCs w:val="24"/>
        </w:rPr>
      </w:pPr>
      <w:bookmarkStart w:id="110" w:name="_Toc16519896"/>
      <w:r w:rsidRPr="007105F3">
        <w:rPr>
          <w:sz w:val="24"/>
          <w:szCs w:val="24"/>
        </w:rPr>
        <w:t>Riesgo de desastres</w:t>
      </w:r>
      <w:bookmarkEnd w:id="110"/>
      <w:r w:rsidRPr="007105F3">
        <w:rPr>
          <w:sz w:val="24"/>
          <w:szCs w:val="24"/>
        </w:rPr>
        <w:t xml:space="preserve"> </w:t>
      </w:r>
    </w:p>
    <w:p w14:paraId="61FBC25B" w14:textId="77777777" w:rsidR="008A5924" w:rsidRPr="007105F3" w:rsidRDefault="008A5924" w:rsidP="008A5924">
      <w:pPr>
        <w:jc w:val="both"/>
        <w:rPr>
          <w:sz w:val="24"/>
          <w:szCs w:val="24"/>
        </w:rPr>
      </w:pPr>
    </w:p>
    <w:p w14:paraId="125BFBFF" w14:textId="77777777" w:rsidR="008A5924" w:rsidRPr="007105F3" w:rsidRDefault="008A5924" w:rsidP="008A5924">
      <w:pPr>
        <w:pStyle w:val="Sinespaciado"/>
        <w:jc w:val="both"/>
        <w:rPr>
          <w:rFonts w:ascii="Times New Roman" w:hAnsi="Times New Roman"/>
          <w:sz w:val="24"/>
          <w:szCs w:val="24"/>
        </w:rPr>
      </w:pPr>
      <w:r w:rsidRPr="007105F3">
        <w:rPr>
          <w:rFonts w:ascii="Times New Roman" w:hAnsi="Times New Roman"/>
          <w:sz w:val="24"/>
          <w:szCs w:val="24"/>
        </w:rPr>
        <w:t>Los desastres son eventos extraordinarios que causan una gran destrucción de bienes materiales, así como la muerte de personas, lesiones físicas y sufrimiento de la población afectada. Los desastres suelen ser derivados de actividades humanas o por causas naturales. En esta materia, Guatemala ocupa el puesto número s</w:t>
      </w:r>
      <w:r w:rsidR="00AE116A">
        <w:rPr>
          <w:rFonts w:ascii="Times New Roman" w:hAnsi="Times New Roman"/>
          <w:sz w:val="24"/>
          <w:szCs w:val="24"/>
        </w:rPr>
        <w:t>iete en el World Risk Index 2018</w:t>
      </w:r>
      <w:r w:rsidR="00AE116A">
        <w:rPr>
          <w:rStyle w:val="Refdenotaalpie"/>
          <w:rFonts w:ascii="Times New Roman" w:hAnsi="Times New Roman"/>
          <w:sz w:val="24"/>
          <w:szCs w:val="24"/>
        </w:rPr>
        <w:footnoteReference w:id="2"/>
      </w:r>
      <w:r w:rsidRPr="007105F3">
        <w:rPr>
          <w:rFonts w:ascii="Times New Roman" w:hAnsi="Times New Roman"/>
          <w:sz w:val="24"/>
          <w:szCs w:val="24"/>
        </w:rPr>
        <w:t xml:space="preserve">, con un índice de 20.60 y se posiciona como el segundo peor país de América Latina en el ranking, superado solamente por Guyana (23.23). </w:t>
      </w:r>
    </w:p>
    <w:p w14:paraId="6DDF1E6E" w14:textId="77777777" w:rsidR="008A5924" w:rsidRDefault="008A5924" w:rsidP="008A5924">
      <w:pPr>
        <w:jc w:val="center"/>
        <w:rPr>
          <w:b/>
          <w:bCs/>
        </w:rPr>
      </w:pPr>
    </w:p>
    <w:p w14:paraId="239F5607" w14:textId="77777777" w:rsidR="00D07A98" w:rsidRDefault="00D07A98" w:rsidP="008A5924">
      <w:pPr>
        <w:jc w:val="center"/>
        <w:rPr>
          <w:b/>
          <w:bCs/>
        </w:rPr>
      </w:pPr>
    </w:p>
    <w:p w14:paraId="32B40BF5" w14:textId="77777777" w:rsidR="00D07A98" w:rsidRDefault="00D07A98" w:rsidP="008A5924">
      <w:pPr>
        <w:jc w:val="center"/>
        <w:rPr>
          <w:b/>
          <w:bCs/>
        </w:rPr>
      </w:pPr>
    </w:p>
    <w:p w14:paraId="403B7F6F" w14:textId="77777777" w:rsidR="00D07A98" w:rsidRDefault="00D07A98" w:rsidP="008A5924">
      <w:pPr>
        <w:jc w:val="center"/>
        <w:rPr>
          <w:b/>
          <w:bCs/>
        </w:rPr>
      </w:pPr>
    </w:p>
    <w:p w14:paraId="45949F77" w14:textId="77777777" w:rsidR="00D07A98" w:rsidRDefault="00D07A98" w:rsidP="008A5924">
      <w:pPr>
        <w:jc w:val="center"/>
        <w:rPr>
          <w:b/>
          <w:bCs/>
        </w:rPr>
      </w:pPr>
    </w:p>
    <w:p w14:paraId="71B65F69" w14:textId="77777777" w:rsidR="00D07A98" w:rsidRDefault="00D07A98" w:rsidP="008A5924">
      <w:pPr>
        <w:jc w:val="center"/>
        <w:rPr>
          <w:b/>
          <w:bCs/>
        </w:rPr>
      </w:pPr>
    </w:p>
    <w:p w14:paraId="7C772E69" w14:textId="77777777" w:rsidR="00D07A98" w:rsidRDefault="00D07A98" w:rsidP="008A5924">
      <w:pPr>
        <w:jc w:val="center"/>
        <w:rPr>
          <w:b/>
          <w:bCs/>
        </w:rPr>
      </w:pPr>
    </w:p>
    <w:p w14:paraId="033C684F" w14:textId="77777777" w:rsidR="00D07A98" w:rsidRDefault="00D07A98" w:rsidP="008A5924">
      <w:pPr>
        <w:jc w:val="center"/>
        <w:rPr>
          <w:b/>
          <w:bCs/>
        </w:rPr>
      </w:pPr>
    </w:p>
    <w:p w14:paraId="3F7A6369" w14:textId="77777777" w:rsidR="00D07A98" w:rsidRDefault="00D07A98" w:rsidP="008A5924">
      <w:pPr>
        <w:jc w:val="center"/>
        <w:rPr>
          <w:b/>
          <w:bCs/>
        </w:rPr>
      </w:pPr>
    </w:p>
    <w:p w14:paraId="55447C47" w14:textId="77777777" w:rsidR="00D07A98" w:rsidRDefault="00D07A98" w:rsidP="008A5924">
      <w:pPr>
        <w:jc w:val="center"/>
        <w:rPr>
          <w:b/>
          <w:bCs/>
        </w:rPr>
      </w:pPr>
    </w:p>
    <w:p w14:paraId="3F608510" w14:textId="77777777" w:rsidR="00D07A98" w:rsidRDefault="00D07A98" w:rsidP="008A5924">
      <w:pPr>
        <w:jc w:val="center"/>
        <w:rPr>
          <w:b/>
          <w:bCs/>
        </w:rPr>
      </w:pPr>
    </w:p>
    <w:p w14:paraId="74DD8569" w14:textId="77777777" w:rsidR="00D07A98" w:rsidRDefault="00D07A98" w:rsidP="008A5924">
      <w:pPr>
        <w:jc w:val="center"/>
        <w:rPr>
          <w:b/>
          <w:bCs/>
        </w:rPr>
      </w:pPr>
    </w:p>
    <w:p w14:paraId="7153FBBC" w14:textId="77777777" w:rsidR="00D07A98" w:rsidRDefault="00D07A98" w:rsidP="008A5924">
      <w:pPr>
        <w:jc w:val="center"/>
        <w:rPr>
          <w:b/>
          <w:bCs/>
        </w:rPr>
      </w:pPr>
    </w:p>
    <w:p w14:paraId="3DED5F65" w14:textId="77777777" w:rsidR="00D07A98" w:rsidRDefault="00D07A98" w:rsidP="008A5924">
      <w:pPr>
        <w:jc w:val="center"/>
        <w:rPr>
          <w:b/>
          <w:bCs/>
        </w:rPr>
      </w:pPr>
    </w:p>
    <w:p w14:paraId="56718885" w14:textId="77777777" w:rsidR="00D07A98" w:rsidRDefault="00D07A98" w:rsidP="008A5924">
      <w:pPr>
        <w:jc w:val="center"/>
        <w:rPr>
          <w:b/>
          <w:bCs/>
        </w:rPr>
      </w:pPr>
    </w:p>
    <w:p w14:paraId="5C8F468F" w14:textId="77777777" w:rsidR="00D07A98" w:rsidRDefault="00D07A98" w:rsidP="008A5924">
      <w:pPr>
        <w:jc w:val="center"/>
        <w:rPr>
          <w:b/>
          <w:bCs/>
        </w:rPr>
      </w:pPr>
    </w:p>
    <w:p w14:paraId="7F92B988" w14:textId="77777777" w:rsidR="00D07A98" w:rsidRDefault="00D07A98" w:rsidP="008A5924">
      <w:pPr>
        <w:jc w:val="center"/>
        <w:rPr>
          <w:b/>
          <w:bCs/>
        </w:rPr>
      </w:pPr>
    </w:p>
    <w:p w14:paraId="3AE49197" w14:textId="76E72D0C" w:rsidR="008A5924" w:rsidRPr="00184700" w:rsidRDefault="008A5924" w:rsidP="008A5924">
      <w:pPr>
        <w:pStyle w:val="Descripcin"/>
        <w:rPr>
          <w:b w:val="0"/>
          <w:bCs/>
        </w:rPr>
      </w:pPr>
      <w:bookmarkStart w:id="111" w:name="_Ref16174560"/>
      <w:bookmarkStart w:id="112" w:name="_Toc16242982"/>
      <w:r w:rsidRPr="007105F3">
        <w:rPr>
          <w:color w:val="000000" w:themeColor="text1"/>
        </w:rPr>
        <w:t xml:space="preserve">Gráfico  </w:t>
      </w:r>
      <w:r w:rsidRPr="007105F3">
        <w:rPr>
          <w:color w:val="000000" w:themeColor="text1"/>
        </w:rPr>
        <w:fldChar w:fldCharType="begin"/>
      </w:r>
      <w:r w:rsidRPr="007105F3">
        <w:rPr>
          <w:color w:val="000000" w:themeColor="text1"/>
        </w:rPr>
        <w:instrText xml:space="preserve"> SEQ Gráfico_ \* ARABIC </w:instrText>
      </w:r>
      <w:r w:rsidRPr="007105F3">
        <w:rPr>
          <w:color w:val="000000" w:themeColor="text1"/>
        </w:rPr>
        <w:fldChar w:fldCharType="separate"/>
      </w:r>
      <w:r w:rsidR="004B2A60">
        <w:rPr>
          <w:noProof/>
          <w:color w:val="000000" w:themeColor="text1"/>
        </w:rPr>
        <w:t>19</w:t>
      </w:r>
      <w:r w:rsidRPr="007105F3">
        <w:rPr>
          <w:noProof/>
          <w:color w:val="000000" w:themeColor="text1"/>
        </w:rPr>
        <w:fldChar w:fldCharType="end"/>
      </w:r>
      <w:bookmarkEnd w:id="111"/>
      <w:r w:rsidRPr="007105F3">
        <w:rPr>
          <w:color w:val="000000" w:themeColor="text1"/>
        </w:rPr>
        <w:t>: Distribución de desastres naturales por tipo de evento</w:t>
      </w:r>
      <w:bookmarkEnd w:id="112"/>
    </w:p>
    <w:p w14:paraId="6DB21902" w14:textId="77777777" w:rsidR="008A5924" w:rsidRDefault="008A5924" w:rsidP="008A5924">
      <w:pPr>
        <w:jc w:val="center"/>
        <w:rPr>
          <w:bCs/>
        </w:rPr>
      </w:pPr>
      <w:r w:rsidRPr="00184700">
        <w:rPr>
          <w:bCs/>
        </w:rPr>
        <w:t>Período 2009-2019</w:t>
      </w:r>
      <w:r w:rsidRPr="00184700">
        <w:rPr>
          <w:rStyle w:val="Refdenotaalpie"/>
          <w:bCs/>
        </w:rPr>
        <w:footnoteReference w:id="3"/>
      </w:r>
    </w:p>
    <w:p w14:paraId="647642AF" w14:textId="77777777" w:rsidR="008A700C" w:rsidRPr="00184700" w:rsidRDefault="008A700C" w:rsidP="008A5924">
      <w:pPr>
        <w:jc w:val="center"/>
        <w:rPr>
          <w:bCs/>
        </w:rPr>
      </w:pPr>
    </w:p>
    <w:p w14:paraId="27E90F37" w14:textId="77777777" w:rsidR="008A700C" w:rsidRDefault="008A5924" w:rsidP="008A700C">
      <w:pPr>
        <w:rPr>
          <w:sz w:val="16"/>
          <w:szCs w:val="16"/>
        </w:rPr>
      </w:pPr>
      <w:r w:rsidRPr="00184700">
        <w:rPr>
          <w:noProof/>
          <w:lang w:val="es-GT" w:eastAsia="es-GT"/>
        </w:rPr>
        <w:drawing>
          <wp:inline distT="0" distB="0" distL="0" distR="0" wp14:anchorId="112936F6" wp14:editId="752E37AE">
            <wp:extent cx="5943600" cy="2977515"/>
            <wp:effectExtent l="0" t="0" r="0" b="0"/>
            <wp:docPr id="15" name="Gráfico 15">
              <a:extLst xmlns:a="http://schemas.openxmlformats.org/drawingml/2006/main">
                <a:ext uri="{FF2B5EF4-FFF2-40B4-BE49-F238E27FC236}">
                  <a16:creationId xmlns:a16="http://schemas.microsoft.com/office/drawing/2014/main" id="{08A853BD-D769-4D2E-AAD9-CA085D62C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A700C">
        <w:rPr>
          <w:sz w:val="16"/>
          <w:szCs w:val="16"/>
        </w:rPr>
        <w:t xml:space="preserve">  </w:t>
      </w:r>
    </w:p>
    <w:p w14:paraId="32F96A14" w14:textId="77777777" w:rsidR="008A5924" w:rsidRPr="00184700" w:rsidRDefault="008A5924" w:rsidP="00076261">
      <w:pPr>
        <w:ind w:left="708"/>
        <w:rPr>
          <w:sz w:val="16"/>
          <w:szCs w:val="16"/>
        </w:rPr>
      </w:pPr>
      <w:r w:rsidRPr="00076261">
        <w:rPr>
          <w:b/>
          <w:sz w:val="16"/>
          <w:szCs w:val="16"/>
        </w:rPr>
        <w:t xml:space="preserve"> </w:t>
      </w:r>
      <w:r w:rsidR="008A700C" w:rsidRPr="00076261">
        <w:rPr>
          <w:b/>
          <w:sz w:val="16"/>
          <w:szCs w:val="16"/>
        </w:rPr>
        <w:t>Fuente:</w:t>
      </w:r>
      <w:r w:rsidR="008A700C">
        <w:rPr>
          <w:sz w:val="16"/>
          <w:szCs w:val="16"/>
        </w:rPr>
        <w:t xml:space="preserve"> </w:t>
      </w:r>
      <w:r w:rsidRPr="00184700">
        <w:rPr>
          <w:sz w:val="16"/>
          <w:szCs w:val="16"/>
        </w:rPr>
        <w:t>Dirección de Transparencia Fiscal con datos de EMDAT</w:t>
      </w:r>
    </w:p>
    <w:p w14:paraId="2567447A" w14:textId="77777777" w:rsidR="008A5924" w:rsidRPr="00184700" w:rsidRDefault="008A5924" w:rsidP="008A5924">
      <w:pPr>
        <w:pStyle w:val="Sinespaciado"/>
        <w:jc w:val="both"/>
        <w:rPr>
          <w:rFonts w:ascii="Times New Roman" w:hAnsi="Times New Roman"/>
        </w:rPr>
      </w:pPr>
    </w:p>
    <w:p w14:paraId="05BAD38A" w14:textId="77777777" w:rsidR="008A5924" w:rsidRPr="007105F3" w:rsidRDefault="008A5924" w:rsidP="008A5924">
      <w:pPr>
        <w:pStyle w:val="Sinespaciado"/>
        <w:jc w:val="both"/>
        <w:rPr>
          <w:rFonts w:ascii="Times New Roman" w:hAnsi="Times New Roman"/>
          <w:sz w:val="24"/>
          <w:szCs w:val="24"/>
        </w:rPr>
      </w:pPr>
      <w:r w:rsidRPr="007105F3">
        <w:rPr>
          <w:rFonts w:ascii="Times New Roman" w:hAnsi="Times New Roman"/>
          <w:sz w:val="24"/>
          <w:szCs w:val="24"/>
        </w:rPr>
        <w:t>En el caso de Guatemala, según la Base de Datos de Desastres EMDAT, en el período de 2009-2019 los desastres que han tenido mayor frecuencia en el territorio nacional han sido aquellos</w:t>
      </w:r>
      <w:r w:rsidR="001C5A8E" w:rsidRPr="007105F3">
        <w:rPr>
          <w:rFonts w:ascii="Times New Roman" w:hAnsi="Times New Roman"/>
          <w:sz w:val="24"/>
          <w:szCs w:val="24"/>
        </w:rPr>
        <w:t xml:space="preserve"> derivados de la ocurrencia de </w:t>
      </w:r>
      <w:r w:rsidRPr="007105F3">
        <w:rPr>
          <w:rFonts w:ascii="Times New Roman" w:hAnsi="Times New Roman"/>
          <w:sz w:val="24"/>
          <w:szCs w:val="24"/>
        </w:rPr>
        <w:t>tormentas o inundaciones (42%), seguido de los derivados de sismos (10%). Estos eventos generan daños y pérdidas económicas que según el Banco Mundial sólo en el 2015 ascendieron a US$92 millardos a nivel mundial. Los daños y pérdidas también son trasladados al sector público, ya que generan</w:t>
      </w:r>
      <w:r w:rsidRPr="007105F3">
        <w:rPr>
          <w:rStyle w:val="Refdenotaalpie"/>
          <w:rFonts w:ascii="Times New Roman" w:hAnsi="Times New Roman"/>
          <w:sz w:val="24"/>
          <w:szCs w:val="24"/>
        </w:rPr>
        <w:footnoteReference w:id="4"/>
      </w:r>
      <w:r w:rsidRPr="007105F3">
        <w:rPr>
          <w:rFonts w:ascii="Times New Roman" w:hAnsi="Times New Roman"/>
          <w:sz w:val="24"/>
          <w:szCs w:val="24"/>
        </w:rPr>
        <w:t xml:space="preserve"> déficit fiscal mayor al esperado.</w:t>
      </w:r>
      <w:r w:rsidRPr="007105F3">
        <w:rPr>
          <w:rStyle w:val="Refdenotaalpie"/>
          <w:rFonts w:ascii="Times New Roman" w:hAnsi="Times New Roman"/>
          <w:sz w:val="24"/>
          <w:szCs w:val="24"/>
        </w:rPr>
        <w:footnoteReference w:id="5"/>
      </w:r>
      <w:r w:rsidRPr="007105F3">
        <w:rPr>
          <w:rFonts w:ascii="Times New Roman" w:hAnsi="Times New Roman"/>
          <w:sz w:val="24"/>
          <w:szCs w:val="24"/>
        </w:rPr>
        <w:t xml:space="preserve"> </w:t>
      </w:r>
    </w:p>
    <w:p w14:paraId="6B521917" w14:textId="77777777" w:rsidR="008A5924" w:rsidRPr="007105F3" w:rsidRDefault="008A5924" w:rsidP="00DD6292">
      <w:pPr>
        <w:pStyle w:val="Ttulo3"/>
        <w:widowControl/>
        <w:numPr>
          <w:ilvl w:val="2"/>
          <w:numId w:val="5"/>
        </w:numPr>
        <w:spacing w:before="240" w:after="60"/>
        <w:ind w:left="1701" w:hanging="981"/>
        <w:jc w:val="both"/>
        <w:rPr>
          <w:sz w:val="24"/>
          <w:szCs w:val="24"/>
        </w:rPr>
      </w:pPr>
      <w:bookmarkStart w:id="113" w:name="_Toc16519897"/>
      <w:r w:rsidRPr="007105F3">
        <w:rPr>
          <w:sz w:val="24"/>
          <w:szCs w:val="24"/>
        </w:rPr>
        <w:t>Estrategia Financiera Ante el Riesgo de Desastres</w:t>
      </w:r>
      <w:bookmarkEnd w:id="113"/>
    </w:p>
    <w:p w14:paraId="47997DE4" w14:textId="77777777" w:rsidR="008A5924" w:rsidRPr="007105F3" w:rsidRDefault="008A5924" w:rsidP="008A5924">
      <w:pPr>
        <w:jc w:val="both"/>
        <w:rPr>
          <w:sz w:val="24"/>
          <w:szCs w:val="24"/>
        </w:rPr>
      </w:pPr>
    </w:p>
    <w:p w14:paraId="667F7B74" w14:textId="77777777" w:rsidR="008A5924" w:rsidRPr="007105F3" w:rsidRDefault="008A5924" w:rsidP="008A5924">
      <w:pPr>
        <w:jc w:val="both"/>
        <w:rPr>
          <w:sz w:val="24"/>
          <w:szCs w:val="24"/>
        </w:rPr>
      </w:pPr>
      <w:r w:rsidRPr="007105F3">
        <w:rPr>
          <w:sz w:val="24"/>
          <w:szCs w:val="24"/>
        </w:rPr>
        <w:t>Derivado de los impactos negativos en las finanzas públicas que tienen los desastres, el Ministerio de Finanzas Públicas por medio de la Dirección de Crédito Público lanzó la Estrategia Financiera Ante el Riesgo de Desastres en abril de 2018. La misma incluye cinco líneas estratégicas, siendo estas:</w:t>
      </w:r>
    </w:p>
    <w:p w14:paraId="43AFF2FF" w14:textId="77777777" w:rsidR="008A5924" w:rsidRPr="007105F3" w:rsidRDefault="008A5924" w:rsidP="008A5924">
      <w:pPr>
        <w:jc w:val="both"/>
        <w:rPr>
          <w:sz w:val="24"/>
          <w:szCs w:val="24"/>
        </w:rPr>
      </w:pPr>
    </w:p>
    <w:p w14:paraId="500A0304" w14:textId="77777777" w:rsidR="008A5924" w:rsidRPr="007105F3" w:rsidRDefault="008A5924" w:rsidP="00DD6292">
      <w:pPr>
        <w:pStyle w:val="Prrafodelista"/>
        <w:widowControl/>
        <w:numPr>
          <w:ilvl w:val="0"/>
          <w:numId w:val="6"/>
        </w:numPr>
        <w:spacing w:after="160" w:line="259" w:lineRule="auto"/>
        <w:jc w:val="both"/>
        <w:rPr>
          <w:sz w:val="24"/>
          <w:szCs w:val="24"/>
        </w:rPr>
      </w:pPr>
      <w:r w:rsidRPr="007105F3">
        <w:rPr>
          <w:sz w:val="24"/>
          <w:szCs w:val="24"/>
        </w:rPr>
        <w:t>Conocimiento del Riesgo – Identificación, Estimación y Evaluación del Riesgo Económico y Fiscal ante el Riesgo de Desastres</w:t>
      </w:r>
    </w:p>
    <w:p w14:paraId="2B229D40" w14:textId="77777777" w:rsidR="008A5924" w:rsidRPr="007105F3" w:rsidRDefault="008A5924" w:rsidP="00DD6292">
      <w:pPr>
        <w:pStyle w:val="Prrafodelista"/>
        <w:widowControl/>
        <w:numPr>
          <w:ilvl w:val="0"/>
          <w:numId w:val="6"/>
        </w:numPr>
        <w:spacing w:after="160" w:line="259" w:lineRule="auto"/>
        <w:jc w:val="both"/>
        <w:rPr>
          <w:sz w:val="24"/>
          <w:szCs w:val="24"/>
        </w:rPr>
      </w:pPr>
      <w:r w:rsidRPr="007105F3">
        <w:rPr>
          <w:sz w:val="24"/>
          <w:szCs w:val="24"/>
        </w:rPr>
        <w:t>Gestión Financiera ante el Riesgo de Desastres, Combinación de Instrumentos Financieros de Retención y Transferencia del Riesgo</w:t>
      </w:r>
    </w:p>
    <w:p w14:paraId="69F77032" w14:textId="77777777" w:rsidR="008A5924" w:rsidRPr="007105F3" w:rsidRDefault="008A5924" w:rsidP="00DD6292">
      <w:pPr>
        <w:pStyle w:val="Prrafodelista"/>
        <w:widowControl/>
        <w:numPr>
          <w:ilvl w:val="0"/>
          <w:numId w:val="6"/>
        </w:numPr>
        <w:spacing w:after="160" w:line="259" w:lineRule="auto"/>
        <w:jc w:val="both"/>
        <w:rPr>
          <w:sz w:val="24"/>
          <w:szCs w:val="24"/>
        </w:rPr>
      </w:pPr>
      <w:r w:rsidRPr="007105F3">
        <w:rPr>
          <w:sz w:val="24"/>
          <w:szCs w:val="24"/>
        </w:rPr>
        <w:t xml:space="preserve">Aseguramiento del Riesgo Catastrófico de los Activos Públicos y Desarrollo del Mercado Doméstico de Seguros. </w:t>
      </w:r>
    </w:p>
    <w:p w14:paraId="54982719" w14:textId="77777777" w:rsidR="008A5924" w:rsidRPr="007105F3" w:rsidRDefault="008A5924" w:rsidP="00DD6292">
      <w:pPr>
        <w:pStyle w:val="Prrafodelista"/>
        <w:widowControl/>
        <w:numPr>
          <w:ilvl w:val="0"/>
          <w:numId w:val="6"/>
        </w:numPr>
        <w:spacing w:after="160" w:line="259" w:lineRule="auto"/>
        <w:jc w:val="both"/>
        <w:rPr>
          <w:sz w:val="24"/>
          <w:szCs w:val="24"/>
        </w:rPr>
      </w:pPr>
      <w:r w:rsidRPr="007105F3">
        <w:rPr>
          <w:sz w:val="24"/>
          <w:szCs w:val="24"/>
        </w:rPr>
        <w:t>Eficiencia y Transparencia en la Movilización y Ejecución del Gasto Público Post Desastres</w:t>
      </w:r>
    </w:p>
    <w:p w14:paraId="6C20CA5D" w14:textId="77777777" w:rsidR="008A5924" w:rsidRPr="00625CF1" w:rsidRDefault="008A5924" w:rsidP="008A5924">
      <w:pPr>
        <w:pStyle w:val="Prrafodelista"/>
        <w:widowControl/>
        <w:numPr>
          <w:ilvl w:val="0"/>
          <w:numId w:val="6"/>
        </w:numPr>
        <w:spacing w:after="160" w:line="259" w:lineRule="auto"/>
        <w:rPr>
          <w:sz w:val="24"/>
          <w:szCs w:val="24"/>
        </w:rPr>
      </w:pPr>
      <w:r w:rsidRPr="007105F3">
        <w:rPr>
          <w:sz w:val="24"/>
          <w:szCs w:val="24"/>
        </w:rPr>
        <w:t>Gestión Financiera del Riesgo de Desastres a Nivel Sub-Nacional</w:t>
      </w:r>
    </w:p>
    <w:p w14:paraId="41003B49" w14:textId="77777777" w:rsidR="008A5924" w:rsidRPr="007105F3" w:rsidRDefault="008A5924" w:rsidP="00DD6292">
      <w:pPr>
        <w:pStyle w:val="Ttulo3"/>
        <w:widowControl/>
        <w:numPr>
          <w:ilvl w:val="2"/>
          <w:numId w:val="5"/>
        </w:numPr>
        <w:spacing w:before="240" w:after="60"/>
        <w:ind w:left="1701" w:hanging="981"/>
        <w:jc w:val="both"/>
        <w:rPr>
          <w:sz w:val="24"/>
          <w:szCs w:val="24"/>
        </w:rPr>
      </w:pPr>
      <w:bookmarkStart w:id="114" w:name="_Toc16519898"/>
      <w:r w:rsidRPr="007105F3">
        <w:rPr>
          <w:sz w:val="24"/>
          <w:szCs w:val="24"/>
        </w:rPr>
        <w:t>Avances en la implementación de la Estrategia Financiera Ante el Riesgo de Desastres</w:t>
      </w:r>
      <w:bookmarkEnd w:id="114"/>
    </w:p>
    <w:p w14:paraId="40EF2FC5" w14:textId="77777777" w:rsidR="008A5924" w:rsidRPr="007105F3" w:rsidRDefault="008A5924" w:rsidP="00DD6292">
      <w:pPr>
        <w:pStyle w:val="Ttulo4"/>
        <w:widowControl/>
        <w:numPr>
          <w:ilvl w:val="3"/>
          <w:numId w:val="5"/>
        </w:numPr>
        <w:spacing w:before="240" w:after="60"/>
        <w:jc w:val="both"/>
        <w:rPr>
          <w:sz w:val="24"/>
          <w:szCs w:val="24"/>
        </w:rPr>
      </w:pPr>
      <w:bookmarkStart w:id="115" w:name="_Toc16519899"/>
      <w:r w:rsidRPr="007105F3">
        <w:rPr>
          <w:sz w:val="24"/>
          <w:szCs w:val="24"/>
        </w:rPr>
        <w:t>Conocimiento del Riesgo</w:t>
      </w:r>
      <w:bookmarkEnd w:id="115"/>
    </w:p>
    <w:p w14:paraId="330860A6" w14:textId="77777777" w:rsidR="008A5924" w:rsidRPr="007105F3" w:rsidRDefault="008A5924" w:rsidP="008A5924">
      <w:pPr>
        <w:rPr>
          <w:sz w:val="24"/>
          <w:szCs w:val="24"/>
          <w:lang w:val="es-MX"/>
        </w:rPr>
      </w:pPr>
    </w:p>
    <w:p w14:paraId="6370901A" w14:textId="77777777" w:rsidR="008A5924" w:rsidRPr="00184700" w:rsidRDefault="008A5924" w:rsidP="008A5924">
      <w:pPr>
        <w:jc w:val="both"/>
      </w:pPr>
      <w:r w:rsidRPr="007105F3">
        <w:rPr>
          <w:sz w:val="24"/>
          <w:szCs w:val="24"/>
        </w:rPr>
        <w:t>El Ministerio de Finanzas Públicas, consciente de la necesidad de conocer el riesgo, ha realizado asignaciones presupuestarias adecuadas a los entes encargados de la adecuada gestión del riesgo. De esta manera, la Coordinadora Nacional para la Reducción de Desastres pasó de una asignación de Q60 millones en 2016 a Q105 millones en 2019, es decir un a</w:t>
      </w:r>
      <w:r w:rsidR="00537305" w:rsidRPr="007105F3">
        <w:rPr>
          <w:sz w:val="24"/>
          <w:szCs w:val="24"/>
        </w:rPr>
        <w:t>umento en su presupuesto del 75 por ciento.</w:t>
      </w:r>
      <w:r w:rsidRPr="00184700">
        <w:t xml:space="preserve"> </w:t>
      </w:r>
    </w:p>
    <w:p w14:paraId="70552071" w14:textId="77777777" w:rsidR="008A5924" w:rsidRPr="00184700" w:rsidRDefault="008A5924" w:rsidP="008A5924">
      <w:pPr>
        <w:pStyle w:val="Descripcin"/>
      </w:pPr>
    </w:p>
    <w:p w14:paraId="0CCA7794" w14:textId="548A06DB" w:rsidR="008A5924" w:rsidRPr="007105F3" w:rsidRDefault="008A5924" w:rsidP="008A5924">
      <w:pPr>
        <w:pStyle w:val="Descripcin"/>
        <w:keepNext/>
        <w:rPr>
          <w:b w:val="0"/>
          <w:bCs/>
          <w:color w:val="000000" w:themeColor="text1"/>
        </w:rPr>
      </w:pPr>
      <w:bookmarkStart w:id="116" w:name="_Ref16171990"/>
      <w:bookmarkStart w:id="117" w:name="_Toc16242983"/>
      <w:r w:rsidRPr="007105F3">
        <w:rPr>
          <w:color w:val="000000" w:themeColor="text1"/>
        </w:rPr>
        <w:t xml:space="preserve">Gráfico  </w:t>
      </w:r>
      <w:r w:rsidRPr="007105F3">
        <w:rPr>
          <w:color w:val="000000" w:themeColor="text1"/>
        </w:rPr>
        <w:fldChar w:fldCharType="begin"/>
      </w:r>
      <w:r w:rsidRPr="007105F3">
        <w:rPr>
          <w:color w:val="000000" w:themeColor="text1"/>
        </w:rPr>
        <w:instrText xml:space="preserve"> SEQ Gráfico_ \* ARABIC </w:instrText>
      </w:r>
      <w:r w:rsidRPr="007105F3">
        <w:rPr>
          <w:color w:val="000000" w:themeColor="text1"/>
        </w:rPr>
        <w:fldChar w:fldCharType="separate"/>
      </w:r>
      <w:r w:rsidR="004B2A60">
        <w:rPr>
          <w:noProof/>
          <w:color w:val="000000" w:themeColor="text1"/>
        </w:rPr>
        <w:t>20</w:t>
      </w:r>
      <w:r w:rsidRPr="007105F3">
        <w:rPr>
          <w:noProof/>
          <w:color w:val="000000" w:themeColor="text1"/>
        </w:rPr>
        <w:fldChar w:fldCharType="end"/>
      </w:r>
      <w:bookmarkEnd w:id="116"/>
      <w:r w:rsidRPr="007105F3">
        <w:rPr>
          <w:color w:val="000000" w:themeColor="text1"/>
        </w:rPr>
        <w:t>: Asignación de presupuesto a CONRED en millones de quetzales</w:t>
      </w:r>
      <w:bookmarkEnd w:id="117"/>
    </w:p>
    <w:p w14:paraId="4E5A2B3A" w14:textId="77777777" w:rsidR="008A5924" w:rsidRDefault="008A5924" w:rsidP="008A5924">
      <w:pPr>
        <w:keepNext/>
        <w:jc w:val="center"/>
        <w:rPr>
          <w:bCs/>
        </w:rPr>
      </w:pPr>
      <w:r w:rsidRPr="00184700">
        <w:rPr>
          <w:bCs/>
        </w:rPr>
        <w:t>Período 2009-2019</w:t>
      </w:r>
    </w:p>
    <w:p w14:paraId="74392E54" w14:textId="77777777" w:rsidR="008A700C" w:rsidRPr="00184700" w:rsidRDefault="008A700C" w:rsidP="008A5924">
      <w:pPr>
        <w:keepNext/>
        <w:jc w:val="center"/>
      </w:pPr>
    </w:p>
    <w:p w14:paraId="50B339AF" w14:textId="77777777" w:rsidR="008A5924" w:rsidRPr="00184700" w:rsidRDefault="008A5924" w:rsidP="008A5924">
      <w:pPr>
        <w:keepNext/>
        <w:jc w:val="center"/>
      </w:pPr>
      <w:r w:rsidRPr="00184700">
        <w:rPr>
          <w:noProof/>
          <w:lang w:val="es-GT" w:eastAsia="es-GT"/>
        </w:rPr>
        <w:drawing>
          <wp:inline distT="0" distB="0" distL="0" distR="0" wp14:anchorId="091B16E2" wp14:editId="6F499B90">
            <wp:extent cx="4762831" cy="1916265"/>
            <wp:effectExtent l="0" t="0" r="0" b="825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B8E171" w14:textId="77777777" w:rsidR="008A5924" w:rsidRPr="00184700" w:rsidRDefault="007105F3" w:rsidP="008A5924">
      <w:pPr>
        <w:jc w:val="both"/>
        <w:rPr>
          <w:sz w:val="16"/>
          <w:szCs w:val="16"/>
        </w:rPr>
      </w:pPr>
      <w:r w:rsidRPr="00625CF1">
        <w:rPr>
          <w:b/>
          <w:sz w:val="16"/>
          <w:szCs w:val="16"/>
        </w:rPr>
        <w:t xml:space="preserve">                                     </w:t>
      </w:r>
      <w:r w:rsidR="008A5924" w:rsidRPr="00625CF1">
        <w:rPr>
          <w:b/>
          <w:sz w:val="16"/>
          <w:szCs w:val="16"/>
        </w:rPr>
        <w:t>Fuente:</w:t>
      </w:r>
      <w:r w:rsidR="008A5924" w:rsidRPr="00184700">
        <w:rPr>
          <w:sz w:val="16"/>
          <w:szCs w:val="16"/>
        </w:rPr>
        <w:t xml:space="preserve"> Dirección de Transparencia Fiscal con datos de SICOIN</w:t>
      </w:r>
    </w:p>
    <w:p w14:paraId="7DAD70FB" w14:textId="77777777" w:rsidR="008A5924" w:rsidRPr="00184700" w:rsidRDefault="008A5924" w:rsidP="008A5924">
      <w:pPr>
        <w:jc w:val="both"/>
      </w:pPr>
    </w:p>
    <w:p w14:paraId="01D45196" w14:textId="7C1D4EC4" w:rsidR="008A5924" w:rsidRPr="007105F3" w:rsidRDefault="008A5924" w:rsidP="008A5924">
      <w:pPr>
        <w:jc w:val="both"/>
        <w:rPr>
          <w:sz w:val="24"/>
          <w:szCs w:val="24"/>
        </w:rPr>
      </w:pPr>
      <w:r w:rsidRPr="007105F3">
        <w:rPr>
          <w:sz w:val="24"/>
          <w:szCs w:val="24"/>
        </w:rPr>
        <w:t xml:space="preserve">Es importante revisar el uso que ha hecho CONRED de los recursos financieros asignados, por lo que el </w:t>
      </w:r>
      <w:r w:rsidRPr="007105F3">
        <w:rPr>
          <w:sz w:val="24"/>
          <w:szCs w:val="24"/>
        </w:rPr>
        <w:fldChar w:fldCharType="begin"/>
      </w:r>
      <w:r w:rsidRPr="007105F3">
        <w:rPr>
          <w:sz w:val="24"/>
          <w:szCs w:val="24"/>
        </w:rPr>
        <w:instrText xml:space="preserve"> REF _Ref16171990 \h </w:instrText>
      </w:r>
      <w:r w:rsidR="007105F3">
        <w:rPr>
          <w:sz w:val="24"/>
          <w:szCs w:val="24"/>
        </w:rPr>
        <w:instrText xml:space="preserve"> \* MERGEFORMAT </w:instrText>
      </w:r>
      <w:r w:rsidRPr="007105F3">
        <w:rPr>
          <w:sz w:val="24"/>
          <w:szCs w:val="24"/>
        </w:rPr>
      </w:r>
      <w:r w:rsidRPr="007105F3">
        <w:rPr>
          <w:sz w:val="24"/>
          <w:szCs w:val="24"/>
        </w:rPr>
        <w:fldChar w:fldCharType="separate"/>
      </w:r>
      <w:r w:rsidR="004B2A60" w:rsidRPr="004B2A60">
        <w:rPr>
          <w:sz w:val="24"/>
          <w:szCs w:val="24"/>
        </w:rPr>
        <w:t>Gráfico  20</w:t>
      </w:r>
      <w:r w:rsidRPr="007105F3">
        <w:rPr>
          <w:sz w:val="24"/>
          <w:szCs w:val="24"/>
        </w:rPr>
        <w:fldChar w:fldCharType="end"/>
      </w:r>
      <w:r w:rsidRPr="007105F3">
        <w:rPr>
          <w:sz w:val="24"/>
          <w:szCs w:val="24"/>
        </w:rPr>
        <w:t xml:space="preserve"> muestra que desde el 2013 la CONRED viene invirtiendo sus recursos exclusivamente en la «Gestión para la Reducción de Riesgos de Desastres». </w:t>
      </w:r>
    </w:p>
    <w:p w14:paraId="494A9978" w14:textId="77777777" w:rsidR="008A5924" w:rsidRPr="00184700" w:rsidRDefault="008A5924" w:rsidP="008A5924">
      <w:pPr>
        <w:jc w:val="center"/>
        <w:rPr>
          <w:b/>
          <w:bCs/>
        </w:rPr>
      </w:pPr>
    </w:p>
    <w:p w14:paraId="4DEE705B" w14:textId="147E15C3" w:rsidR="008A5924" w:rsidRPr="00184700" w:rsidRDefault="008A5924" w:rsidP="008A5924">
      <w:pPr>
        <w:pStyle w:val="Descripcin"/>
        <w:keepNext/>
        <w:rPr>
          <w:b w:val="0"/>
          <w:bCs/>
        </w:rPr>
      </w:pPr>
      <w:bookmarkStart w:id="118" w:name="_Toc16242984"/>
      <w:r w:rsidRPr="0038245D">
        <w:rPr>
          <w:color w:val="000000" w:themeColor="text1"/>
        </w:rPr>
        <w:t xml:space="preserve">Gráfico  </w:t>
      </w:r>
      <w:r w:rsidRPr="0038245D">
        <w:rPr>
          <w:color w:val="000000" w:themeColor="text1"/>
        </w:rPr>
        <w:fldChar w:fldCharType="begin"/>
      </w:r>
      <w:r w:rsidRPr="0038245D">
        <w:rPr>
          <w:color w:val="000000" w:themeColor="text1"/>
        </w:rPr>
        <w:instrText xml:space="preserve"> SEQ Gráfico_ \* ARABIC </w:instrText>
      </w:r>
      <w:r w:rsidRPr="0038245D">
        <w:rPr>
          <w:color w:val="000000" w:themeColor="text1"/>
        </w:rPr>
        <w:fldChar w:fldCharType="separate"/>
      </w:r>
      <w:r w:rsidR="004B2A60">
        <w:rPr>
          <w:noProof/>
          <w:color w:val="000000" w:themeColor="text1"/>
        </w:rPr>
        <w:t>21</w:t>
      </w:r>
      <w:r w:rsidRPr="0038245D">
        <w:rPr>
          <w:noProof/>
          <w:color w:val="000000" w:themeColor="text1"/>
        </w:rPr>
        <w:fldChar w:fldCharType="end"/>
      </w:r>
      <w:r w:rsidRPr="0038245D">
        <w:rPr>
          <w:color w:val="000000" w:themeColor="text1"/>
        </w:rPr>
        <w:t>: Gasto por función de CONRED en porcentajes respecto del total devengado</w:t>
      </w:r>
      <w:bookmarkEnd w:id="118"/>
    </w:p>
    <w:p w14:paraId="4F5922C8" w14:textId="77777777" w:rsidR="008A5924" w:rsidRDefault="008A5924" w:rsidP="008A5924">
      <w:pPr>
        <w:keepNext/>
        <w:jc w:val="center"/>
        <w:rPr>
          <w:bCs/>
        </w:rPr>
      </w:pPr>
      <w:r w:rsidRPr="00184700">
        <w:rPr>
          <w:bCs/>
        </w:rPr>
        <w:t>Período 2010-2019</w:t>
      </w:r>
      <w:r w:rsidRPr="00184700">
        <w:rPr>
          <w:rStyle w:val="Refdenotaalpie"/>
          <w:bCs/>
        </w:rPr>
        <w:footnoteReference w:id="6"/>
      </w:r>
    </w:p>
    <w:p w14:paraId="299836B0" w14:textId="77777777" w:rsidR="008A700C" w:rsidRPr="00184700" w:rsidRDefault="008A700C" w:rsidP="008A5924">
      <w:pPr>
        <w:keepNext/>
        <w:jc w:val="center"/>
      </w:pPr>
    </w:p>
    <w:p w14:paraId="4F76C438" w14:textId="77777777" w:rsidR="008A5924" w:rsidRPr="00184700" w:rsidRDefault="008A5924" w:rsidP="008A5924">
      <w:pPr>
        <w:keepNext/>
        <w:jc w:val="center"/>
      </w:pPr>
      <w:r w:rsidRPr="00184700">
        <w:rPr>
          <w:noProof/>
          <w:lang w:val="es-GT" w:eastAsia="es-GT"/>
        </w:rPr>
        <w:drawing>
          <wp:inline distT="0" distB="0" distL="0" distR="0" wp14:anchorId="75E1DDBE" wp14:editId="7504BABB">
            <wp:extent cx="5838825" cy="230505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5280B9" w14:textId="77777777" w:rsidR="008A5924" w:rsidRPr="001203DD" w:rsidRDefault="0038245D" w:rsidP="006B2503">
      <w:pPr>
        <w:rPr>
          <w:sz w:val="16"/>
          <w:szCs w:val="16"/>
        </w:rPr>
      </w:pPr>
      <w:r w:rsidRPr="00625CF1">
        <w:rPr>
          <w:b/>
          <w:sz w:val="16"/>
          <w:szCs w:val="16"/>
        </w:rPr>
        <w:t xml:space="preserve">          </w:t>
      </w:r>
      <w:r w:rsidR="006B2503" w:rsidRPr="00625CF1">
        <w:rPr>
          <w:b/>
          <w:sz w:val="16"/>
          <w:szCs w:val="16"/>
        </w:rPr>
        <w:t xml:space="preserve"> </w:t>
      </w:r>
      <w:r w:rsidR="008A5924" w:rsidRPr="00625CF1">
        <w:rPr>
          <w:b/>
          <w:sz w:val="16"/>
          <w:szCs w:val="16"/>
        </w:rPr>
        <w:t>Fuente:</w:t>
      </w:r>
      <w:r w:rsidR="008A5924" w:rsidRPr="001203DD">
        <w:rPr>
          <w:sz w:val="16"/>
          <w:szCs w:val="16"/>
        </w:rPr>
        <w:t xml:space="preserve"> Dirección de Transparencia Fiscal con datos de Sicoin </w:t>
      </w:r>
    </w:p>
    <w:p w14:paraId="6A20EDA8" w14:textId="77777777" w:rsidR="008A5924" w:rsidRPr="001203DD" w:rsidRDefault="008A5924" w:rsidP="008A5924">
      <w:pPr>
        <w:jc w:val="both"/>
      </w:pPr>
    </w:p>
    <w:p w14:paraId="0C4A2591" w14:textId="77777777" w:rsidR="008A5924" w:rsidRPr="0038245D" w:rsidRDefault="008A5924" w:rsidP="008A5924">
      <w:pPr>
        <w:jc w:val="both"/>
        <w:rPr>
          <w:sz w:val="24"/>
          <w:szCs w:val="24"/>
        </w:rPr>
      </w:pPr>
      <w:r w:rsidRPr="0038245D">
        <w:rPr>
          <w:sz w:val="24"/>
          <w:szCs w:val="24"/>
        </w:rPr>
        <w:t>De manera similar se observa que las asignaciones presupuestarias para el Instituto Nacional de Sismología, Vulcanología, Meteorología e Hidrología (INSIVUME</w:t>
      </w:r>
      <w:r w:rsidR="00625CF1">
        <w:rPr>
          <w:sz w:val="24"/>
          <w:szCs w:val="24"/>
        </w:rPr>
        <w:t>H</w:t>
      </w:r>
      <w:r w:rsidRPr="0038245D">
        <w:rPr>
          <w:sz w:val="24"/>
          <w:szCs w:val="24"/>
        </w:rPr>
        <w:t>) han aumentado considerablemente en la administración actual, pasando de Q38.2 millones en 2016 a Q66.45 millones en 20</w:t>
      </w:r>
      <w:r w:rsidR="00537305" w:rsidRPr="0038245D">
        <w:rPr>
          <w:sz w:val="24"/>
          <w:szCs w:val="24"/>
        </w:rPr>
        <w:t>19, es decir, un aumento del 44 por ciento.</w:t>
      </w:r>
    </w:p>
    <w:p w14:paraId="138FF5DC" w14:textId="77777777" w:rsidR="008A5924" w:rsidRPr="00184700" w:rsidRDefault="008A5924" w:rsidP="008A5924">
      <w:pPr>
        <w:jc w:val="both"/>
      </w:pPr>
    </w:p>
    <w:p w14:paraId="14D7A5A8" w14:textId="78880042" w:rsidR="008A5924" w:rsidRPr="0038245D" w:rsidRDefault="008A5924" w:rsidP="008A5924">
      <w:pPr>
        <w:pStyle w:val="Descripcin"/>
        <w:rPr>
          <w:b w:val="0"/>
          <w:bCs/>
          <w:color w:val="000000" w:themeColor="text1"/>
        </w:rPr>
      </w:pPr>
      <w:bookmarkStart w:id="119" w:name="_Ref16172172"/>
      <w:bookmarkStart w:id="120" w:name="_Toc16242985"/>
      <w:r w:rsidRPr="0038245D">
        <w:rPr>
          <w:color w:val="000000" w:themeColor="text1"/>
        </w:rPr>
        <w:t xml:space="preserve">Gráfico  </w:t>
      </w:r>
      <w:r w:rsidRPr="0038245D">
        <w:rPr>
          <w:color w:val="000000" w:themeColor="text1"/>
        </w:rPr>
        <w:fldChar w:fldCharType="begin"/>
      </w:r>
      <w:r w:rsidRPr="0038245D">
        <w:rPr>
          <w:color w:val="000000" w:themeColor="text1"/>
        </w:rPr>
        <w:instrText xml:space="preserve"> SEQ Gráfico_ \* ARABIC </w:instrText>
      </w:r>
      <w:r w:rsidRPr="0038245D">
        <w:rPr>
          <w:color w:val="000000" w:themeColor="text1"/>
        </w:rPr>
        <w:fldChar w:fldCharType="separate"/>
      </w:r>
      <w:r w:rsidR="004B2A60">
        <w:rPr>
          <w:noProof/>
          <w:color w:val="000000" w:themeColor="text1"/>
        </w:rPr>
        <w:t>22</w:t>
      </w:r>
      <w:r w:rsidRPr="0038245D">
        <w:rPr>
          <w:noProof/>
          <w:color w:val="000000" w:themeColor="text1"/>
        </w:rPr>
        <w:fldChar w:fldCharType="end"/>
      </w:r>
      <w:bookmarkEnd w:id="119"/>
      <w:r w:rsidRPr="0038245D">
        <w:rPr>
          <w:color w:val="000000" w:themeColor="text1"/>
        </w:rPr>
        <w:t>: Asignación de presupuesto a INSIVUMEH en millones de quetzales</w:t>
      </w:r>
      <w:bookmarkEnd w:id="120"/>
    </w:p>
    <w:p w14:paraId="2FFAE25E" w14:textId="77777777" w:rsidR="008A5924" w:rsidRDefault="008A5924" w:rsidP="008A5924">
      <w:pPr>
        <w:keepNext/>
        <w:jc w:val="center"/>
        <w:rPr>
          <w:bCs/>
          <w:sz w:val="22"/>
        </w:rPr>
      </w:pPr>
      <w:r w:rsidRPr="00184700">
        <w:rPr>
          <w:bCs/>
          <w:sz w:val="22"/>
        </w:rPr>
        <w:t>Período 2009-2019</w:t>
      </w:r>
      <w:r w:rsidRPr="00184700">
        <w:rPr>
          <w:rStyle w:val="Refdenotaalpie"/>
          <w:bCs/>
        </w:rPr>
        <w:footnoteReference w:id="7"/>
      </w:r>
    </w:p>
    <w:p w14:paraId="46CAFCCD" w14:textId="77777777" w:rsidR="008A700C" w:rsidRPr="00184700" w:rsidRDefault="008A700C" w:rsidP="008A5924">
      <w:pPr>
        <w:keepNext/>
        <w:jc w:val="center"/>
      </w:pPr>
    </w:p>
    <w:p w14:paraId="74511757" w14:textId="77777777" w:rsidR="008A5924" w:rsidRPr="00184700" w:rsidRDefault="008A5924" w:rsidP="008A5924">
      <w:pPr>
        <w:keepNext/>
        <w:jc w:val="center"/>
      </w:pPr>
      <w:r w:rsidRPr="00184700">
        <w:rPr>
          <w:noProof/>
          <w:lang w:val="es-GT" w:eastAsia="es-GT"/>
        </w:rPr>
        <w:drawing>
          <wp:inline distT="0" distB="0" distL="0" distR="0" wp14:anchorId="517C89C0" wp14:editId="31BD614B">
            <wp:extent cx="4259179" cy="1564105"/>
            <wp:effectExtent l="0" t="0" r="825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F960C2" w14:textId="77777777" w:rsidR="008A5924" w:rsidRPr="00184700" w:rsidRDefault="006B2503" w:rsidP="006B2503">
      <w:pPr>
        <w:rPr>
          <w:sz w:val="16"/>
          <w:szCs w:val="16"/>
        </w:rPr>
      </w:pPr>
      <w:r>
        <w:rPr>
          <w:b/>
          <w:sz w:val="16"/>
          <w:szCs w:val="16"/>
        </w:rPr>
        <w:t xml:space="preserve">                                            </w:t>
      </w:r>
      <w:r w:rsidR="008A5924" w:rsidRPr="00184700">
        <w:rPr>
          <w:b/>
          <w:sz w:val="16"/>
          <w:szCs w:val="16"/>
        </w:rPr>
        <w:t xml:space="preserve">Fuente: </w:t>
      </w:r>
      <w:r w:rsidR="008A5924" w:rsidRPr="00184700">
        <w:rPr>
          <w:sz w:val="16"/>
          <w:szCs w:val="16"/>
        </w:rPr>
        <w:t xml:space="preserve">Dirección de Transparencia Fiscal con datos de Sicoin </w:t>
      </w:r>
    </w:p>
    <w:p w14:paraId="2B01F1EE" w14:textId="77777777" w:rsidR="008A5924" w:rsidRPr="00184700" w:rsidRDefault="008A5924" w:rsidP="008A5924">
      <w:pPr>
        <w:jc w:val="center"/>
      </w:pPr>
    </w:p>
    <w:p w14:paraId="04AB102E" w14:textId="667C4241" w:rsidR="008A5924" w:rsidRPr="0038245D" w:rsidRDefault="008A5924" w:rsidP="008A5924">
      <w:pPr>
        <w:jc w:val="both"/>
        <w:rPr>
          <w:sz w:val="24"/>
          <w:szCs w:val="24"/>
        </w:rPr>
      </w:pPr>
      <w:r w:rsidRPr="0038245D">
        <w:rPr>
          <w:sz w:val="24"/>
          <w:szCs w:val="24"/>
        </w:rPr>
        <w:t xml:space="preserve">Por otro lado, el gasto realizado por INSIVUMEH a partir del 2015 ha estado enfocado mayoritariamente a la «Gestión para la Reducción de Riesgo a Desastres», como se observa en el </w:t>
      </w:r>
      <w:r w:rsidRPr="0038245D">
        <w:rPr>
          <w:sz w:val="24"/>
          <w:szCs w:val="24"/>
          <w:highlight w:val="yellow"/>
        </w:rPr>
        <w:fldChar w:fldCharType="begin"/>
      </w:r>
      <w:r w:rsidRPr="0038245D">
        <w:rPr>
          <w:sz w:val="24"/>
          <w:szCs w:val="24"/>
        </w:rPr>
        <w:instrText xml:space="preserve"> REF _Ref16172172 \h </w:instrText>
      </w:r>
      <w:r w:rsidRPr="0038245D">
        <w:rPr>
          <w:sz w:val="24"/>
          <w:szCs w:val="24"/>
          <w:highlight w:val="yellow"/>
        </w:rPr>
        <w:instrText xml:space="preserve"> \* MERGEFORMAT </w:instrText>
      </w:r>
      <w:r w:rsidRPr="0038245D">
        <w:rPr>
          <w:sz w:val="24"/>
          <w:szCs w:val="24"/>
          <w:highlight w:val="yellow"/>
        </w:rPr>
      </w:r>
      <w:r w:rsidRPr="0038245D">
        <w:rPr>
          <w:sz w:val="24"/>
          <w:szCs w:val="24"/>
          <w:highlight w:val="yellow"/>
        </w:rPr>
        <w:fldChar w:fldCharType="separate"/>
      </w:r>
      <w:r w:rsidR="004B2A60" w:rsidRPr="004B2A60">
        <w:rPr>
          <w:sz w:val="24"/>
          <w:szCs w:val="24"/>
        </w:rPr>
        <w:t>Gráfico  22</w:t>
      </w:r>
      <w:r w:rsidRPr="0038245D">
        <w:rPr>
          <w:sz w:val="24"/>
          <w:szCs w:val="24"/>
          <w:highlight w:val="yellow"/>
        </w:rPr>
        <w:fldChar w:fldCharType="end"/>
      </w:r>
      <w:r w:rsidRPr="0038245D">
        <w:rPr>
          <w:sz w:val="24"/>
          <w:szCs w:val="24"/>
        </w:rPr>
        <w:t>.</w:t>
      </w:r>
    </w:p>
    <w:p w14:paraId="31986A96" w14:textId="77777777" w:rsidR="008A5924" w:rsidRPr="00184700" w:rsidRDefault="008A5924" w:rsidP="008A5924">
      <w:pPr>
        <w:pStyle w:val="Descripcin"/>
        <w:jc w:val="left"/>
      </w:pPr>
    </w:p>
    <w:p w14:paraId="3F3DC6F9" w14:textId="08969EB9" w:rsidR="008A5924" w:rsidRPr="008A700C" w:rsidRDefault="008A5924" w:rsidP="008A5924">
      <w:pPr>
        <w:pStyle w:val="Descripcin"/>
        <w:keepNext/>
        <w:rPr>
          <w:b w:val="0"/>
          <w:bCs/>
          <w:color w:val="000000" w:themeColor="text1"/>
        </w:rPr>
      </w:pPr>
      <w:bookmarkStart w:id="121" w:name="_Toc16242986"/>
      <w:r w:rsidRPr="008A700C">
        <w:rPr>
          <w:color w:val="000000" w:themeColor="text1"/>
        </w:rPr>
        <w:t xml:space="preserve">Gráfico  </w:t>
      </w:r>
      <w:r w:rsidRPr="008A700C">
        <w:rPr>
          <w:color w:val="000000" w:themeColor="text1"/>
        </w:rPr>
        <w:fldChar w:fldCharType="begin"/>
      </w:r>
      <w:r w:rsidRPr="008A700C">
        <w:rPr>
          <w:color w:val="000000" w:themeColor="text1"/>
        </w:rPr>
        <w:instrText xml:space="preserve"> SEQ Gráfico_ \* ARABIC </w:instrText>
      </w:r>
      <w:r w:rsidRPr="008A700C">
        <w:rPr>
          <w:color w:val="000000" w:themeColor="text1"/>
        </w:rPr>
        <w:fldChar w:fldCharType="separate"/>
      </w:r>
      <w:r w:rsidR="004B2A60">
        <w:rPr>
          <w:noProof/>
          <w:color w:val="000000" w:themeColor="text1"/>
        </w:rPr>
        <w:t>23</w:t>
      </w:r>
      <w:r w:rsidRPr="008A700C">
        <w:rPr>
          <w:noProof/>
          <w:color w:val="000000" w:themeColor="text1"/>
        </w:rPr>
        <w:fldChar w:fldCharType="end"/>
      </w:r>
      <w:r w:rsidRPr="008A700C">
        <w:rPr>
          <w:color w:val="000000" w:themeColor="text1"/>
        </w:rPr>
        <w:t>: Gasto por función de INSIVUMEH en porcentajes respecto del total devengado</w:t>
      </w:r>
      <w:bookmarkEnd w:id="121"/>
    </w:p>
    <w:p w14:paraId="40070710" w14:textId="77777777" w:rsidR="008A5924" w:rsidRPr="008A700C" w:rsidRDefault="008A5924" w:rsidP="008A5924">
      <w:pPr>
        <w:keepNext/>
        <w:jc w:val="center"/>
        <w:rPr>
          <w:bCs/>
          <w:color w:val="000000" w:themeColor="text1"/>
          <w:sz w:val="22"/>
        </w:rPr>
      </w:pPr>
      <w:r w:rsidRPr="008A700C">
        <w:rPr>
          <w:bCs/>
          <w:color w:val="000000" w:themeColor="text1"/>
          <w:sz w:val="22"/>
        </w:rPr>
        <w:t>Período 2010-2019</w:t>
      </w:r>
      <w:r w:rsidRPr="008A700C">
        <w:rPr>
          <w:rStyle w:val="Refdenotaalpie"/>
          <w:bCs/>
          <w:color w:val="000000" w:themeColor="text1"/>
          <w:sz w:val="22"/>
        </w:rPr>
        <w:footnoteReference w:id="8"/>
      </w:r>
    </w:p>
    <w:p w14:paraId="68A6CB06" w14:textId="77777777" w:rsidR="008A700C" w:rsidRPr="00184700" w:rsidRDefault="008A700C" w:rsidP="008A5924">
      <w:pPr>
        <w:keepNext/>
        <w:jc w:val="center"/>
        <w:rPr>
          <w:sz w:val="22"/>
        </w:rPr>
      </w:pPr>
    </w:p>
    <w:p w14:paraId="61C799B1" w14:textId="77777777" w:rsidR="008A5924" w:rsidRPr="00184700" w:rsidRDefault="008A5924" w:rsidP="008A5924">
      <w:pPr>
        <w:keepNext/>
        <w:jc w:val="both"/>
      </w:pPr>
      <w:r w:rsidRPr="00184700">
        <w:rPr>
          <w:noProof/>
          <w:lang w:val="es-GT" w:eastAsia="es-GT"/>
        </w:rPr>
        <w:drawing>
          <wp:inline distT="0" distB="0" distL="0" distR="0" wp14:anchorId="494A4C38" wp14:editId="425ACF3E">
            <wp:extent cx="5630779" cy="2237874"/>
            <wp:effectExtent l="0" t="0" r="825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600673" w14:textId="77777777" w:rsidR="008A5924" w:rsidRPr="001203DD" w:rsidRDefault="006B2503" w:rsidP="006B2503">
      <w:pPr>
        <w:rPr>
          <w:sz w:val="16"/>
          <w:szCs w:val="16"/>
        </w:rPr>
      </w:pPr>
      <w:r w:rsidRPr="00625CF1">
        <w:rPr>
          <w:b/>
          <w:sz w:val="16"/>
          <w:szCs w:val="16"/>
        </w:rPr>
        <w:t xml:space="preserve">     </w:t>
      </w:r>
      <w:r w:rsidR="008A5924" w:rsidRPr="00625CF1">
        <w:rPr>
          <w:b/>
          <w:sz w:val="16"/>
          <w:szCs w:val="16"/>
        </w:rPr>
        <w:t>Fuente:</w:t>
      </w:r>
      <w:r w:rsidR="008A5924" w:rsidRPr="001203DD">
        <w:rPr>
          <w:sz w:val="16"/>
          <w:szCs w:val="16"/>
        </w:rPr>
        <w:t xml:space="preserve"> Dirección de Transparencia Fiscal con datos de Sicoin </w:t>
      </w:r>
    </w:p>
    <w:p w14:paraId="1BE439E1" w14:textId="77777777" w:rsidR="008A5924" w:rsidRPr="00184700" w:rsidRDefault="008A5924" w:rsidP="008A5924">
      <w:pPr>
        <w:jc w:val="both"/>
      </w:pPr>
    </w:p>
    <w:p w14:paraId="1D8D26E3" w14:textId="77777777" w:rsidR="008A5924" w:rsidRPr="0038245D" w:rsidRDefault="008A5924" w:rsidP="008A5924">
      <w:pPr>
        <w:jc w:val="both"/>
        <w:rPr>
          <w:sz w:val="24"/>
          <w:szCs w:val="24"/>
        </w:rPr>
      </w:pPr>
      <w:r w:rsidRPr="0038245D">
        <w:rPr>
          <w:sz w:val="24"/>
          <w:szCs w:val="24"/>
        </w:rPr>
        <w:t xml:space="preserve">Estas asignaciones presupuestarias demuestran el interés del Ministerio de Finanzas Públicas por realizar un fortalecimiento institucional de CONRED e INSIVUMEH, de tal manera que exista generación y manejo de la información ante el riesgo de desastres lo que permitirá conocer mejor los fenómenos naturales, el nivel de exposición y la vulnerabilidad que presenta el país. </w:t>
      </w:r>
    </w:p>
    <w:p w14:paraId="4B198424" w14:textId="77777777" w:rsidR="008A5924" w:rsidRPr="00184700" w:rsidRDefault="008A5924" w:rsidP="008A5924">
      <w:pPr>
        <w:jc w:val="both"/>
      </w:pPr>
    </w:p>
    <w:p w14:paraId="2CEF4354" w14:textId="77777777" w:rsidR="008A5924" w:rsidRPr="0038245D" w:rsidRDefault="008A5924" w:rsidP="00DD6292">
      <w:pPr>
        <w:pStyle w:val="Ttulo4"/>
        <w:widowControl/>
        <w:numPr>
          <w:ilvl w:val="3"/>
          <w:numId w:val="5"/>
        </w:numPr>
        <w:spacing w:before="240" w:after="60"/>
        <w:jc w:val="both"/>
        <w:rPr>
          <w:sz w:val="24"/>
          <w:szCs w:val="24"/>
        </w:rPr>
      </w:pPr>
      <w:bookmarkStart w:id="122" w:name="_Toc16519900"/>
      <w:r w:rsidRPr="0038245D">
        <w:rPr>
          <w:sz w:val="24"/>
          <w:szCs w:val="24"/>
        </w:rPr>
        <w:t>Gestión Financiera ante el Riesgo de Desastres</w:t>
      </w:r>
      <w:bookmarkEnd w:id="122"/>
    </w:p>
    <w:p w14:paraId="71F6B6B8" w14:textId="77777777" w:rsidR="008A5924" w:rsidRPr="0038245D" w:rsidRDefault="008A5924" w:rsidP="008A5924">
      <w:pPr>
        <w:jc w:val="both"/>
        <w:rPr>
          <w:sz w:val="24"/>
          <w:szCs w:val="24"/>
        </w:rPr>
      </w:pPr>
    </w:p>
    <w:p w14:paraId="20CC9C71" w14:textId="77777777" w:rsidR="008A5924" w:rsidRPr="0038245D" w:rsidRDefault="008A5924" w:rsidP="008A5924">
      <w:pPr>
        <w:jc w:val="both"/>
        <w:rPr>
          <w:sz w:val="24"/>
          <w:szCs w:val="24"/>
        </w:rPr>
      </w:pPr>
      <w:r w:rsidRPr="0038245D">
        <w:rPr>
          <w:sz w:val="24"/>
          <w:szCs w:val="24"/>
        </w:rPr>
        <w:t>La Estrategia Financiera Ante el Riesgo de Desastre identifica claramente los siguientes instrumentos financieros:</w:t>
      </w:r>
    </w:p>
    <w:p w14:paraId="649A6E98" w14:textId="77777777" w:rsidR="008A5924" w:rsidRPr="0038245D" w:rsidRDefault="008A5924" w:rsidP="008A5924">
      <w:pPr>
        <w:jc w:val="both"/>
        <w:rPr>
          <w:sz w:val="24"/>
          <w:szCs w:val="24"/>
        </w:rPr>
      </w:pPr>
    </w:p>
    <w:p w14:paraId="1391AB5E" w14:textId="77777777" w:rsidR="008A5924" w:rsidRPr="0038245D" w:rsidRDefault="008A5924" w:rsidP="00DD6292">
      <w:pPr>
        <w:pStyle w:val="Prrafodelista"/>
        <w:widowControl/>
        <w:numPr>
          <w:ilvl w:val="0"/>
          <w:numId w:val="7"/>
        </w:numPr>
        <w:spacing w:after="160" w:line="259" w:lineRule="auto"/>
        <w:jc w:val="both"/>
        <w:rPr>
          <w:sz w:val="24"/>
          <w:szCs w:val="24"/>
        </w:rPr>
      </w:pPr>
      <w:r w:rsidRPr="0038245D">
        <w:rPr>
          <w:sz w:val="24"/>
          <w:szCs w:val="24"/>
        </w:rPr>
        <w:t>Presupuesto para la atención de emergencias recurrentes</w:t>
      </w:r>
    </w:p>
    <w:p w14:paraId="5667E913" w14:textId="77777777" w:rsidR="008A5924" w:rsidRPr="0038245D" w:rsidRDefault="008A5924" w:rsidP="00DD6292">
      <w:pPr>
        <w:pStyle w:val="Prrafodelista"/>
        <w:widowControl/>
        <w:numPr>
          <w:ilvl w:val="0"/>
          <w:numId w:val="7"/>
        </w:numPr>
        <w:spacing w:after="160" w:line="259" w:lineRule="auto"/>
        <w:jc w:val="both"/>
        <w:rPr>
          <w:sz w:val="24"/>
          <w:szCs w:val="24"/>
        </w:rPr>
      </w:pPr>
      <w:r w:rsidRPr="0038245D">
        <w:rPr>
          <w:sz w:val="24"/>
          <w:szCs w:val="24"/>
        </w:rPr>
        <w:t xml:space="preserve">Fondo para la atención de emergencias que excedan el principio de subsidiariedad </w:t>
      </w:r>
    </w:p>
    <w:p w14:paraId="6B655305" w14:textId="77777777" w:rsidR="008A5924" w:rsidRPr="0038245D" w:rsidRDefault="008A5924" w:rsidP="00DD6292">
      <w:pPr>
        <w:pStyle w:val="Prrafodelista"/>
        <w:widowControl/>
        <w:numPr>
          <w:ilvl w:val="0"/>
          <w:numId w:val="7"/>
        </w:numPr>
        <w:spacing w:after="160" w:line="259" w:lineRule="auto"/>
        <w:jc w:val="both"/>
        <w:rPr>
          <w:sz w:val="24"/>
          <w:szCs w:val="24"/>
        </w:rPr>
      </w:pPr>
      <w:r w:rsidRPr="0038245D">
        <w:rPr>
          <w:sz w:val="24"/>
          <w:szCs w:val="24"/>
        </w:rPr>
        <w:t>Seguros paramétricos que provean liquidez inmediata</w:t>
      </w:r>
    </w:p>
    <w:p w14:paraId="292ECDD8" w14:textId="77777777" w:rsidR="008A5924" w:rsidRPr="0038245D" w:rsidRDefault="008A5924" w:rsidP="00DD6292">
      <w:pPr>
        <w:pStyle w:val="Prrafodelista"/>
        <w:widowControl/>
        <w:numPr>
          <w:ilvl w:val="0"/>
          <w:numId w:val="7"/>
        </w:numPr>
        <w:spacing w:after="160" w:line="259" w:lineRule="auto"/>
        <w:jc w:val="both"/>
        <w:rPr>
          <w:sz w:val="24"/>
          <w:szCs w:val="24"/>
        </w:rPr>
      </w:pPr>
      <w:r w:rsidRPr="0038245D">
        <w:rPr>
          <w:sz w:val="24"/>
          <w:szCs w:val="24"/>
        </w:rPr>
        <w:t>Líneas de Crédito contingente</w:t>
      </w:r>
    </w:p>
    <w:p w14:paraId="039BA805" w14:textId="77777777" w:rsidR="008A5924" w:rsidRPr="0038245D" w:rsidRDefault="008A5924" w:rsidP="00DD6292">
      <w:pPr>
        <w:pStyle w:val="Prrafodelista"/>
        <w:widowControl/>
        <w:numPr>
          <w:ilvl w:val="0"/>
          <w:numId w:val="7"/>
        </w:numPr>
        <w:spacing w:after="160" w:line="259" w:lineRule="auto"/>
        <w:jc w:val="both"/>
        <w:rPr>
          <w:sz w:val="24"/>
          <w:szCs w:val="24"/>
        </w:rPr>
      </w:pPr>
      <w:r w:rsidRPr="0038245D">
        <w:rPr>
          <w:sz w:val="24"/>
          <w:szCs w:val="24"/>
        </w:rPr>
        <w:t>Fondo de Estabilización Fiscal</w:t>
      </w:r>
    </w:p>
    <w:p w14:paraId="05898569" w14:textId="77777777" w:rsidR="008A5924" w:rsidRPr="0038245D" w:rsidRDefault="008A5924" w:rsidP="00DD6292">
      <w:pPr>
        <w:pStyle w:val="Prrafodelista"/>
        <w:widowControl/>
        <w:numPr>
          <w:ilvl w:val="0"/>
          <w:numId w:val="7"/>
        </w:numPr>
        <w:spacing w:after="160" w:line="259" w:lineRule="auto"/>
        <w:jc w:val="both"/>
        <w:rPr>
          <w:sz w:val="24"/>
          <w:szCs w:val="24"/>
        </w:rPr>
      </w:pPr>
      <w:r w:rsidRPr="0038245D">
        <w:rPr>
          <w:sz w:val="24"/>
          <w:szCs w:val="24"/>
        </w:rPr>
        <w:t>Créditos post desastre para reconstrucción</w:t>
      </w:r>
    </w:p>
    <w:p w14:paraId="07CFCC76" w14:textId="77777777" w:rsidR="008A5924" w:rsidRPr="0038245D" w:rsidRDefault="008A5924" w:rsidP="00DD6292">
      <w:pPr>
        <w:pStyle w:val="Prrafodelista"/>
        <w:widowControl/>
        <w:numPr>
          <w:ilvl w:val="0"/>
          <w:numId w:val="7"/>
        </w:numPr>
        <w:spacing w:after="160" w:line="259" w:lineRule="auto"/>
        <w:jc w:val="both"/>
        <w:rPr>
          <w:sz w:val="24"/>
          <w:szCs w:val="24"/>
        </w:rPr>
      </w:pPr>
      <w:r w:rsidRPr="0038245D">
        <w:rPr>
          <w:sz w:val="24"/>
          <w:szCs w:val="24"/>
        </w:rPr>
        <w:t>Otros instrumentos de transferencia del riesgo (Aseguramiento de bienes públicos estratégicos, como puestos, aeropuertos, etc)</w:t>
      </w:r>
    </w:p>
    <w:p w14:paraId="49E39100" w14:textId="77777777" w:rsidR="008A5924" w:rsidRPr="00184700" w:rsidRDefault="008A5924" w:rsidP="008A5924">
      <w:pPr>
        <w:jc w:val="both"/>
      </w:pPr>
      <w:r w:rsidRPr="0038245D">
        <w:rPr>
          <w:sz w:val="24"/>
          <w:szCs w:val="24"/>
        </w:rPr>
        <w:t>De los anteriormente mencionados, el Ministerio de Finanzas Públicas ha trabajado en el ejercicio fiscal 2019 en la contratación de un seguro paramétrico y líneas de crédito contingente.</w:t>
      </w:r>
      <w:r w:rsidRPr="00184700">
        <w:t xml:space="preserve"> </w:t>
      </w:r>
    </w:p>
    <w:p w14:paraId="3A3E8770" w14:textId="77777777" w:rsidR="008A5924" w:rsidRPr="0038245D" w:rsidRDefault="008A5924" w:rsidP="00DD6292">
      <w:pPr>
        <w:pStyle w:val="Ttulo5"/>
        <w:widowControl/>
        <w:numPr>
          <w:ilvl w:val="4"/>
          <w:numId w:val="5"/>
        </w:numPr>
        <w:spacing w:before="240" w:after="60"/>
        <w:jc w:val="both"/>
        <w:rPr>
          <w:color w:val="000000" w:themeColor="text1"/>
          <w:sz w:val="24"/>
          <w:szCs w:val="24"/>
        </w:rPr>
      </w:pPr>
      <w:bookmarkStart w:id="123" w:name="_Toc16519901"/>
      <w:r w:rsidRPr="0038245D">
        <w:rPr>
          <w:color w:val="000000" w:themeColor="text1"/>
          <w:sz w:val="24"/>
          <w:szCs w:val="24"/>
        </w:rPr>
        <w:t>Seguro paramétrico</w:t>
      </w:r>
      <w:bookmarkEnd w:id="123"/>
    </w:p>
    <w:p w14:paraId="0BDEB6BF" w14:textId="77777777" w:rsidR="008A5924" w:rsidRPr="0038245D" w:rsidRDefault="008A5924" w:rsidP="008A5924">
      <w:pPr>
        <w:jc w:val="both"/>
        <w:rPr>
          <w:sz w:val="24"/>
          <w:szCs w:val="24"/>
        </w:rPr>
      </w:pPr>
      <w:r w:rsidRPr="0038245D">
        <w:rPr>
          <w:sz w:val="24"/>
          <w:szCs w:val="24"/>
        </w:rPr>
        <w:t xml:space="preserve">Los seguros paramétricos, también denominados no tradicionales, son instrumentos financieros que se activan al momento de cumplirse ciertos lineamientos (parámetros) establecidos en un documento legal, denominado «Póliza de cobertura». Una de sus principales ventajas respecto a un seguro tradicional es que son de rápido desembolso, esto debido a que no requieren de la intervención de ajustadores y sus pagos están en función de los parámetros establecidos en la póliza de cobertura. </w:t>
      </w:r>
    </w:p>
    <w:p w14:paraId="7A1575CE" w14:textId="77777777" w:rsidR="008A5924" w:rsidRPr="0038245D" w:rsidRDefault="008A5924" w:rsidP="008A5924">
      <w:pPr>
        <w:jc w:val="both"/>
        <w:rPr>
          <w:sz w:val="24"/>
          <w:szCs w:val="24"/>
        </w:rPr>
      </w:pPr>
    </w:p>
    <w:p w14:paraId="2455576C" w14:textId="77777777" w:rsidR="008A5924" w:rsidRPr="0038245D" w:rsidRDefault="008A5924" w:rsidP="008A5924">
      <w:pPr>
        <w:jc w:val="both"/>
        <w:rPr>
          <w:sz w:val="24"/>
          <w:szCs w:val="24"/>
        </w:rPr>
      </w:pPr>
      <w:r w:rsidRPr="0038245D">
        <w:rPr>
          <w:sz w:val="24"/>
          <w:szCs w:val="24"/>
        </w:rPr>
        <w:t>E</w:t>
      </w:r>
      <w:r w:rsidR="006B2503" w:rsidRPr="0038245D">
        <w:rPr>
          <w:sz w:val="24"/>
          <w:szCs w:val="24"/>
        </w:rPr>
        <w:t xml:space="preserve">n el caso de las islas del </w:t>
      </w:r>
      <w:r w:rsidRPr="0038245D">
        <w:rPr>
          <w:sz w:val="24"/>
          <w:szCs w:val="24"/>
        </w:rPr>
        <w:t xml:space="preserve">Caribe, se ha estableció un fondo de riesgo multipaís en 2007 (el primero en el mundo) llamado </w:t>
      </w:r>
      <w:r w:rsidRPr="0038245D">
        <w:rPr>
          <w:i/>
          <w:iCs/>
          <w:sz w:val="24"/>
          <w:szCs w:val="24"/>
        </w:rPr>
        <w:t>Carribean Catastrophe Risk Insurance Facility</w:t>
      </w:r>
      <w:r w:rsidRPr="0038245D">
        <w:rPr>
          <w:sz w:val="24"/>
          <w:szCs w:val="24"/>
        </w:rPr>
        <w:t xml:space="preserve">  (CCRIF) , mismo que se constituye como  una empresa registrada y operada en el Caribe, que posteriormente se convierte en una empresa de portafolio segregado denominado CCRIF SPC. La empresa CCRIF SPC ofrece productos de aseguramiento paramétrico para huracanes, terremotos y exceso de lluvia. En 2015 CCRIF SPC firma un acuerdo con COSEFIN para permitir la entrada formal de los países de Centroamérica al fondo de riesgo multipaís. </w:t>
      </w:r>
    </w:p>
    <w:p w14:paraId="7907A02D" w14:textId="77777777" w:rsidR="008A5924" w:rsidRPr="0038245D" w:rsidRDefault="008A5924" w:rsidP="008A5924">
      <w:pPr>
        <w:jc w:val="both"/>
        <w:rPr>
          <w:sz w:val="24"/>
          <w:szCs w:val="24"/>
        </w:rPr>
      </w:pPr>
    </w:p>
    <w:p w14:paraId="3498C54D" w14:textId="2F03F73B" w:rsidR="008A5924" w:rsidRPr="0038245D" w:rsidRDefault="008A5924" w:rsidP="008A5924">
      <w:pPr>
        <w:jc w:val="both"/>
        <w:rPr>
          <w:sz w:val="24"/>
          <w:szCs w:val="24"/>
        </w:rPr>
      </w:pPr>
      <w:r w:rsidRPr="0038245D">
        <w:rPr>
          <w:sz w:val="24"/>
          <w:szCs w:val="24"/>
        </w:rPr>
        <w:t xml:space="preserve">De esa cuenta, y con el afán de incorporar nuevos instrumentos financieros a la cartera financiera del país, el Ministerio de Finanzas Públicas comienza las negociaciones para la incorporación del país al CCRIF SPC, como miembro del fondo de riesgo. Basado en las estadísticas del </w:t>
      </w:r>
      <w:r w:rsidRPr="0038245D">
        <w:rPr>
          <w:sz w:val="24"/>
          <w:szCs w:val="24"/>
        </w:rPr>
        <w:fldChar w:fldCharType="begin"/>
      </w:r>
      <w:r w:rsidRPr="0038245D">
        <w:rPr>
          <w:sz w:val="24"/>
          <w:szCs w:val="24"/>
        </w:rPr>
        <w:instrText xml:space="preserve"> REF _Ref16174560 \h  \* MERGEFORMAT </w:instrText>
      </w:r>
      <w:r w:rsidRPr="0038245D">
        <w:rPr>
          <w:sz w:val="24"/>
          <w:szCs w:val="24"/>
        </w:rPr>
      </w:r>
      <w:r w:rsidRPr="0038245D">
        <w:rPr>
          <w:sz w:val="24"/>
          <w:szCs w:val="24"/>
        </w:rPr>
        <w:fldChar w:fldCharType="separate"/>
      </w:r>
      <w:r w:rsidR="004B2A60" w:rsidRPr="004B2A60">
        <w:rPr>
          <w:sz w:val="24"/>
          <w:szCs w:val="24"/>
        </w:rPr>
        <w:t xml:space="preserve">Gráfico  </w:t>
      </w:r>
      <w:r w:rsidR="004B2A60" w:rsidRPr="004B2A60">
        <w:rPr>
          <w:noProof/>
          <w:sz w:val="24"/>
          <w:szCs w:val="24"/>
        </w:rPr>
        <w:t>19</w:t>
      </w:r>
      <w:r w:rsidRPr="0038245D">
        <w:rPr>
          <w:sz w:val="24"/>
          <w:szCs w:val="24"/>
        </w:rPr>
        <w:fldChar w:fldCharType="end"/>
      </w:r>
      <w:r w:rsidRPr="0038245D">
        <w:rPr>
          <w:sz w:val="24"/>
          <w:szCs w:val="24"/>
        </w:rPr>
        <w:t xml:space="preserve">, el Ministerio de Finanzas Públicas muestra interés en adquirir un seguro paramétrico contra el exceso de lluvia. Las negociaciones se extienden desde el 2016 hasta el 2019, año en que Guatemala se adhiere al CCRIF SPC, con el apoyo del Banco Mundial, entidad que cubre el pago de la cuota de participación. En dichas negociaciones se toma en cuenta a las instituciones técnicas-científicas del país en materia de reducción de riesgo (CONRED) y modelos climáticos (INSIVUMEH). </w:t>
      </w:r>
    </w:p>
    <w:p w14:paraId="63D5E4A0" w14:textId="77777777" w:rsidR="008A5924" w:rsidRPr="0038245D" w:rsidRDefault="008A5924" w:rsidP="008A5924">
      <w:pPr>
        <w:jc w:val="both"/>
        <w:rPr>
          <w:sz w:val="24"/>
          <w:szCs w:val="24"/>
        </w:rPr>
      </w:pPr>
    </w:p>
    <w:p w14:paraId="1FB0BD2C" w14:textId="77777777" w:rsidR="008A5924" w:rsidRPr="0038245D" w:rsidRDefault="008A5924" w:rsidP="008A5924">
      <w:pPr>
        <w:jc w:val="both"/>
        <w:rPr>
          <w:sz w:val="24"/>
          <w:szCs w:val="24"/>
        </w:rPr>
      </w:pPr>
      <w:r w:rsidRPr="0038245D">
        <w:rPr>
          <w:sz w:val="24"/>
          <w:szCs w:val="24"/>
        </w:rPr>
        <w:t>Para la adquisición de la cobertura, el Ministerio de Finanzas Públicas fija los siguientes parámetros para la contratación de la póliza de cobertura:</w:t>
      </w:r>
    </w:p>
    <w:p w14:paraId="5A55FBCD" w14:textId="77777777" w:rsidR="008A5924" w:rsidRPr="0038245D" w:rsidRDefault="008A5924" w:rsidP="008A5924">
      <w:pPr>
        <w:jc w:val="both"/>
        <w:rPr>
          <w:sz w:val="24"/>
          <w:szCs w:val="24"/>
        </w:rPr>
      </w:pPr>
    </w:p>
    <w:p w14:paraId="2FA9D7DE" w14:textId="77777777" w:rsidR="008A5924" w:rsidRPr="0038245D" w:rsidRDefault="008A5924" w:rsidP="00DD6292">
      <w:pPr>
        <w:pStyle w:val="Prrafodelista"/>
        <w:widowControl/>
        <w:numPr>
          <w:ilvl w:val="0"/>
          <w:numId w:val="8"/>
        </w:numPr>
        <w:spacing w:after="160" w:line="259" w:lineRule="auto"/>
        <w:jc w:val="both"/>
        <w:rPr>
          <w:sz w:val="24"/>
          <w:szCs w:val="24"/>
        </w:rPr>
      </w:pPr>
      <w:r w:rsidRPr="0038245D">
        <w:rPr>
          <w:sz w:val="24"/>
          <w:szCs w:val="24"/>
        </w:rPr>
        <w:t>Período de retorno del deducible: 5 años</w:t>
      </w:r>
    </w:p>
    <w:p w14:paraId="21CB24CF" w14:textId="77777777" w:rsidR="008A5924" w:rsidRPr="0038245D" w:rsidRDefault="00537305" w:rsidP="00DD6292">
      <w:pPr>
        <w:pStyle w:val="Prrafodelista"/>
        <w:widowControl/>
        <w:numPr>
          <w:ilvl w:val="0"/>
          <w:numId w:val="8"/>
        </w:numPr>
        <w:spacing w:after="160" w:line="259" w:lineRule="auto"/>
        <w:jc w:val="both"/>
        <w:rPr>
          <w:sz w:val="24"/>
          <w:szCs w:val="24"/>
        </w:rPr>
      </w:pPr>
      <w:r w:rsidRPr="0038245D">
        <w:rPr>
          <w:sz w:val="24"/>
          <w:szCs w:val="24"/>
        </w:rPr>
        <w:t>Porcentaje de cesión: 3.564 por ciento</w:t>
      </w:r>
    </w:p>
    <w:p w14:paraId="094FE5C8" w14:textId="77777777" w:rsidR="008A5924" w:rsidRPr="0038245D" w:rsidRDefault="008A5924" w:rsidP="00DD6292">
      <w:pPr>
        <w:pStyle w:val="Prrafodelista"/>
        <w:widowControl/>
        <w:numPr>
          <w:ilvl w:val="0"/>
          <w:numId w:val="8"/>
        </w:numPr>
        <w:spacing w:after="160" w:line="259" w:lineRule="auto"/>
        <w:jc w:val="both"/>
        <w:rPr>
          <w:sz w:val="24"/>
          <w:szCs w:val="24"/>
        </w:rPr>
      </w:pPr>
      <w:r w:rsidRPr="0038245D">
        <w:rPr>
          <w:sz w:val="24"/>
          <w:szCs w:val="24"/>
        </w:rPr>
        <w:t>Cobertura máxima: Q35 millones</w:t>
      </w:r>
    </w:p>
    <w:p w14:paraId="592ECF32" w14:textId="77777777" w:rsidR="008A5924" w:rsidRPr="0038245D" w:rsidRDefault="008A5924" w:rsidP="008A5924">
      <w:pPr>
        <w:jc w:val="both"/>
        <w:rPr>
          <w:sz w:val="24"/>
          <w:szCs w:val="24"/>
        </w:rPr>
      </w:pPr>
      <w:r w:rsidRPr="0038245D">
        <w:rPr>
          <w:sz w:val="24"/>
          <w:szCs w:val="24"/>
        </w:rPr>
        <w:t xml:space="preserve">Según la cédula de la póliza de cobertura, el seguro paramétrico se podría activar al tener 63mm de lluvia en 24 horas o 97.5mm en 72 horas en </w:t>
      </w:r>
      <w:r w:rsidR="00537305" w:rsidRPr="0038245D">
        <w:rPr>
          <w:sz w:val="24"/>
          <w:szCs w:val="24"/>
        </w:rPr>
        <w:t>el 10 por ciento</w:t>
      </w:r>
      <w:r w:rsidRPr="0038245D">
        <w:rPr>
          <w:sz w:val="24"/>
          <w:szCs w:val="24"/>
        </w:rPr>
        <w:t xml:space="preserve"> de las celdas con valor de exposición determinadas en la póliza. </w:t>
      </w:r>
    </w:p>
    <w:p w14:paraId="73CF8B13" w14:textId="77777777" w:rsidR="008A5924" w:rsidRPr="0038245D" w:rsidRDefault="008A5924" w:rsidP="008A5924">
      <w:pPr>
        <w:jc w:val="both"/>
        <w:rPr>
          <w:sz w:val="24"/>
          <w:szCs w:val="24"/>
        </w:rPr>
      </w:pPr>
    </w:p>
    <w:p w14:paraId="7C1756E7" w14:textId="77777777" w:rsidR="008A5924" w:rsidRPr="0038245D" w:rsidRDefault="008A5924" w:rsidP="00DD6292">
      <w:pPr>
        <w:pStyle w:val="Ttulo5"/>
        <w:widowControl/>
        <w:numPr>
          <w:ilvl w:val="4"/>
          <w:numId w:val="5"/>
        </w:numPr>
        <w:spacing w:before="240" w:after="60"/>
        <w:jc w:val="both"/>
        <w:rPr>
          <w:color w:val="000000" w:themeColor="text1"/>
          <w:sz w:val="24"/>
          <w:szCs w:val="24"/>
        </w:rPr>
      </w:pPr>
      <w:bookmarkStart w:id="124" w:name="_Toc16519902"/>
      <w:r w:rsidRPr="0038245D">
        <w:rPr>
          <w:color w:val="000000" w:themeColor="text1"/>
          <w:sz w:val="24"/>
          <w:szCs w:val="24"/>
        </w:rPr>
        <w:t>Préstamo con desembolso diferido</w:t>
      </w:r>
      <w:bookmarkEnd w:id="124"/>
    </w:p>
    <w:p w14:paraId="266DD7A0" w14:textId="77777777" w:rsidR="008A5924" w:rsidRPr="0038245D" w:rsidRDefault="008A5924" w:rsidP="008A5924">
      <w:pPr>
        <w:keepNext/>
        <w:rPr>
          <w:sz w:val="24"/>
          <w:szCs w:val="24"/>
          <w:lang w:val="es-MX"/>
        </w:rPr>
      </w:pPr>
    </w:p>
    <w:p w14:paraId="5EF5EAC4" w14:textId="77777777" w:rsidR="008A5924" w:rsidRPr="0038245D" w:rsidRDefault="008A5924" w:rsidP="008A5924">
      <w:pPr>
        <w:jc w:val="both"/>
        <w:rPr>
          <w:sz w:val="24"/>
          <w:szCs w:val="24"/>
        </w:rPr>
      </w:pPr>
      <w:r w:rsidRPr="0038245D">
        <w:rPr>
          <w:sz w:val="24"/>
          <w:szCs w:val="24"/>
        </w:rPr>
        <w:t xml:space="preserve">Los préstamos con desembolso en diferido son opciones que ponen a disposición algunos organismos internacionales como el Banco Mundial o la Agencia de Cooperación Internacional del Japón (JICA). En el caso del Banco Mundial pone </w:t>
      </w:r>
      <w:r w:rsidR="00537305" w:rsidRPr="0038245D">
        <w:rPr>
          <w:sz w:val="24"/>
          <w:szCs w:val="24"/>
        </w:rPr>
        <w:t xml:space="preserve">a disposición de los países un </w:t>
      </w:r>
      <w:r w:rsidRPr="0038245D">
        <w:rPr>
          <w:sz w:val="24"/>
          <w:szCs w:val="24"/>
        </w:rPr>
        <w:t xml:space="preserve">préstamo para Políticas de Desarrollo sobre Gestión del Riesgo de Desastres, que es de gran utilidad para aumentar la capacidad para movilizar recursos financieros rápidamente luego de desastres derivados de fenómenos naturales o de emergencia de salud. </w:t>
      </w:r>
    </w:p>
    <w:p w14:paraId="1B3C52A6" w14:textId="77777777" w:rsidR="008A5924" w:rsidRPr="0038245D" w:rsidRDefault="008A5924" w:rsidP="008A5924">
      <w:pPr>
        <w:jc w:val="both"/>
        <w:rPr>
          <w:sz w:val="24"/>
          <w:szCs w:val="24"/>
        </w:rPr>
      </w:pPr>
    </w:p>
    <w:p w14:paraId="743B5DED" w14:textId="77777777" w:rsidR="008A5924" w:rsidRPr="0038245D" w:rsidRDefault="008A5924" w:rsidP="008A5924">
      <w:pPr>
        <w:jc w:val="both"/>
        <w:rPr>
          <w:sz w:val="24"/>
          <w:szCs w:val="24"/>
        </w:rPr>
      </w:pPr>
      <w:r w:rsidRPr="0038245D">
        <w:rPr>
          <w:sz w:val="24"/>
          <w:szCs w:val="24"/>
        </w:rPr>
        <w:t>En el caso de Guatemala, se ha negociado</w:t>
      </w:r>
      <w:r w:rsidR="003C2F1C">
        <w:rPr>
          <w:sz w:val="24"/>
          <w:szCs w:val="24"/>
        </w:rPr>
        <w:t xml:space="preserve"> </w:t>
      </w:r>
      <w:r w:rsidRPr="0038245D">
        <w:rPr>
          <w:sz w:val="24"/>
          <w:szCs w:val="24"/>
        </w:rPr>
        <w:t>un segundo préstamo para políticas de desarrollo para la gestión de riesgos de desastres por un monto de US$200 millones</w:t>
      </w:r>
      <w:r w:rsidR="003C2F1C" w:rsidRPr="0038245D">
        <w:rPr>
          <w:rStyle w:val="Refdenotaalpie"/>
          <w:sz w:val="24"/>
          <w:szCs w:val="24"/>
        </w:rPr>
        <w:footnoteReference w:id="9"/>
      </w:r>
      <w:r w:rsidRPr="0038245D">
        <w:rPr>
          <w:sz w:val="24"/>
          <w:szCs w:val="24"/>
        </w:rPr>
        <w:t xml:space="preserve">. Este préstamo cuenta con la opción de desembolso diferido ante catástrofes (CAT DDO, por sus siglas en inglés) y su activación y desembolso dependería únicamente de una declaratoria oficial de calamidad pública por parte del Estado de Guatemala. </w:t>
      </w:r>
    </w:p>
    <w:p w14:paraId="248F5312" w14:textId="77777777" w:rsidR="008A5924" w:rsidRPr="0038245D" w:rsidRDefault="008A5924" w:rsidP="008A5924">
      <w:pPr>
        <w:jc w:val="both"/>
        <w:rPr>
          <w:sz w:val="24"/>
          <w:szCs w:val="24"/>
        </w:rPr>
      </w:pPr>
    </w:p>
    <w:p w14:paraId="2972AAB0" w14:textId="77777777" w:rsidR="008A5924" w:rsidRPr="0038245D" w:rsidRDefault="008A5924" w:rsidP="008A5924">
      <w:pPr>
        <w:jc w:val="both"/>
        <w:rPr>
          <w:sz w:val="24"/>
          <w:szCs w:val="24"/>
        </w:rPr>
      </w:pPr>
      <w:r w:rsidRPr="0038245D">
        <w:rPr>
          <w:sz w:val="24"/>
          <w:szCs w:val="24"/>
        </w:rPr>
        <w:t xml:space="preserve">El CAT DDO se negocia como parte de la implementación de la Estrategia Financiera Ante el Riesgo de Desastre, según lo establece la línea estratégica número 2 y tienen un vencimiento final de 25 años, incluido el período de gracia por 10 años. </w:t>
      </w:r>
    </w:p>
    <w:p w14:paraId="2F0AF0EA" w14:textId="77777777" w:rsidR="008A5924" w:rsidRPr="0038245D" w:rsidRDefault="008A5924" w:rsidP="008A5924">
      <w:pPr>
        <w:jc w:val="both"/>
        <w:rPr>
          <w:sz w:val="24"/>
          <w:szCs w:val="24"/>
        </w:rPr>
      </w:pPr>
    </w:p>
    <w:p w14:paraId="51C905B7" w14:textId="77777777" w:rsidR="008A5924" w:rsidRPr="0038245D" w:rsidRDefault="008A5924" w:rsidP="00DD6292">
      <w:pPr>
        <w:pStyle w:val="Ttulo3"/>
        <w:widowControl/>
        <w:numPr>
          <w:ilvl w:val="2"/>
          <w:numId w:val="5"/>
        </w:numPr>
        <w:spacing w:before="240" w:after="60"/>
        <w:ind w:left="1701" w:hanging="981"/>
        <w:jc w:val="both"/>
        <w:rPr>
          <w:sz w:val="24"/>
          <w:szCs w:val="24"/>
        </w:rPr>
      </w:pPr>
      <w:bookmarkStart w:id="125" w:name="_Toc16519903"/>
      <w:r w:rsidRPr="0038245D">
        <w:rPr>
          <w:sz w:val="24"/>
          <w:szCs w:val="24"/>
        </w:rPr>
        <w:t>Ahorros potenciales derivado de la incorporación de los nuevos instrumentos financieros</w:t>
      </w:r>
      <w:bookmarkEnd w:id="125"/>
    </w:p>
    <w:p w14:paraId="27ED2CFA" w14:textId="77777777" w:rsidR="008A5924" w:rsidRPr="0038245D" w:rsidRDefault="008A5924" w:rsidP="008A5924">
      <w:pPr>
        <w:rPr>
          <w:sz w:val="24"/>
          <w:szCs w:val="24"/>
          <w:lang w:val="es-MX"/>
        </w:rPr>
      </w:pPr>
    </w:p>
    <w:p w14:paraId="50E33116" w14:textId="77777777" w:rsidR="008A5924" w:rsidRPr="0038245D" w:rsidRDefault="008A5924" w:rsidP="00C06929">
      <w:pPr>
        <w:jc w:val="both"/>
        <w:rPr>
          <w:sz w:val="24"/>
          <w:szCs w:val="24"/>
        </w:rPr>
      </w:pPr>
      <w:r w:rsidRPr="0038245D">
        <w:rPr>
          <w:sz w:val="24"/>
          <w:szCs w:val="24"/>
        </w:rPr>
        <w:t>Para evaluar los potenciales ahorros derivados de la implem</w:t>
      </w:r>
      <w:r w:rsidR="00C06929">
        <w:rPr>
          <w:sz w:val="24"/>
          <w:szCs w:val="24"/>
        </w:rPr>
        <w:t xml:space="preserve">entación de nuevos instrumentos </w:t>
      </w:r>
      <w:r w:rsidRPr="0038245D">
        <w:rPr>
          <w:sz w:val="24"/>
          <w:szCs w:val="24"/>
        </w:rPr>
        <w:t>financieros según lo plantea la Estrategia Financiera Ante el Rie</w:t>
      </w:r>
      <w:r w:rsidR="00C06929">
        <w:rPr>
          <w:sz w:val="24"/>
          <w:szCs w:val="24"/>
        </w:rPr>
        <w:t xml:space="preserve">sgo de Desastres se propone las </w:t>
      </w:r>
      <w:r w:rsidRPr="0038245D">
        <w:rPr>
          <w:sz w:val="24"/>
          <w:szCs w:val="24"/>
        </w:rPr>
        <w:t>siguientes ecuaciones matemáticas.</w:t>
      </w:r>
    </w:p>
    <w:p w14:paraId="36DEF0A9" w14:textId="77777777" w:rsidR="008A5924" w:rsidRPr="0038245D" w:rsidRDefault="008A5924" w:rsidP="00C06929">
      <w:pPr>
        <w:jc w:val="both"/>
        <w:rPr>
          <w:sz w:val="24"/>
          <w:szCs w:val="24"/>
        </w:rPr>
      </w:pPr>
    </w:p>
    <w:p w14:paraId="21C34ACE" w14:textId="77777777" w:rsidR="008A5924" w:rsidRPr="0038245D" w:rsidRDefault="008A5924" w:rsidP="00DD6292">
      <w:pPr>
        <w:pStyle w:val="Prrafodelista"/>
        <w:widowControl/>
        <w:numPr>
          <w:ilvl w:val="0"/>
          <w:numId w:val="9"/>
        </w:numPr>
        <w:spacing w:after="160" w:line="259" w:lineRule="auto"/>
        <w:rPr>
          <w:sz w:val="24"/>
          <w:szCs w:val="24"/>
        </w:rPr>
      </w:pPr>
      <w:r w:rsidRPr="0038245D">
        <w:rPr>
          <w:sz w:val="24"/>
          <w:szCs w:val="24"/>
        </w:rPr>
        <w:t>Fondo de reserva:</w:t>
      </w:r>
    </w:p>
    <w:p w14:paraId="5C197848" w14:textId="77777777" w:rsidR="008A5924" w:rsidRPr="00184700" w:rsidRDefault="00000000" w:rsidP="008A5924">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r>
                    <w:rPr>
                      <w:rFonts w:ascii="Cambria Math" w:hAnsi="Cambria Math"/>
                    </w:rPr>
                    <m:t>h</m:t>
                  </m:r>
                </m:num>
                <m:den>
                  <m:r>
                    <m:rPr>
                      <m:sty m:val="p"/>
                    </m:rPr>
                    <w:rPr>
                      <w:rFonts w:ascii="Cambria Math" w:hAnsi="Cambria Math"/>
                    </w:rPr>
                    <m:t>1+</m:t>
                  </m:r>
                  <m:r>
                    <w:rPr>
                      <w:rFonts w:ascii="Cambria Math" w:hAnsi="Cambria Math"/>
                    </w:rPr>
                    <m:t>i</m:t>
                  </m:r>
                </m:den>
              </m:f>
            </m:e>
          </m:d>
          <m:sSub>
            <m:sSubPr>
              <m:ctrlPr>
                <w:rPr>
                  <w:rFonts w:ascii="Cambria Math" w:hAnsi="Cambria Math"/>
                </w:rPr>
              </m:ctrlPr>
            </m:sSubPr>
            <m:e>
              <m:r>
                <w:rPr>
                  <w:rFonts w:ascii="Cambria Math" w:hAnsi="Cambria Math"/>
                </w:rPr>
                <m:t>θ</m:t>
              </m:r>
            </m:e>
            <m:sub>
              <m:r>
                <m:rPr>
                  <m:sty m:val="p"/>
                </m:rPr>
                <w:rPr>
                  <w:rFonts w:ascii="Cambria Math" w:hAnsi="Cambria Math"/>
                </w:rPr>
                <m:t>1</m:t>
              </m:r>
            </m:sub>
          </m:sSub>
          <m:d>
            <m:dPr>
              <m:ctrlPr>
                <w:rPr>
                  <w:rFonts w:ascii="Cambria Math" w:hAnsi="Cambria Math"/>
                </w:rPr>
              </m:ctrlPr>
            </m:dPr>
            <m:e>
              <m:r>
                <w:rPr>
                  <w:rFonts w:ascii="Cambria Math" w:hAnsi="Cambria Math"/>
                </w:rPr>
                <m:t>x</m:t>
              </m:r>
            </m:e>
          </m:d>
        </m:oMath>
      </m:oMathPara>
    </w:p>
    <w:p w14:paraId="58284BE1" w14:textId="77777777" w:rsidR="00383BB0" w:rsidRDefault="00383BB0" w:rsidP="008A5924">
      <w:pPr>
        <w:rPr>
          <w:sz w:val="24"/>
          <w:szCs w:val="24"/>
        </w:rPr>
      </w:pPr>
    </w:p>
    <w:p w14:paraId="1CF3DBE5" w14:textId="7BE70089" w:rsidR="008A5924" w:rsidRPr="0038245D" w:rsidRDefault="008A5924" w:rsidP="008A5924">
      <w:pPr>
        <w:rPr>
          <w:sz w:val="24"/>
          <w:szCs w:val="24"/>
        </w:rPr>
      </w:pPr>
      <w:r w:rsidRPr="0038245D">
        <w:rPr>
          <w:sz w:val="24"/>
          <w:szCs w:val="24"/>
        </w:rPr>
        <w:t xml:space="preserve">donde, </w:t>
      </w:r>
      <m:oMath>
        <m:sSub>
          <m:sSubPr>
            <m:ctrlPr>
              <w:rPr>
                <w:rFonts w:ascii="Cambria Math" w:hAnsi="Cambria Math"/>
                <w:sz w:val="24"/>
                <w:szCs w:val="24"/>
              </w:rPr>
            </m:ctrlPr>
          </m:sSubPr>
          <m:e>
            <m:r>
              <w:rPr>
                <w:rFonts w:ascii="Cambria Math" w:hAnsi="Cambria Math"/>
                <w:sz w:val="24"/>
                <w:szCs w:val="24"/>
              </w:rPr>
              <m:t>θ</m:t>
            </m:r>
          </m:e>
          <m:sub>
            <m:r>
              <m:rPr>
                <m:sty m:val="p"/>
              </m:rPr>
              <w:rPr>
                <w:rFonts w:ascii="Cambria Math" w:hAnsi="Cambria Math"/>
                <w:sz w:val="24"/>
                <w:szCs w:val="24"/>
              </w:rPr>
              <m:t>1</m:t>
            </m:r>
          </m:sub>
        </m:sSub>
        <m:d>
          <m:dPr>
            <m:ctrlPr>
              <w:rPr>
                <w:rFonts w:ascii="Cambria Math" w:hAnsi="Cambria Math"/>
                <w:sz w:val="24"/>
                <w:szCs w:val="24"/>
              </w:rPr>
            </m:ctrlPr>
          </m:dPr>
          <m:e>
            <m:r>
              <w:rPr>
                <w:rFonts w:ascii="Cambria Math" w:hAnsi="Cambria Math"/>
                <w:sz w:val="24"/>
                <w:szCs w:val="24"/>
              </w:rPr>
              <m:t>x</m:t>
            </m:r>
          </m:e>
        </m:d>
      </m:oMath>
      <w:r w:rsidRPr="0038245D">
        <w:rPr>
          <w:sz w:val="24"/>
          <w:szCs w:val="24"/>
        </w:rPr>
        <w:t xml:space="preserve"> es el monto del fondo de reserva y </w:t>
      </w:r>
      <m:oMath>
        <m:r>
          <w:rPr>
            <w:rFonts w:ascii="Cambria Math" w:hAnsi="Cambria Math"/>
            <w:sz w:val="24"/>
            <w:szCs w:val="24"/>
          </w:rPr>
          <m:t>h</m:t>
        </m:r>
      </m:oMath>
      <w:r w:rsidRPr="0038245D">
        <w:rPr>
          <w:sz w:val="24"/>
          <w:szCs w:val="24"/>
        </w:rPr>
        <w:t xml:space="preserve"> es la </w:t>
      </w:r>
      <w:r w:rsidR="006812CD" w:rsidRPr="0038245D">
        <w:rPr>
          <w:sz w:val="24"/>
          <w:szCs w:val="24"/>
        </w:rPr>
        <w:t>tasa social</w:t>
      </w:r>
      <w:r w:rsidRPr="0038245D">
        <w:rPr>
          <w:sz w:val="24"/>
          <w:szCs w:val="24"/>
        </w:rPr>
        <w:t xml:space="preserve"> de descuento, ya que se analiza que el costo de oportunidad de los fondos depositados en el fondo de reserva corresponde al retraso en la ejecución de obra pública por parte del gobierno.</w:t>
      </w:r>
    </w:p>
    <w:p w14:paraId="52479BE9" w14:textId="77777777" w:rsidR="008A5924" w:rsidRPr="0038245D" w:rsidRDefault="008A5924" w:rsidP="008A5924">
      <w:pPr>
        <w:rPr>
          <w:sz w:val="24"/>
          <w:szCs w:val="24"/>
        </w:rPr>
      </w:pPr>
    </w:p>
    <w:p w14:paraId="20350A92" w14:textId="77777777" w:rsidR="008A5924" w:rsidRPr="0038245D" w:rsidRDefault="008A5924" w:rsidP="00DD6292">
      <w:pPr>
        <w:pStyle w:val="Prrafodelista"/>
        <w:widowControl/>
        <w:numPr>
          <w:ilvl w:val="0"/>
          <w:numId w:val="9"/>
        </w:numPr>
        <w:spacing w:after="160" w:line="259" w:lineRule="auto"/>
        <w:rPr>
          <w:sz w:val="24"/>
          <w:szCs w:val="24"/>
        </w:rPr>
      </w:pPr>
      <w:r w:rsidRPr="0038245D">
        <w:rPr>
          <w:sz w:val="24"/>
          <w:szCs w:val="24"/>
        </w:rPr>
        <w:t>Crédito contingente:</w:t>
      </w:r>
    </w:p>
    <w:p w14:paraId="2DE33D1C" w14:textId="77777777" w:rsidR="008A5924" w:rsidRPr="00184700" w:rsidRDefault="00000000" w:rsidP="008A5924">
      <m:oMathPara>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κ</m:t>
          </m:r>
          <m:acc>
            <m:accPr>
              <m:chr m:val="~"/>
              <m:ctrlPr>
                <w:rPr>
                  <w:rFonts w:ascii="Cambria Math" w:hAnsi="Cambria Math"/>
                </w:rPr>
              </m:ctrlPr>
            </m:accPr>
            <m:e>
              <m:sSub>
                <m:sSubPr>
                  <m:ctrlPr>
                    <w:rPr>
                      <w:rFonts w:ascii="Cambria Math" w:hAnsi="Cambria Math"/>
                    </w:rPr>
                  </m:ctrlPr>
                </m:sSubPr>
                <m:e>
                  <m:r>
                    <w:rPr>
                      <w:rFonts w:ascii="Cambria Math" w:hAnsi="Cambria Math"/>
                    </w:rPr>
                    <m:t>θ</m:t>
                  </m:r>
                </m:e>
                <m:sub>
                  <m:r>
                    <m:rPr>
                      <m:sty m:val="p"/>
                    </m:rPr>
                    <w:rPr>
                      <w:rFonts w:ascii="Cambria Math" w:hAnsi="Cambria Math"/>
                    </w:rPr>
                    <m:t>2</m:t>
                  </m:r>
                </m:sub>
              </m:sSub>
            </m:e>
          </m:acc>
          <m:r>
            <m:rPr>
              <m:sty m:val="p"/>
            </m:rPr>
            <w:rPr>
              <w:rFonts w:ascii="Cambria Math" w:hAnsi="Cambria Math"/>
            </w:rPr>
            <m:t>+</m:t>
          </m:r>
          <m:r>
            <w:rPr>
              <w:rFonts w:ascii="Cambria Math" w:hAnsi="Cambria Math"/>
            </w:rPr>
            <m:t>β</m:t>
          </m:r>
          <m:f>
            <m:fPr>
              <m:ctrlPr>
                <w:rPr>
                  <w:rFonts w:ascii="Cambria Math" w:hAnsi="Cambria Math"/>
                </w:rPr>
              </m:ctrlPr>
            </m:fPr>
            <m:num>
              <m:r>
                <w:rPr>
                  <w:rFonts w:ascii="Cambria Math" w:hAnsi="Cambria Math"/>
                </w:rPr>
                <m:t>i</m:t>
              </m:r>
              <m:r>
                <m:rPr>
                  <m:sty m:val="p"/>
                </m:rPr>
                <w:rPr>
                  <w:rFonts w:ascii="Cambria Math" w:hAnsi="Cambria Math"/>
                </w:rPr>
                <m:t>-</m:t>
              </m:r>
              <m:r>
                <w:rPr>
                  <w:rFonts w:ascii="Cambria Math" w:hAnsi="Cambria Math"/>
                </w:rPr>
                <m:t>c</m:t>
              </m:r>
            </m:num>
            <m:den>
              <m:r>
                <m:rPr>
                  <m:sty m:val="p"/>
                </m:rPr>
                <w:rPr>
                  <w:rFonts w:ascii="Cambria Math" w:hAnsi="Cambria Math"/>
                </w:rPr>
                <m:t>1+</m:t>
              </m:r>
              <m:r>
                <w:rPr>
                  <w:rFonts w:ascii="Cambria Math" w:hAnsi="Cambria Math"/>
                </w:rPr>
                <m:t>i</m:t>
              </m:r>
            </m:den>
          </m:f>
          <m:acc>
            <m:accPr>
              <m:chr m:val="~"/>
              <m:ctrlPr>
                <w:rPr>
                  <w:rFonts w:ascii="Cambria Math" w:hAnsi="Cambria Math"/>
                </w:rPr>
              </m:ctrlPr>
            </m:accPr>
            <m:e>
              <m:sSub>
                <m:sSubPr>
                  <m:ctrlPr>
                    <w:rPr>
                      <w:rFonts w:ascii="Cambria Math" w:hAnsi="Cambria Math"/>
                    </w:rPr>
                  </m:ctrlPr>
                </m:sSubPr>
                <m:e>
                  <m:r>
                    <w:rPr>
                      <w:rFonts w:ascii="Cambria Math" w:hAnsi="Cambria Math"/>
                    </w:rPr>
                    <m:t>θ</m:t>
                  </m:r>
                </m:e>
                <m:sub>
                  <m:r>
                    <m:rPr>
                      <m:sty m:val="p"/>
                    </m:rPr>
                    <w:rPr>
                      <w:rFonts w:ascii="Cambria Math" w:hAnsi="Cambria Math"/>
                    </w:rPr>
                    <m:t>2</m:t>
                  </m:r>
                </m:sub>
              </m:sSub>
            </m:e>
          </m:acc>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2</m:t>
              </m:r>
            </m:sub>
          </m:sSub>
          <m:d>
            <m:dPr>
              <m:ctrlPr>
                <w:rPr>
                  <w:rFonts w:ascii="Cambria Math" w:hAnsi="Cambria Math"/>
                </w:rPr>
              </m:ctrlPr>
            </m:dPr>
            <m:e>
              <m:r>
                <w:rPr>
                  <w:rFonts w:ascii="Cambria Math" w:hAnsi="Cambria Math"/>
                </w:rPr>
                <m:t>x</m:t>
              </m:r>
            </m:e>
          </m:d>
          <m:f>
            <m:fPr>
              <m:ctrlPr>
                <w:rPr>
                  <w:rFonts w:ascii="Cambria Math" w:hAnsi="Cambria Math"/>
                </w:rPr>
              </m:ctrlPr>
            </m:fPr>
            <m:num>
              <m:sSub>
                <m:sSubPr>
                  <m:ctrlPr>
                    <w:rPr>
                      <w:rFonts w:ascii="Cambria Math" w:hAnsi="Cambria Math"/>
                    </w:rPr>
                  </m:ctrlPr>
                </m:sSubPr>
                <m:e>
                  <m:r>
                    <w:rPr>
                      <w:rFonts w:ascii="Cambria Math" w:hAnsi="Cambria Math"/>
                    </w:rPr>
                    <m:t>a</m:t>
                  </m:r>
                </m:e>
                <m:sub>
                  <m:acc>
                    <m:accPr>
                      <m:chr m:val="´"/>
                      <m:ctrlPr>
                        <w:rPr>
                          <w:rFonts w:ascii="Cambria Math" w:hAnsi="Cambria Math"/>
                        </w:rPr>
                      </m:ctrlPr>
                    </m:accPr>
                    <m:e>
                      <m:r>
                        <w:rPr>
                          <w:rFonts w:ascii="Cambria Math" w:hAnsi="Cambria Math"/>
                        </w:rPr>
                        <m:t>n</m:t>
                      </m:r>
                      <m:r>
                        <m:rPr>
                          <m:sty m:val="p"/>
                        </m:rPr>
                        <w:rPr>
                          <w:rFonts w:ascii="Cambria Math" w:hAnsi="Cambria Math"/>
                        </w:rPr>
                        <m:t>∨</m:t>
                      </m:r>
                      <m:r>
                        <w:rPr>
                          <w:rFonts w:ascii="Cambria Math" w:hAnsi="Cambria Math"/>
                        </w:rPr>
                        <m:t>i</m:t>
                      </m:r>
                    </m:e>
                  </m:acc>
                </m:sub>
              </m:sSub>
            </m:num>
            <m:den>
              <m:sSub>
                <m:sSubPr>
                  <m:ctrlPr>
                    <w:rPr>
                      <w:rFonts w:ascii="Cambria Math" w:hAnsi="Cambria Math"/>
                    </w:rPr>
                  </m:ctrlPr>
                </m:sSubPr>
                <m:e>
                  <m:r>
                    <w:rPr>
                      <w:rFonts w:ascii="Cambria Math" w:hAnsi="Cambria Math"/>
                    </w:rPr>
                    <m:t>a</m:t>
                  </m:r>
                </m:e>
                <m:sub>
                  <m:acc>
                    <m:accPr>
                      <m:chr m:val="´"/>
                      <m:ctrlPr>
                        <w:rPr>
                          <w:rFonts w:ascii="Cambria Math" w:hAnsi="Cambria Math"/>
                        </w:rPr>
                      </m:ctrlPr>
                    </m:accPr>
                    <m:e>
                      <m:r>
                        <w:rPr>
                          <w:rFonts w:ascii="Cambria Math" w:hAnsi="Cambria Math"/>
                        </w:rPr>
                        <m:t>n</m:t>
                      </m:r>
                      <m:r>
                        <m:rPr>
                          <m:sty m:val="p"/>
                        </m:rPr>
                        <w:rPr>
                          <w:rFonts w:ascii="Cambria Math" w:hAnsi="Cambria Math"/>
                        </w:rPr>
                        <m:t>∨</m:t>
                      </m:r>
                      <m:r>
                        <w:rPr>
                          <w:rFonts w:ascii="Cambria Math" w:hAnsi="Cambria Math"/>
                        </w:rPr>
                        <m:t>c</m:t>
                      </m:r>
                    </m:e>
                  </m:acc>
                </m:sub>
              </m:sSub>
            </m:den>
          </m:f>
        </m:oMath>
      </m:oMathPara>
    </w:p>
    <w:p w14:paraId="01AC2C40" w14:textId="77777777" w:rsidR="0038245D" w:rsidRDefault="0038245D" w:rsidP="008A5924">
      <w:pPr>
        <w:rPr>
          <w:sz w:val="24"/>
          <w:szCs w:val="24"/>
        </w:rPr>
      </w:pPr>
    </w:p>
    <w:p w14:paraId="452A34E5" w14:textId="44AC4310" w:rsidR="008A5924" w:rsidRPr="0038245D" w:rsidRDefault="008A5924" w:rsidP="006812CD">
      <w:pPr>
        <w:jc w:val="both"/>
        <w:rPr>
          <w:sz w:val="24"/>
          <w:szCs w:val="24"/>
        </w:rPr>
      </w:pPr>
      <w:r w:rsidRPr="0038245D">
        <w:rPr>
          <w:sz w:val="24"/>
          <w:szCs w:val="24"/>
        </w:rPr>
        <w:t xml:space="preserve">donde </w:t>
      </w:r>
      <m:oMath>
        <m:r>
          <w:rPr>
            <w:rFonts w:ascii="Cambria Math" w:hAnsi="Cambria Math"/>
            <w:sz w:val="24"/>
            <w:szCs w:val="24"/>
          </w:rPr>
          <m:t>κ</m:t>
        </m:r>
      </m:oMath>
      <w:r w:rsidRPr="0038245D">
        <w:rPr>
          <w:sz w:val="24"/>
          <w:szCs w:val="24"/>
        </w:rPr>
        <w:t xml:space="preserve"> es la comisión de compromiso por el monto total del crédito contingente, </w:t>
      </w:r>
      <m:oMath>
        <m:acc>
          <m:accPr>
            <m:chr m:val="~"/>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θ</m:t>
                </m:r>
              </m:e>
              <m:sub>
                <m:r>
                  <m:rPr>
                    <m:sty m:val="p"/>
                  </m:rPr>
                  <w:rPr>
                    <w:rFonts w:ascii="Cambria Math" w:hAnsi="Cambria Math"/>
                    <w:sz w:val="24"/>
                    <w:szCs w:val="24"/>
                  </w:rPr>
                  <m:t>2</m:t>
                </m:r>
              </m:sub>
            </m:sSub>
          </m:e>
        </m:acc>
      </m:oMath>
      <w:r w:rsidRPr="0038245D">
        <w:rPr>
          <w:sz w:val="24"/>
          <w:szCs w:val="24"/>
        </w:rPr>
        <w:t xml:space="preserve"> es el monto máximo que otorga la línea de crédito </w:t>
      </w:r>
      <w:r w:rsidR="006812CD" w:rsidRPr="0038245D">
        <w:rPr>
          <w:sz w:val="24"/>
          <w:szCs w:val="24"/>
        </w:rPr>
        <w:t>contingente,</w:t>
      </w:r>
      <w:r w:rsidRPr="0038245D">
        <w:rPr>
          <w:sz w:val="24"/>
          <w:szCs w:val="24"/>
        </w:rPr>
        <w:t xml:space="preserve"> </w:t>
      </w:r>
      <m:oMath>
        <m:r>
          <w:rPr>
            <w:rFonts w:ascii="Cambria Math" w:hAnsi="Cambria Math"/>
            <w:sz w:val="24"/>
            <w:szCs w:val="24"/>
          </w:rPr>
          <m:t>β</m:t>
        </m:r>
        <m:r>
          <m:rPr>
            <m:sty m:val="p"/>
          </m:rPr>
          <w:rPr>
            <w:rFonts w:ascii="Cambria Math" w:hAnsi="Cambria Math"/>
            <w:sz w:val="24"/>
            <w:szCs w:val="24"/>
          </w:rPr>
          <m:t>∈{0,1}</m:t>
        </m:r>
      </m:oMath>
      <w:r w:rsidRPr="0038245D">
        <w:rPr>
          <w:sz w:val="24"/>
          <w:szCs w:val="24"/>
        </w:rPr>
        <w:t xml:space="preserve">, </w:t>
      </w:r>
      <m:oMath>
        <m:r>
          <w:rPr>
            <w:rFonts w:ascii="Cambria Math" w:hAnsi="Cambria Math"/>
            <w:sz w:val="24"/>
            <w:szCs w:val="24"/>
          </w:rPr>
          <m:t>i</m:t>
        </m:r>
      </m:oMath>
      <w:r w:rsidRPr="0038245D">
        <w:rPr>
          <w:sz w:val="24"/>
          <w:szCs w:val="24"/>
        </w:rPr>
        <w:t xml:space="preserve"> la tasa de descuento, </w:t>
      </w:r>
      <m:oMath>
        <m:r>
          <w:rPr>
            <w:rFonts w:ascii="Cambria Math" w:hAnsi="Cambria Math"/>
            <w:sz w:val="24"/>
            <w:szCs w:val="24"/>
          </w:rPr>
          <m:t>c</m:t>
        </m:r>
      </m:oMath>
      <w:r w:rsidRPr="0038245D">
        <w:rPr>
          <w:sz w:val="24"/>
          <w:szCs w:val="24"/>
        </w:rPr>
        <w:t xml:space="preserve"> la tasa de interés para la línea de crédito contingente, </w:t>
      </w:r>
      <m:oMath>
        <m:sSub>
          <m:sSubPr>
            <m:ctrlPr>
              <w:rPr>
                <w:rFonts w:ascii="Cambria Math" w:hAnsi="Cambria Math"/>
                <w:sz w:val="24"/>
                <w:szCs w:val="24"/>
              </w:rPr>
            </m:ctrlPr>
          </m:sSubPr>
          <m:e>
            <m:r>
              <w:rPr>
                <w:rFonts w:ascii="Cambria Math" w:hAnsi="Cambria Math"/>
                <w:sz w:val="24"/>
                <w:szCs w:val="24"/>
              </w:rPr>
              <m:t>θ</m:t>
            </m:r>
          </m:e>
          <m:sub>
            <m:r>
              <m:rPr>
                <m:sty m:val="p"/>
              </m:rPr>
              <w:rPr>
                <w:rFonts w:ascii="Cambria Math" w:hAnsi="Cambria Math"/>
                <w:sz w:val="24"/>
                <w:szCs w:val="24"/>
              </w:rPr>
              <m:t>2</m:t>
            </m:r>
          </m:sub>
        </m:sSub>
        <m:d>
          <m:dPr>
            <m:ctrlPr>
              <w:rPr>
                <w:rFonts w:ascii="Cambria Math" w:hAnsi="Cambria Math"/>
                <w:sz w:val="24"/>
                <w:szCs w:val="24"/>
              </w:rPr>
            </m:ctrlPr>
          </m:dPr>
          <m:e>
            <m:r>
              <w:rPr>
                <w:rFonts w:ascii="Cambria Math" w:hAnsi="Cambria Math"/>
                <w:sz w:val="24"/>
                <w:szCs w:val="24"/>
              </w:rPr>
              <m:t>x</m:t>
            </m:r>
          </m:e>
        </m:d>
      </m:oMath>
      <w:r w:rsidRPr="0038245D">
        <w:rPr>
          <w:sz w:val="24"/>
          <w:szCs w:val="24"/>
        </w:rPr>
        <w:t xml:space="preserve"> es el monto utilizado de la línea de crédito contingente, </w:t>
      </w:r>
      <m:oMath>
        <m:sSub>
          <m:sSubPr>
            <m:ctrlPr>
              <w:rPr>
                <w:rFonts w:ascii="Cambria Math" w:hAnsi="Cambria Math"/>
                <w:sz w:val="24"/>
                <w:szCs w:val="24"/>
              </w:rPr>
            </m:ctrlPr>
          </m:sSubPr>
          <m:e>
            <m:r>
              <w:rPr>
                <w:rFonts w:ascii="Cambria Math" w:hAnsi="Cambria Math"/>
                <w:sz w:val="24"/>
                <w:szCs w:val="24"/>
              </w:rPr>
              <m:t>a</m:t>
            </m:r>
          </m:e>
          <m:sub>
            <m:acc>
              <m:accPr>
                <m:chr m:val="´"/>
                <m:ctrlPr>
                  <w:rPr>
                    <w:rFonts w:ascii="Cambria Math" w:hAnsi="Cambria Math"/>
                    <w:sz w:val="24"/>
                    <w:szCs w:val="24"/>
                  </w:rPr>
                </m:ctrlPr>
              </m:accPr>
              <m:e>
                <m:r>
                  <w:rPr>
                    <w:rFonts w:ascii="Cambria Math" w:hAnsi="Cambria Math"/>
                    <w:sz w:val="24"/>
                    <w:szCs w:val="24"/>
                  </w:rPr>
                  <m:t>n</m:t>
                </m:r>
                <m:r>
                  <m:rPr>
                    <m:sty m:val="p"/>
                  </m:rPr>
                  <w:rPr>
                    <w:rFonts w:ascii="Cambria Math" w:hAnsi="Cambria Math"/>
                    <w:sz w:val="24"/>
                    <w:szCs w:val="24"/>
                  </w:rPr>
                  <m:t>∨</m:t>
                </m:r>
                <m:r>
                  <w:rPr>
                    <w:rFonts w:ascii="Cambria Math" w:hAnsi="Cambria Math"/>
                    <w:sz w:val="24"/>
                    <w:szCs w:val="24"/>
                  </w:rPr>
                  <m:t>c</m:t>
                </m:r>
              </m:e>
            </m:acc>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c</m:t>
                    </m:r>
                  </m:e>
                </m:d>
              </m:e>
              <m:sup>
                <m:r>
                  <m:rPr>
                    <m:sty m:val="p"/>
                  </m:rPr>
                  <w:rPr>
                    <w:rFonts w:ascii="Cambria Math" w:hAnsi="Cambria Math"/>
                    <w:sz w:val="24"/>
                    <w:szCs w:val="24"/>
                  </w:rPr>
                  <m:t>-</m:t>
                </m:r>
                <m:r>
                  <w:rPr>
                    <w:rFonts w:ascii="Cambria Math" w:hAnsi="Cambria Math"/>
                    <w:sz w:val="24"/>
                    <w:szCs w:val="24"/>
                  </w:rPr>
                  <m:t>n</m:t>
                </m:r>
              </m:sup>
            </m:sSup>
          </m:num>
          <m:den>
            <m:r>
              <w:rPr>
                <w:rFonts w:ascii="Cambria Math" w:hAnsi="Cambria Math"/>
                <w:sz w:val="24"/>
                <w:szCs w:val="24"/>
              </w:rPr>
              <m:t>c</m:t>
            </m:r>
          </m:den>
        </m:f>
      </m:oMath>
      <w:r w:rsidRPr="0038245D">
        <w:rPr>
          <w:sz w:val="24"/>
          <w:szCs w:val="24"/>
        </w:rPr>
        <w:t xml:space="preserve"> y </w:t>
      </w:r>
      <m:oMath>
        <m:r>
          <w:rPr>
            <w:rFonts w:ascii="Cambria Math" w:hAnsi="Cambria Math"/>
            <w:sz w:val="24"/>
            <w:szCs w:val="24"/>
          </w:rPr>
          <m:t>n</m:t>
        </m:r>
      </m:oMath>
      <w:r w:rsidRPr="0038245D">
        <w:rPr>
          <w:sz w:val="24"/>
          <w:szCs w:val="24"/>
        </w:rPr>
        <w:t xml:space="preserve"> es el tiempo de vencimiento del crédito. </w:t>
      </w:r>
    </w:p>
    <w:p w14:paraId="7F3BFE05" w14:textId="77777777" w:rsidR="008A5924" w:rsidRPr="0038245D" w:rsidRDefault="008A5924" w:rsidP="008A5924">
      <w:pPr>
        <w:rPr>
          <w:sz w:val="24"/>
          <w:szCs w:val="24"/>
        </w:rPr>
      </w:pPr>
    </w:p>
    <w:p w14:paraId="3B8D0BF0" w14:textId="77777777" w:rsidR="008A5924" w:rsidRPr="0038245D" w:rsidRDefault="008A5924" w:rsidP="00DD6292">
      <w:pPr>
        <w:pStyle w:val="Prrafodelista"/>
        <w:widowControl/>
        <w:numPr>
          <w:ilvl w:val="0"/>
          <w:numId w:val="9"/>
        </w:numPr>
        <w:spacing w:after="160" w:line="259" w:lineRule="auto"/>
        <w:rPr>
          <w:sz w:val="24"/>
          <w:szCs w:val="24"/>
        </w:rPr>
      </w:pPr>
      <w:r w:rsidRPr="0038245D">
        <w:rPr>
          <w:sz w:val="24"/>
          <w:szCs w:val="24"/>
        </w:rPr>
        <w:t>Readecuaciones presupuestarias:</w:t>
      </w:r>
    </w:p>
    <w:p w14:paraId="2D0FD56C" w14:textId="77777777" w:rsidR="008A5924" w:rsidRPr="00184700" w:rsidRDefault="00000000" w:rsidP="008A5924">
      <m:oMathPara>
        <m:oMath>
          <m:sSub>
            <m:sSubPr>
              <m:ctrlPr>
                <w:rPr>
                  <w:rFonts w:ascii="Cambria Math" w:hAnsi="Cambria Math"/>
                </w:rPr>
              </m:ctrlPr>
            </m:sSubPr>
            <m:e>
              <m:r>
                <w:rPr>
                  <w:rFonts w:ascii="Cambria Math" w:hAnsi="Cambria Math"/>
                </w:rPr>
                <m:t>C</m:t>
              </m:r>
            </m:e>
            <m:sub>
              <m:r>
                <m:rPr>
                  <m:sty m:val="p"/>
                </m:rPr>
                <w:rPr>
                  <w:rFonts w:ascii="Cambria Math" w:hAnsi="Cambria Math"/>
                </w:rPr>
                <m:t>3</m:t>
              </m:r>
            </m:sub>
          </m:sSub>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r>
                    <w:rPr>
                      <w:rFonts w:ascii="Cambria Math" w:hAnsi="Cambria Math"/>
                    </w:rPr>
                    <m:t>h</m:t>
                  </m:r>
                </m:num>
                <m:den>
                  <m:r>
                    <m:rPr>
                      <m:sty m:val="p"/>
                    </m:rPr>
                    <w:rPr>
                      <w:rFonts w:ascii="Cambria Math" w:hAnsi="Cambria Math"/>
                    </w:rPr>
                    <m:t>1+</m:t>
                  </m:r>
                  <m:r>
                    <w:rPr>
                      <w:rFonts w:ascii="Cambria Math" w:hAnsi="Cambria Math"/>
                    </w:rPr>
                    <m:t>i</m:t>
                  </m:r>
                </m:den>
              </m:f>
            </m:e>
          </m:d>
          <m:sSub>
            <m:sSubPr>
              <m:ctrlPr>
                <w:rPr>
                  <w:rFonts w:ascii="Cambria Math" w:hAnsi="Cambria Math"/>
                </w:rPr>
              </m:ctrlPr>
            </m:sSubPr>
            <m:e>
              <m:r>
                <w:rPr>
                  <w:rFonts w:ascii="Cambria Math" w:hAnsi="Cambria Math"/>
                </w:rPr>
                <m:t>θ</m:t>
              </m:r>
            </m:e>
            <m:sub>
              <m:r>
                <m:rPr>
                  <m:sty m:val="p"/>
                </m:rPr>
                <w:rPr>
                  <w:rFonts w:ascii="Cambria Math" w:hAnsi="Cambria Math"/>
                </w:rPr>
                <m:t>3</m:t>
              </m:r>
            </m:sub>
          </m:sSub>
          <m:d>
            <m:dPr>
              <m:ctrlPr>
                <w:rPr>
                  <w:rFonts w:ascii="Cambria Math" w:hAnsi="Cambria Math"/>
                </w:rPr>
              </m:ctrlPr>
            </m:dPr>
            <m:e>
              <m:r>
                <w:rPr>
                  <w:rFonts w:ascii="Cambria Math" w:hAnsi="Cambria Math"/>
                </w:rPr>
                <m:t>x</m:t>
              </m:r>
            </m:e>
          </m:d>
        </m:oMath>
      </m:oMathPara>
    </w:p>
    <w:p w14:paraId="537B64E7" w14:textId="77777777" w:rsidR="008B4A34" w:rsidRDefault="008B4A34" w:rsidP="008A5924"/>
    <w:p w14:paraId="3FDAD57F" w14:textId="77777777" w:rsidR="008A5924" w:rsidRPr="008B4A34" w:rsidRDefault="008A5924" w:rsidP="008A5924">
      <w:pPr>
        <w:rPr>
          <w:sz w:val="24"/>
          <w:szCs w:val="24"/>
        </w:rPr>
      </w:pPr>
      <w:r w:rsidRPr="008B4A34">
        <w:rPr>
          <w:sz w:val="24"/>
          <w:szCs w:val="24"/>
        </w:rPr>
        <w:t>En el caso de las readecuaciones presupuestarias se supone que la mayoría de los fondos que se utilizan para la readecuación presupuestaria provienen de gastos de inversión. Además, su costo de oportunidad está asociado al hecho de que el gobierno no implementará proye</w:t>
      </w:r>
      <w:r w:rsidR="00C06929">
        <w:rPr>
          <w:sz w:val="24"/>
          <w:szCs w:val="24"/>
        </w:rPr>
        <w:t xml:space="preserve">ctos sociales sino hasta el año </w:t>
      </w:r>
      <w:r w:rsidRPr="008B4A34">
        <w:rPr>
          <w:sz w:val="24"/>
          <w:szCs w:val="24"/>
        </w:rPr>
        <w:t xml:space="preserve">siguiente de ocurrencia del evento, así que se utiliza la tasa de descuento social y finalmente se utiliza la tasa de descuento para llevar las unidades monetarias al inicio del período fiscal. </w:t>
      </w:r>
      <w:r w:rsidRPr="008B4A34">
        <w:rPr>
          <w:sz w:val="24"/>
          <w:szCs w:val="24"/>
        </w:rPr>
        <w:tab/>
      </w:r>
    </w:p>
    <w:p w14:paraId="493D5256" w14:textId="77777777" w:rsidR="008A5924" w:rsidRPr="008B4A34" w:rsidRDefault="008A5924" w:rsidP="008A5924">
      <w:pPr>
        <w:rPr>
          <w:sz w:val="24"/>
          <w:szCs w:val="24"/>
        </w:rPr>
      </w:pPr>
    </w:p>
    <w:p w14:paraId="508C87FB" w14:textId="77777777" w:rsidR="008A5924" w:rsidRPr="008B4A34" w:rsidRDefault="008A5924" w:rsidP="00DD6292">
      <w:pPr>
        <w:pStyle w:val="Prrafodelista"/>
        <w:widowControl/>
        <w:numPr>
          <w:ilvl w:val="0"/>
          <w:numId w:val="9"/>
        </w:numPr>
        <w:spacing w:after="160" w:line="259" w:lineRule="auto"/>
        <w:rPr>
          <w:sz w:val="24"/>
          <w:szCs w:val="24"/>
        </w:rPr>
      </w:pPr>
      <w:r w:rsidRPr="008B4A34">
        <w:rPr>
          <w:sz w:val="24"/>
          <w:szCs w:val="24"/>
        </w:rPr>
        <w:t>Préstamos ex post:</w:t>
      </w:r>
    </w:p>
    <w:p w14:paraId="3A4980C0" w14:textId="77777777" w:rsidR="008A5924" w:rsidRPr="008B4A34" w:rsidRDefault="00000000" w:rsidP="008A5924">
      <m:oMathPara>
        <m:oMath>
          <m:sSub>
            <m:sSubPr>
              <m:ctrlPr>
                <w:rPr>
                  <w:rFonts w:ascii="Cambria Math" w:hAnsi="Cambria Math"/>
                </w:rPr>
              </m:ctrlPr>
            </m:sSubPr>
            <m:e>
              <m:r>
                <w:rPr>
                  <w:rFonts w:ascii="Cambria Math" w:hAnsi="Cambria Math"/>
                </w:rPr>
                <m:t>C</m:t>
              </m:r>
            </m:e>
            <m:sub>
              <m:r>
                <m:rPr>
                  <m:sty m:val="p"/>
                </m:rPr>
                <w:rPr>
                  <w:rFonts w:ascii="Cambria Math" w:hAnsi="Cambria Math"/>
                </w:rPr>
                <m:t>4</m:t>
              </m:r>
            </m:sub>
          </m:sSub>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r>
                        <w:rPr>
                          <w:rFonts w:ascii="Cambria Math" w:hAnsi="Cambria Math"/>
                        </w:rPr>
                        <m:t>d</m:t>
                      </m:r>
                    </m:num>
                    <m:den>
                      <m:r>
                        <m:rPr>
                          <m:sty m:val="p"/>
                        </m:rPr>
                        <w:rPr>
                          <w:rFonts w:ascii="Cambria Math" w:hAnsi="Cambria Math"/>
                        </w:rPr>
                        <m:t>1+</m:t>
                      </m:r>
                      <m:r>
                        <w:rPr>
                          <w:rFonts w:ascii="Cambria Math" w:hAnsi="Cambria Math"/>
                        </w:rPr>
                        <m:t>i</m:t>
                      </m:r>
                    </m:den>
                  </m:f>
                </m:e>
              </m:d>
            </m:e>
            <m:sup>
              <m:r>
                <w:rPr>
                  <w:rFonts w:ascii="Cambria Math" w:hAnsi="Cambria Math"/>
                </w:rPr>
                <m:t>t</m:t>
              </m:r>
            </m:sup>
          </m:sSup>
          <m:f>
            <m:fPr>
              <m:ctrlPr>
                <w:rPr>
                  <w:rFonts w:ascii="Cambria Math" w:hAnsi="Cambria Math"/>
                </w:rPr>
              </m:ctrlPr>
            </m:fPr>
            <m:num>
              <m:sSub>
                <m:sSubPr>
                  <m:ctrlPr>
                    <w:rPr>
                      <w:rFonts w:ascii="Cambria Math" w:hAnsi="Cambria Math"/>
                    </w:rPr>
                  </m:ctrlPr>
                </m:sSubPr>
                <m:e>
                  <m:r>
                    <w:rPr>
                      <w:rFonts w:ascii="Cambria Math" w:hAnsi="Cambria Math"/>
                    </w:rPr>
                    <m:t>a</m:t>
                  </m:r>
                </m:e>
                <m:sub>
                  <m:acc>
                    <m:accPr>
                      <m:chr m:val="´"/>
                      <m:ctrlPr>
                        <w:rPr>
                          <w:rFonts w:ascii="Cambria Math" w:hAnsi="Cambria Math"/>
                        </w:rPr>
                      </m:ctrlPr>
                    </m:accPr>
                    <m:e>
                      <m:r>
                        <w:rPr>
                          <w:rFonts w:ascii="Cambria Math" w:hAnsi="Cambria Math"/>
                        </w:rPr>
                        <m:t>n</m:t>
                      </m:r>
                      <m:r>
                        <m:rPr>
                          <m:sty m:val="p"/>
                        </m:rPr>
                        <w:rPr>
                          <w:rFonts w:ascii="Cambria Math" w:hAnsi="Cambria Math"/>
                        </w:rPr>
                        <m:t>∨</m:t>
                      </m:r>
                      <m:r>
                        <w:rPr>
                          <w:rFonts w:ascii="Cambria Math" w:hAnsi="Cambria Math"/>
                        </w:rPr>
                        <m:t>i</m:t>
                      </m:r>
                    </m:e>
                  </m:acc>
                </m:sub>
              </m:sSub>
            </m:num>
            <m:den>
              <m:sSub>
                <m:sSubPr>
                  <m:ctrlPr>
                    <w:rPr>
                      <w:rFonts w:ascii="Cambria Math" w:hAnsi="Cambria Math"/>
                    </w:rPr>
                  </m:ctrlPr>
                </m:sSubPr>
                <m:e>
                  <m:r>
                    <w:rPr>
                      <w:rFonts w:ascii="Cambria Math" w:hAnsi="Cambria Math"/>
                    </w:rPr>
                    <m:t>a</m:t>
                  </m:r>
                </m:e>
                <m:sub>
                  <m:acc>
                    <m:accPr>
                      <m:chr m:val="´"/>
                      <m:ctrlPr>
                        <w:rPr>
                          <w:rFonts w:ascii="Cambria Math" w:hAnsi="Cambria Math"/>
                        </w:rPr>
                      </m:ctrlPr>
                    </m:accPr>
                    <m:e>
                      <m:r>
                        <w:rPr>
                          <w:rFonts w:ascii="Cambria Math" w:hAnsi="Cambria Math"/>
                        </w:rPr>
                        <m:t>n</m:t>
                      </m:r>
                      <m:r>
                        <m:rPr>
                          <m:sty m:val="p"/>
                        </m:rPr>
                        <w:rPr>
                          <w:rFonts w:ascii="Cambria Math" w:hAnsi="Cambria Math"/>
                        </w:rPr>
                        <m:t>∨</m:t>
                      </m:r>
                      <m:r>
                        <w:rPr>
                          <w:rFonts w:ascii="Cambria Math" w:hAnsi="Cambria Math"/>
                        </w:rPr>
                        <m:t>e</m:t>
                      </m:r>
                    </m:e>
                  </m:acc>
                </m:sub>
              </m:sSub>
            </m:den>
          </m:f>
          <m:sSub>
            <m:sSubPr>
              <m:ctrlPr>
                <w:rPr>
                  <w:rFonts w:ascii="Cambria Math" w:hAnsi="Cambria Math"/>
                </w:rPr>
              </m:ctrlPr>
            </m:sSubPr>
            <m:e>
              <m:r>
                <w:rPr>
                  <w:rFonts w:ascii="Cambria Math" w:hAnsi="Cambria Math"/>
                </w:rPr>
                <m:t>θ</m:t>
              </m:r>
            </m:e>
            <m:sub>
              <m:r>
                <m:rPr>
                  <m:sty m:val="p"/>
                </m:rPr>
                <w:rPr>
                  <w:rFonts w:ascii="Cambria Math" w:hAnsi="Cambria Math"/>
                </w:rPr>
                <m:t>4</m:t>
              </m:r>
            </m:sub>
          </m:sSub>
          <m:d>
            <m:dPr>
              <m:ctrlPr>
                <w:rPr>
                  <w:rFonts w:ascii="Cambria Math" w:hAnsi="Cambria Math"/>
                </w:rPr>
              </m:ctrlPr>
            </m:dPr>
            <m:e>
              <m:r>
                <w:rPr>
                  <w:rFonts w:ascii="Cambria Math" w:hAnsi="Cambria Math"/>
                </w:rPr>
                <m:t>x</m:t>
              </m:r>
            </m:e>
          </m:d>
        </m:oMath>
      </m:oMathPara>
    </w:p>
    <w:p w14:paraId="30DD140D" w14:textId="77777777" w:rsidR="008B4A34" w:rsidRPr="00184700" w:rsidRDefault="008B4A34" w:rsidP="008A5924"/>
    <w:p w14:paraId="2C570972" w14:textId="77777777" w:rsidR="008A5924" w:rsidRPr="00184700" w:rsidRDefault="008A5924" w:rsidP="008A5924"/>
    <w:p w14:paraId="22122246" w14:textId="77777777" w:rsidR="008A5924" w:rsidRPr="008B4A34" w:rsidRDefault="008A5924" w:rsidP="008A5924">
      <w:pPr>
        <w:rPr>
          <w:sz w:val="24"/>
          <w:szCs w:val="24"/>
        </w:rPr>
      </w:pPr>
      <w:r w:rsidRPr="008B4A34">
        <w:rPr>
          <w:sz w:val="24"/>
          <w:szCs w:val="24"/>
        </w:rPr>
        <w:t xml:space="preserve">donde </w:t>
      </w:r>
      <m:oMath>
        <m:r>
          <w:rPr>
            <w:rFonts w:ascii="Cambria Math" w:hAnsi="Cambria Math"/>
            <w:sz w:val="24"/>
            <w:szCs w:val="24"/>
          </w:rPr>
          <m:t>e</m:t>
        </m:r>
      </m:oMath>
      <w:r w:rsidRPr="008B4A34">
        <w:rPr>
          <w:sz w:val="24"/>
          <w:szCs w:val="24"/>
        </w:rPr>
        <w:t xml:space="preserve"> es la tasa de interés para un préstamo ex post, </w:t>
      </w:r>
      <m:oMath>
        <m:sSub>
          <m:sSubPr>
            <m:ctrlPr>
              <w:rPr>
                <w:rFonts w:ascii="Cambria Math" w:hAnsi="Cambria Math"/>
                <w:sz w:val="24"/>
                <w:szCs w:val="24"/>
              </w:rPr>
            </m:ctrlPr>
          </m:sSubPr>
          <m:e>
            <m:r>
              <w:rPr>
                <w:rFonts w:ascii="Cambria Math" w:hAnsi="Cambria Math"/>
                <w:sz w:val="24"/>
                <w:szCs w:val="24"/>
              </w:rPr>
              <m:t>θ</m:t>
            </m:r>
          </m:e>
          <m:sub>
            <m:r>
              <m:rPr>
                <m:sty m:val="p"/>
              </m:rPr>
              <w:rPr>
                <w:rFonts w:ascii="Cambria Math" w:hAnsi="Cambria Math"/>
                <w:sz w:val="24"/>
                <w:szCs w:val="24"/>
              </w:rPr>
              <m:t>4</m:t>
            </m:r>
          </m:sub>
        </m:sSub>
        <m:d>
          <m:dPr>
            <m:ctrlPr>
              <w:rPr>
                <w:rFonts w:ascii="Cambria Math" w:hAnsi="Cambria Math"/>
                <w:sz w:val="24"/>
                <w:szCs w:val="24"/>
              </w:rPr>
            </m:ctrlPr>
          </m:dPr>
          <m:e>
            <m:r>
              <w:rPr>
                <w:rFonts w:ascii="Cambria Math" w:hAnsi="Cambria Math"/>
                <w:sz w:val="24"/>
                <w:szCs w:val="24"/>
              </w:rPr>
              <m:t>x</m:t>
            </m:r>
          </m:e>
        </m:d>
      </m:oMath>
      <w:r w:rsidRPr="008B4A34">
        <w:rPr>
          <w:sz w:val="24"/>
          <w:szCs w:val="24"/>
        </w:rPr>
        <w:t xml:space="preserve"> es el monto solicitado en crédito, </w:t>
      </w:r>
      <m:oMath>
        <m:r>
          <w:rPr>
            <w:rFonts w:ascii="Cambria Math" w:hAnsi="Cambria Math"/>
            <w:sz w:val="24"/>
            <w:szCs w:val="24"/>
          </w:rPr>
          <m:t>d</m:t>
        </m:r>
      </m:oMath>
      <w:r w:rsidRPr="008B4A34">
        <w:rPr>
          <w:sz w:val="24"/>
          <w:szCs w:val="24"/>
        </w:rPr>
        <w:t xml:space="preserve"> representa el incremento anual efectivo del costo debido al retraso en conseguir este tipo de créditos y </w:t>
      </w:r>
      <m:oMath>
        <m:r>
          <w:rPr>
            <w:rFonts w:ascii="Cambria Math" w:hAnsi="Cambria Math"/>
            <w:sz w:val="24"/>
            <w:szCs w:val="24"/>
          </w:rPr>
          <m:t>t</m:t>
        </m:r>
      </m:oMath>
      <w:r w:rsidRPr="008B4A34">
        <w:rPr>
          <w:sz w:val="24"/>
          <w:szCs w:val="24"/>
        </w:rPr>
        <w:t xml:space="preserve"> el número de meses que le toma al gobierno gestionar el financiamiento. </w:t>
      </w:r>
    </w:p>
    <w:p w14:paraId="2CB99253" w14:textId="77777777" w:rsidR="008A5924" w:rsidRPr="008B4A34" w:rsidRDefault="008A5924" w:rsidP="008A5924">
      <w:pPr>
        <w:rPr>
          <w:sz w:val="24"/>
          <w:szCs w:val="24"/>
        </w:rPr>
      </w:pPr>
    </w:p>
    <w:p w14:paraId="662F4B26" w14:textId="77777777" w:rsidR="008A5924" w:rsidRPr="008B4A34" w:rsidRDefault="008A5924" w:rsidP="00DD6292">
      <w:pPr>
        <w:pStyle w:val="Prrafodelista"/>
        <w:widowControl/>
        <w:numPr>
          <w:ilvl w:val="0"/>
          <w:numId w:val="9"/>
        </w:numPr>
        <w:spacing w:after="160" w:line="259" w:lineRule="auto"/>
        <w:rPr>
          <w:sz w:val="24"/>
          <w:szCs w:val="24"/>
        </w:rPr>
      </w:pPr>
      <w:r w:rsidRPr="008B4A34">
        <w:rPr>
          <w:sz w:val="24"/>
          <w:szCs w:val="24"/>
        </w:rPr>
        <w:t>Transferencia de riesgo:</w:t>
      </w:r>
    </w:p>
    <w:p w14:paraId="3F62D835" w14:textId="77777777" w:rsidR="008A5924" w:rsidRPr="008B4A34" w:rsidRDefault="008A5924" w:rsidP="008A5924">
      <w:pPr>
        <w:rPr>
          <w:sz w:val="24"/>
          <w:szCs w:val="24"/>
        </w:rPr>
      </w:pPr>
      <w:r w:rsidRPr="008B4A34">
        <w:rPr>
          <w:sz w:val="24"/>
          <w:szCs w:val="24"/>
        </w:rPr>
        <w:t>Como instrumento de riesgo para este análisis se considera el método de seguro y se estima que su costo es</w:t>
      </w:r>
    </w:p>
    <w:p w14:paraId="4E0D3634" w14:textId="77777777" w:rsidR="008A5924" w:rsidRPr="008B4A34" w:rsidRDefault="00000000" w:rsidP="008A5924">
      <m:oMathPara>
        <m:oMath>
          <m:sSub>
            <m:sSubPr>
              <m:ctrlPr>
                <w:rPr>
                  <w:rFonts w:ascii="Cambria Math" w:hAnsi="Cambria Math"/>
                </w:rPr>
              </m:ctrlPr>
            </m:sSubPr>
            <m:e>
              <m:r>
                <w:rPr>
                  <w:rFonts w:ascii="Cambria Math" w:hAnsi="Cambria Math"/>
                </w:rPr>
                <m:t>C</m:t>
              </m:r>
            </m:e>
            <m:sub>
              <m:r>
                <m:rPr>
                  <m:sty m:val="p"/>
                </m:rPr>
                <w:rPr>
                  <w:rFonts w:ascii="Cambria Math" w:hAnsi="Cambria Math"/>
                </w:rPr>
                <m:t>5</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λ</m:t>
                  </m:r>
                </m:e>
                <m:sub>
                  <m:r>
                    <m:rPr>
                      <m:sty m:val="p"/>
                    </m:rPr>
                    <w:rPr>
                      <w:rFonts w:ascii="Cambria Math" w:hAnsi="Cambria Math"/>
                    </w:rPr>
                    <m:t>1</m:t>
                  </m:r>
                </m:sub>
              </m:sSub>
              <m:r>
                <w:rPr>
                  <w:rFonts w:ascii="Cambria Math" w:hAnsi="Cambria Math"/>
                </w:rPr>
                <m:t>E</m:t>
              </m:r>
              <m:d>
                <m:dPr>
                  <m:ctrlPr>
                    <w:rPr>
                      <w:rFonts w:ascii="Cambria Math" w:hAnsi="Cambria Math"/>
                    </w:rPr>
                  </m:ctrlPr>
                </m:dPr>
                <m:e>
                  <m:r>
                    <w:rPr>
                      <w:rFonts w:ascii="Cambria Math" w:hAnsi="Cambria Math"/>
                    </w:rPr>
                    <m:t>p</m:t>
                  </m:r>
                  <m:r>
                    <m:rPr>
                      <m:sty m:val="p"/>
                    </m:rPr>
                    <w:rPr>
                      <w:rFonts w:ascii="Cambria Math" w:hAnsi="Cambria Math"/>
                    </w:rPr>
                    <m:t>é</m:t>
                  </m:r>
                  <m:r>
                    <w:rPr>
                      <w:rFonts w:ascii="Cambria Math" w:hAnsi="Cambria Math"/>
                    </w:rPr>
                    <m:t>rdidas</m:t>
                  </m:r>
                </m:e>
              </m:d>
              <m:r>
                <m:rPr>
                  <m:sty m:val="p"/>
                </m:rPr>
                <w:rPr>
                  <w:rFonts w:ascii="Cambria Math" w:hAnsi="Cambria Math"/>
                </w:rPr>
                <m:t>,</m:t>
              </m:r>
              <m:r>
                <w:rPr>
                  <w:rFonts w:ascii="Cambria Math" w:hAnsi="Cambria Math"/>
                </w:rPr>
                <m:t>E</m:t>
              </m:r>
              <m:d>
                <m:dPr>
                  <m:ctrlPr>
                    <w:rPr>
                      <w:rFonts w:ascii="Cambria Math" w:hAnsi="Cambria Math"/>
                    </w:rPr>
                  </m:ctrlPr>
                </m:dPr>
                <m:e>
                  <m:r>
                    <w:rPr>
                      <w:rFonts w:ascii="Cambria Math" w:hAnsi="Cambria Math"/>
                    </w:rPr>
                    <m:t>p</m:t>
                  </m:r>
                  <m:r>
                    <m:rPr>
                      <m:sty m:val="p"/>
                    </m:rPr>
                    <w:rPr>
                      <w:rFonts w:ascii="Cambria Math" w:hAnsi="Cambria Math"/>
                    </w:rPr>
                    <m:t>é</m:t>
                  </m:r>
                  <m:r>
                    <w:rPr>
                      <w:rFonts w:ascii="Cambria Math" w:hAnsi="Cambria Math"/>
                    </w:rPr>
                    <m:t>rdidas</m:t>
                  </m:r>
                </m:e>
              </m:d>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r>
                <w:rPr>
                  <w:rFonts w:ascii="Cambria Math" w:hAnsi="Cambria Math"/>
                </w:rPr>
                <m:t>σ</m:t>
              </m:r>
            </m:e>
          </m:d>
        </m:oMath>
      </m:oMathPara>
    </w:p>
    <w:p w14:paraId="6BE557A2" w14:textId="77777777" w:rsidR="008A5924" w:rsidRPr="008B4A34" w:rsidRDefault="008A5924" w:rsidP="008A5924"/>
    <w:p w14:paraId="585FCD86" w14:textId="77777777" w:rsidR="008A5924" w:rsidRPr="008B4A34" w:rsidRDefault="008A5924" w:rsidP="008A5924">
      <w:pPr>
        <w:rPr>
          <w:sz w:val="24"/>
          <w:szCs w:val="24"/>
        </w:rPr>
      </w:pPr>
      <w:r w:rsidRPr="008B4A34">
        <w:rPr>
          <w:sz w:val="24"/>
          <w:szCs w:val="24"/>
        </w:rPr>
        <w:t xml:space="preserve">esto es, simplemente el costo de la póliza del seguro provista por CCRIF, donde </w:t>
      </w:r>
      <m:oMath>
        <m:r>
          <w:rPr>
            <w:rFonts w:ascii="Cambria Math" w:hAnsi="Cambria Math"/>
            <w:sz w:val="24"/>
            <w:szCs w:val="24"/>
          </w:rPr>
          <m:t>E</m:t>
        </m:r>
        <m:d>
          <m:dPr>
            <m:ctrlPr>
              <w:rPr>
                <w:rFonts w:ascii="Cambria Math" w:hAnsi="Cambria Math"/>
                <w:sz w:val="24"/>
                <w:szCs w:val="24"/>
              </w:rPr>
            </m:ctrlPr>
          </m:dPr>
          <m:e>
            <m:r>
              <w:rPr>
                <w:rFonts w:ascii="Cambria Math" w:hAnsi="Cambria Math"/>
                <w:sz w:val="24"/>
                <w:szCs w:val="24"/>
              </w:rPr>
              <m:t>p</m:t>
            </m:r>
            <m:r>
              <m:rPr>
                <m:sty m:val="p"/>
              </m:rPr>
              <w:rPr>
                <w:rFonts w:ascii="Cambria Math" w:hAnsi="Cambria Math"/>
                <w:sz w:val="24"/>
                <w:szCs w:val="24"/>
              </w:rPr>
              <m:t>é</m:t>
            </m:r>
            <m:r>
              <w:rPr>
                <w:rFonts w:ascii="Cambria Math" w:hAnsi="Cambria Math"/>
                <w:sz w:val="24"/>
                <w:szCs w:val="24"/>
              </w:rPr>
              <m:t>rdidas</m:t>
            </m:r>
          </m:e>
        </m:d>
      </m:oMath>
      <w:r w:rsidRPr="008B4A34">
        <w:rPr>
          <w:sz w:val="24"/>
          <w:szCs w:val="24"/>
        </w:rPr>
        <w:t xml:space="preserve"> es la esperanza matemática de las pérdidas según modelo desarrollado por el proveedor del seguro, </w:t>
      </w:r>
      <m:oMath>
        <m:sSub>
          <m:sSubPr>
            <m:ctrlPr>
              <w:rPr>
                <w:rFonts w:ascii="Cambria Math" w:hAnsi="Cambria Math"/>
                <w:sz w:val="24"/>
                <w:szCs w:val="24"/>
              </w:rPr>
            </m:ctrlPr>
          </m:sSubPr>
          <m:e>
            <m:r>
              <w:rPr>
                <w:rFonts w:ascii="Cambria Math" w:hAnsi="Cambria Math"/>
                <w:sz w:val="24"/>
                <w:szCs w:val="24"/>
              </w:rPr>
              <m:t>λ</m:t>
            </m:r>
          </m:e>
          <m:sub>
            <m:r>
              <m:rPr>
                <m:sty m:val="p"/>
              </m:rPr>
              <w:rPr>
                <w:rFonts w:ascii="Cambria Math" w:hAnsi="Cambria Math"/>
                <w:sz w:val="24"/>
                <w:szCs w:val="24"/>
              </w:rPr>
              <m:t>1</m:t>
            </m:r>
          </m:sub>
        </m:sSub>
      </m:oMath>
      <w:r w:rsidRPr="008B4A34">
        <w:rPr>
          <w:sz w:val="24"/>
          <w:szCs w:val="24"/>
        </w:rPr>
        <w:t xml:space="preserve">y </w:t>
      </w:r>
      <m:oMath>
        <m:sSub>
          <m:sSubPr>
            <m:ctrlPr>
              <w:rPr>
                <w:rFonts w:ascii="Cambria Math" w:hAnsi="Cambria Math"/>
                <w:sz w:val="24"/>
                <w:szCs w:val="24"/>
              </w:rPr>
            </m:ctrlPr>
          </m:sSubPr>
          <m:e>
            <m:r>
              <w:rPr>
                <w:rFonts w:ascii="Cambria Math" w:hAnsi="Cambria Math"/>
                <w:sz w:val="24"/>
                <w:szCs w:val="24"/>
              </w:rPr>
              <m:t>λ</m:t>
            </m:r>
          </m:e>
          <m:sub>
            <m:r>
              <m:rPr>
                <m:sty m:val="p"/>
              </m:rPr>
              <w:rPr>
                <w:rFonts w:ascii="Cambria Math" w:hAnsi="Cambria Math"/>
                <w:sz w:val="24"/>
                <w:szCs w:val="24"/>
              </w:rPr>
              <m:t>2</m:t>
            </m:r>
          </m:sub>
        </m:sSub>
      </m:oMath>
      <w:r w:rsidRPr="008B4A34">
        <w:rPr>
          <w:sz w:val="24"/>
          <w:szCs w:val="24"/>
        </w:rPr>
        <w:t xml:space="preserve"> son factores de carga. </w:t>
      </w:r>
    </w:p>
    <w:p w14:paraId="6E5C6844" w14:textId="77777777" w:rsidR="008A5924" w:rsidRPr="008B4A34" w:rsidRDefault="008A5924" w:rsidP="008A5924">
      <w:pPr>
        <w:rPr>
          <w:sz w:val="24"/>
          <w:szCs w:val="24"/>
        </w:rPr>
      </w:pPr>
    </w:p>
    <w:p w14:paraId="6A18E9B1" w14:textId="77777777" w:rsidR="008A5924" w:rsidRPr="008B4A34" w:rsidRDefault="008A5924" w:rsidP="008A5924">
      <w:pPr>
        <w:pStyle w:val="Prrafodelista"/>
        <w:tabs>
          <w:tab w:val="left" w:pos="2859"/>
        </w:tabs>
        <w:spacing w:after="200"/>
        <w:ind w:left="0"/>
        <w:jc w:val="both"/>
        <w:rPr>
          <w:sz w:val="24"/>
          <w:szCs w:val="24"/>
        </w:rPr>
      </w:pPr>
      <w:r w:rsidRPr="008B4A34">
        <w:rPr>
          <w:sz w:val="24"/>
          <w:szCs w:val="24"/>
        </w:rPr>
        <w:t>Para poder hacer las comparativas necesarias se consideran la línea base con los siguientes instrumentos financieros: 1) Fondo de reserva emergente, 2) Readecuaciones presupuestarias, 3) Créditos ex-post, y se plantea el financiamiento con la línea base más los dos nuevos instrumentos financieros contemplados por el MINFIN, tomando en cuenta los valores estimados de daños y pérdidas siguientes:</w:t>
      </w:r>
    </w:p>
    <w:p w14:paraId="58CA2834" w14:textId="77777777" w:rsidR="008A5924" w:rsidRPr="00184700" w:rsidRDefault="008A5924" w:rsidP="008A5924">
      <w:pPr>
        <w:jc w:val="center"/>
        <w:rPr>
          <w:b/>
          <w:bCs/>
        </w:rPr>
      </w:pPr>
    </w:p>
    <w:p w14:paraId="5E754B39" w14:textId="5FFB3650" w:rsidR="008A5924" w:rsidRPr="008B4A34" w:rsidRDefault="008A5924" w:rsidP="008A5924">
      <w:pPr>
        <w:pStyle w:val="Descripcin"/>
        <w:keepNext/>
        <w:rPr>
          <w:color w:val="000000" w:themeColor="text1"/>
        </w:rPr>
      </w:pPr>
      <w:bookmarkStart w:id="126" w:name="_Toc16242953"/>
      <w:r w:rsidRPr="008B4A34">
        <w:rPr>
          <w:color w:val="000000" w:themeColor="text1"/>
        </w:rPr>
        <w:t xml:space="preserve">Cuadro  </w:t>
      </w:r>
      <w:r w:rsidRPr="008B4A34">
        <w:rPr>
          <w:color w:val="000000" w:themeColor="text1"/>
        </w:rPr>
        <w:fldChar w:fldCharType="begin"/>
      </w:r>
      <w:r w:rsidRPr="008B4A34">
        <w:rPr>
          <w:color w:val="000000" w:themeColor="text1"/>
        </w:rPr>
        <w:instrText xml:space="preserve"> SEQ Cuadro_ \* ARABIC </w:instrText>
      </w:r>
      <w:r w:rsidRPr="008B4A34">
        <w:rPr>
          <w:color w:val="000000" w:themeColor="text1"/>
        </w:rPr>
        <w:fldChar w:fldCharType="separate"/>
      </w:r>
      <w:r w:rsidR="004B2A60">
        <w:rPr>
          <w:noProof/>
          <w:color w:val="000000" w:themeColor="text1"/>
        </w:rPr>
        <w:t>3</w:t>
      </w:r>
      <w:r w:rsidRPr="008B4A34">
        <w:rPr>
          <w:noProof/>
          <w:color w:val="000000" w:themeColor="text1"/>
        </w:rPr>
        <w:fldChar w:fldCharType="end"/>
      </w:r>
      <w:r w:rsidRPr="008B4A34">
        <w:rPr>
          <w:color w:val="000000" w:themeColor="text1"/>
        </w:rPr>
        <w:t>: Valores estimados de daños y pérdidas para distintos períodos de retornos</w:t>
      </w:r>
      <w:bookmarkEnd w:id="126"/>
    </w:p>
    <w:p w14:paraId="54D3BEF8" w14:textId="77777777" w:rsidR="008A5924" w:rsidRPr="00184700" w:rsidRDefault="008A5924" w:rsidP="008A5924">
      <w:pPr>
        <w:pStyle w:val="Descripcin"/>
        <w:keepNext/>
        <w:rPr>
          <w:b w:val="0"/>
          <w:bCs/>
        </w:rPr>
      </w:pPr>
    </w:p>
    <w:tbl>
      <w:tblPr>
        <w:tblStyle w:val="Tablaconcuadrcula"/>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dotted" w:sz="4" w:space="0" w:color="auto"/>
          <w:insideV w:val="dotted" w:sz="4" w:space="0" w:color="auto"/>
        </w:tblBorders>
        <w:tblLook w:val="04A0" w:firstRow="1" w:lastRow="0" w:firstColumn="1" w:lastColumn="0" w:noHBand="0" w:noVBand="1"/>
      </w:tblPr>
      <w:tblGrid>
        <w:gridCol w:w="2628"/>
        <w:gridCol w:w="4218"/>
      </w:tblGrid>
      <w:tr w:rsidR="008A5924" w:rsidRPr="00184700" w14:paraId="6993778B" w14:textId="77777777" w:rsidTr="008A5924">
        <w:trPr>
          <w:trHeight w:val="194"/>
          <w:jc w:val="center"/>
        </w:trPr>
        <w:tc>
          <w:tcPr>
            <w:tcW w:w="2628" w:type="dxa"/>
            <w:tcBorders>
              <w:top w:val="single" w:sz="18" w:space="0" w:color="000000" w:themeColor="text1"/>
              <w:bottom w:val="single" w:sz="18" w:space="0" w:color="000000" w:themeColor="text1"/>
            </w:tcBorders>
            <w:shd w:val="clear" w:color="auto" w:fill="8DB3E2"/>
          </w:tcPr>
          <w:p w14:paraId="5A521432" w14:textId="77777777" w:rsidR="008A5924" w:rsidRPr="00184700" w:rsidRDefault="008A5924" w:rsidP="008A5924">
            <w:pPr>
              <w:pStyle w:val="Prrafodelista"/>
              <w:keepNext/>
              <w:tabs>
                <w:tab w:val="left" w:pos="2859"/>
              </w:tabs>
              <w:ind w:left="0"/>
              <w:jc w:val="center"/>
              <w:rPr>
                <w:b/>
                <w:bCs/>
              </w:rPr>
            </w:pPr>
            <w:r w:rsidRPr="00184700">
              <w:rPr>
                <w:b/>
              </w:rPr>
              <w:t>Período de retorno</w:t>
            </w:r>
          </w:p>
        </w:tc>
        <w:tc>
          <w:tcPr>
            <w:tcW w:w="4218" w:type="dxa"/>
            <w:tcBorders>
              <w:top w:val="single" w:sz="18" w:space="0" w:color="000000" w:themeColor="text1"/>
              <w:bottom w:val="single" w:sz="18" w:space="0" w:color="000000" w:themeColor="text1"/>
            </w:tcBorders>
            <w:shd w:val="clear" w:color="auto" w:fill="8DB3E2"/>
          </w:tcPr>
          <w:p w14:paraId="19DDB5C8" w14:textId="77777777" w:rsidR="008A5924" w:rsidRPr="00184700" w:rsidRDefault="008A5924" w:rsidP="008A5924">
            <w:pPr>
              <w:pStyle w:val="Prrafodelista"/>
              <w:keepNext/>
              <w:tabs>
                <w:tab w:val="left" w:pos="2859"/>
              </w:tabs>
              <w:ind w:left="0"/>
              <w:jc w:val="center"/>
              <w:rPr>
                <w:b/>
                <w:bCs/>
              </w:rPr>
            </w:pPr>
            <w:r w:rsidRPr="00184700">
              <w:rPr>
                <w:b/>
              </w:rPr>
              <w:t>Monto estimado de daños y pérdidas</w:t>
            </w:r>
          </w:p>
        </w:tc>
      </w:tr>
      <w:tr w:rsidR="008A5924" w:rsidRPr="00184700" w14:paraId="68C67972" w14:textId="77777777" w:rsidTr="008A5924">
        <w:trPr>
          <w:trHeight w:val="194"/>
          <w:jc w:val="center"/>
        </w:trPr>
        <w:tc>
          <w:tcPr>
            <w:tcW w:w="2628" w:type="dxa"/>
            <w:tcBorders>
              <w:top w:val="single" w:sz="18" w:space="0" w:color="000000" w:themeColor="text1"/>
            </w:tcBorders>
            <w:vAlign w:val="center"/>
          </w:tcPr>
          <w:p w14:paraId="595E110C" w14:textId="77777777" w:rsidR="008A5924" w:rsidRPr="00184700" w:rsidRDefault="008A5924" w:rsidP="008A5924">
            <w:pPr>
              <w:pStyle w:val="Prrafodelista"/>
              <w:keepNext/>
              <w:tabs>
                <w:tab w:val="left" w:pos="2859"/>
              </w:tabs>
              <w:ind w:left="0"/>
              <w:jc w:val="center"/>
              <w:rPr>
                <w:b/>
                <w:bCs/>
              </w:rPr>
            </w:pPr>
            <w:r w:rsidRPr="00184700">
              <w:t>1 en 5 años</w:t>
            </w:r>
          </w:p>
        </w:tc>
        <w:tc>
          <w:tcPr>
            <w:tcW w:w="4218" w:type="dxa"/>
            <w:tcBorders>
              <w:top w:val="single" w:sz="18" w:space="0" w:color="000000" w:themeColor="text1"/>
            </w:tcBorders>
            <w:vAlign w:val="center"/>
          </w:tcPr>
          <w:p w14:paraId="08C0D560" w14:textId="77777777" w:rsidR="008A5924" w:rsidRPr="00184700" w:rsidRDefault="008A5924" w:rsidP="008A5924">
            <w:pPr>
              <w:pStyle w:val="Prrafodelista"/>
              <w:keepNext/>
              <w:tabs>
                <w:tab w:val="left" w:pos="2859"/>
              </w:tabs>
              <w:ind w:left="0"/>
              <w:jc w:val="center"/>
            </w:pPr>
            <w:r w:rsidRPr="00184700">
              <w:t>US$464 millones</w:t>
            </w:r>
          </w:p>
        </w:tc>
      </w:tr>
      <w:tr w:rsidR="008A5924" w:rsidRPr="00184700" w14:paraId="62D2A609" w14:textId="77777777" w:rsidTr="008A5924">
        <w:trPr>
          <w:trHeight w:val="199"/>
          <w:jc w:val="center"/>
        </w:trPr>
        <w:tc>
          <w:tcPr>
            <w:tcW w:w="2628" w:type="dxa"/>
            <w:vAlign w:val="center"/>
          </w:tcPr>
          <w:p w14:paraId="212E05C0" w14:textId="77777777" w:rsidR="008A5924" w:rsidRPr="00184700" w:rsidRDefault="008A5924" w:rsidP="008A5924">
            <w:pPr>
              <w:pStyle w:val="Prrafodelista"/>
              <w:keepNext/>
              <w:tabs>
                <w:tab w:val="left" w:pos="2859"/>
              </w:tabs>
              <w:ind w:left="0"/>
              <w:jc w:val="center"/>
              <w:rPr>
                <w:b/>
                <w:bCs/>
              </w:rPr>
            </w:pPr>
            <w:r w:rsidRPr="00184700">
              <w:t>1 en 10 años</w:t>
            </w:r>
          </w:p>
        </w:tc>
        <w:tc>
          <w:tcPr>
            <w:tcW w:w="4218" w:type="dxa"/>
            <w:vAlign w:val="center"/>
          </w:tcPr>
          <w:p w14:paraId="7D9F4979" w14:textId="77777777" w:rsidR="008A5924" w:rsidRPr="00184700" w:rsidRDefault="008A5924" w:rsidP="008A5924">
            <w:pPr>
              <w:pStyle w:val="Prrafodelista"/>
              <w:keepNext/>
              <w:tabs>
                <w:tab w:val="left" w:pos="2859"/>
              </w:tabs>
              <w:ind w:left="0"/>
              <w:jc w:val="center"/>
            </w:pPr>
            <w:r w:rsidRPr="00184700">
              <w:t>US$801 millones</w:t>
            </w:r>
          </w:p>
        </w:tc>
      </w:tr>
      <w:tr w:rsidR="008A5924" w:rsidRPr="00184700" w14:paraId="5834D45C" w14:textId="77777777" w:rsidTr="008A5924">
        <w:trPr>
          <w:trHeight w:val="194"/>
          <w:jc w:val="center"/>
        </w:trPr>
        <w:tc>
          <w:tcPr>
            <w:tcW w:w="2628" w:type="dxa"/>
            <w:vAlign w:val="center"/>
          </w:tcPr>
          <w:p w14:paraId="46388382" w14:textId="77777777" w:rsidR="008A5924" w:rsidRPr="00184700" w:rsidRDefault="008A5924" w:rsidP="008A5924">
            <w:pPr>
              <w:pStyle w:val="Prrafodelista"/>
              <w:keepNext/>
              <w:tabs>
                <w:tab w:val="left" w:pos="2859"/>
              </w:tabs>
              <w:ind w:left="0"/>
              <w:jc w:val="center"/>
              <w:rPr>
                <w:b/>
                <w:bCs/>
              </w:rPr>
            </w:pPr>
            <w:r w:rsidRPr="00184700">
              <w:t>1 en 20 años</w:t>
            </w:r>
          </w:p>
        </w:tc>
        <w:tc>
          <w:tcPr>
            <w:tcW w:w="4218" w:type="dxa"/>
            <w:vAlign w:val="center"/>
          </w:tcPr>
          <w:p w14:paraId="0119DCB6" w14:textId="77777777" w:rsidR="008A5924" w:rsidRPr="00184700" w:rsidRDefault="008A5924" w:rsidP="008A5924">
            <w:pPr>
              <w:pStyle w:val="Prrafodelista"/>
              <w:keepNext/>
              <w:tabs>
                <w:tab w:val="left" w:pos="2859"/>
              </w:tabs>
              <w:ind w:left="0"/>
              <w:jc w:val="center"/>
            </w:pPr>
            <w:r w:rsidRPr="00184700">
              <w:t>US$1,566 millones</w:t>
            </w:r>
          </w:p>
        </w:tc>
      </w:tr>
      <w:tr w:rsidR="008A5924" w:rsidRPr="00184700" w14:paraId="4A043525" w14:textId="77777777" w:rsidTr="008A5924">
        <w:trPr>
          <w:trHeight w:val="194"/>
          <w:jc w:val="center"/>
        </w:trPr>
        <w:tc>
          <w:tcPr>
            <w:tcW w:w="2628" w:type="dxa"/>
            <w:vAlign w:val="center"/>
          </w:tcPr>
          <w:p w14:paraId="7DC3A7A2" w14:textId="77777777" w:rsidR="008A5924" w:rsidRPr="00184700" w:rsidRDefault="008A5924" w:rsidP="008A5924">
            <w:pPr>
              <w:pStyle w:val="Prrafodelista"/>
              <w:keepNext/>
              <w:tabs>
                <w:tab w:val="left" w:pos="2859"/>
              </w:tabs>
              <w:ind w:left="0"/>
              <w:jc w:val="center"/>
              <w:rPr>
                <w:b/>
                <w:bCs/>
              </w:rPr>
            </w:pPr>
            <w:r w:rsidRPr="00184700">
              <w:t>1 en 50 años</w:t>
            </w:r>
          </w:p>
        </w:tc>
        <w:tc>
          <w:tcPr>
            <w:tcW w:w="4218" w:type="dxa"/>
            <w:vAlign w:val="center"/>
          </w:tcPr>
          <w:p w14:paraId="5602F1D4" w14:textId="77777777" w:rsidR="008A5924" w:rsidRPr="00184700" w:rsidRDefault="008A5924" w:rsidP="008A5924">
            <w:pPr>
              <w:pStyle w:val="Prrafodelista"/>
              <w:keepNext/>
              <w:tabs>
                <w:tab w:val="left" w:pos="2859"/>
              </w:tabs>
              <w:ind w:left="0"/>
              <w:jc w:val="center"/>
            </w:pPr>
            <w:r w:rsidRPr="00184700">
              <w:t>US$3,846 millones</w:t>
            </w:r>
          </w:p>
        </w:tc>
      </w:tr>
    </w:tbl>
    <w:p w14:paraId="1E77B232" w14:textId="77777777" w:rsidR="008A5924" w:rsidRPr="00184700" w:rsidRDefault="00C5567B" w:rsidP="008A5924">
      <w:pPr>
        <w:pStyle w:val="Prrafodelista"/>
        <w:tabs>
          <w:tab w:val="left" w:pos="2859"/>
        </w:tabs>
        <w:spacing w:after="200"/>
        <w:ind w:left="0"/>
        <w:jc w:val="both"/>
        <w:rPr>
          <w:sz w:val="16"/>
          <w:szCs w:val="16"/>
        </w:rPr>
      </w:pPr>
      <w:r>
        <w:rPr>
          <w:sz w:val="16"/>
          <w:szCs w:val="16"/>
        </w:rPr>
        <w:t xml:space="preserve">                                     </w:t>
      </w:r>
      <w:r w:rsidR="009C111D">
        <w:rPr>
          <w:sz w:val="16"/>
          <w:szCs w:val="16"/>
        </w:rPr>
        <w:t xml:space="preserve"> </w:t>
      </w:r>
      <w:r>
        <w:rPr>
          <w:sz w:val="16"/>
          <w:szCs w:val="16"/>
        </w:rPr>
        <w:t xml:space="preserve"> </w:t>
      </w:r>
      <w:r w:rsidR="008A5924" w:rsidRPr="00184700">
        <w:rPr>
          <w:sz w:val="16"/>
          <w:szCs w:val="16"/>
        </w:rPr>
        <w:t xml:space="preserve">Fuente: Banco Mundial </w:t>
      </w:r>
    </w:p>
    <w:p w14:paraId="70FBF543" w14:textId="77777777" w:rsidR="008A5924" w:rsidRPr="00184700" w:rsidRDefault="008A5924" w:rsidP="008A5924">
      <w:pPr>
        <w:pStyle w:val="Prrafodelista"/>
        <w:tabs>
          <w:tab w:val="left" w:pos="2859"/>
        </w:tabs>
        <w:spacing w:after="200"/>
        <w:ind w:left="0"/>
        <w:jc w:val="both"/>
      </w:pPr>
    </w:p>
    <w:p w14:paraId="0CFD0806" w14:textId="029C09F1" w:rsidR="008A5924" w:rsidRPr="008B4A34" w:rsidRDefault="00C06929" w:rsidP="008A5924">
      <w:pPr>
        <w:pStyle w:val="Prrafodelista"/>
        <w:tabs>
          <w:tab w:val="left" w:pos="2859"/>
        </w:tabs>
        <w:spacing w:after="200"/>
        <w:ind w:left="0"/>
        <w:jc w:val="both"/>
        <w:rPr>
          <w:sz w:val="24"/>
          <w:szCs w:val="24"/>
        </w:rPr>
      </w:pPr>
      <w:r>
        <w:rPr>
          <w:sz w:val="24"/>
          <w:szCs w:val="24"/>
        </w:rPr>
        <w:t>El</w:t>
      </w:r>
      <w:r w:rsidR="008A5924" w:rsidRPr="008B4A34">
        <w:rPr>
          <w:sz w:val="24"/>
          <w:szCs w:val="24"/>
        </w:rPr>
        <w:t xml:space="preserve"> </w:t>
      </w:r>
      <w:r w:rsidR="008A5924" w:rsidRPr="008B4A34">
        <w:rPr>
          <w:sz w:val="24"/>
          <w:szCs w:val="24"/>
        </w:rPr>
        <w:fldChar w:fldCharType="begin"/>
      </w:r>
      <w:r w:rsidR="008A5924" w:rsidRPr="008B4A34">
        <w:rPr>
          <w:sz w:val="24"/>
          <w:szCs w:val="24"/>
        </w:rPr>
        <w:instrText xml:space="preserve"> REF _Ref16173435 \h  \* MERGEFORMAT </w:instrText>
      </w:r>
      <w:r w:rsidR="008A5924" w:rsidRPr="008B4A34">
        <w:rPr>
          <w:sz w:val="24"/>
          <w:szCs w:val="24"/>
        </w:rPr>
      </w:r>
      <w:r w:rsidR="008A5924" w:rsidRPr="008B4A34">
        <w:rPr>
          <w:sz w:val="24"/>
          <w:szCs w:val="24"/>
        </w:rPr>
        <w:fldChar w:fldCharType="separate"/>
      </w:r>
      <w:r w:rsidR="004B2A60" w:rsidRPr="004B2A60">
        <w:rPr>
          <w:sz w:val="24"/>
          <w:szCs w:val="24"/>
        </w:rPr>
        <w:t xml:space="preserve">Gráfico  </w:t>
      </w:r>
      <w:r w:rsidR="004B2A60" w:rsidRPr="004B2A60">
        <w:rPr>
          <w:noProof/>
          <w:sz w:val="24"/>
          <w:szCs w:val="24"/>
        </w:rPr>
        <w:t>24</w:t>
      </w:r>
      <w:r w:rsidR="008A5924" w:rsidRPr="008B4A34">
        <w:rPr>
          <w:sz w:val="24"/>
          <w:szCs w:val="24"/>
        </w:rPr>
        <w:fldChar w:fldCharType="end"/>
      </w:r>
      <w:r w:rsidR="008A5924" w:rsidRPr="008B4A34">
        <w:rPr>
          <w:sz w:val="24"/>
          <w:szCs w:val="24"/>
        </w:rPr>
        <w:t xml:space="preserve"> muestra los ahorros potenciales esperados de la correcta aplicación de la Estrategia Financiera Ante el Riesgo de Desastre. Se puede observar que en los períodos de retorno de 1 en 5 años y 1 en 10 años se obtienen los mejores ahorros porcentuales respecto de la línea base, situación que decae conforme el impacto del desastre es mayor. </w:t>
      </w:r>
    </w:p>
    <w:p w14:paraId="62298B3F" w14:textId="1763CB9B" w:rsidR="008A5924" w:rsidRPr="008B4A34" w:rsidRDefault="008A5924" w:rsidP="008A5924">
      <w:pPr>
        <w:pStyle w:val="Descripcin"/>
        <w:keepNext/>
        <w:rPr>
          <w:b w:val="0"/>
          <w:color w:val="000000" w:themeColor="text1"/>
        </w:rPr>
      </w:pPr>
      <w:bookmarkStart w:id="127" w:name="_Ref16173435"/>
      <w:bookmarkStart w:id="128" w:name="_Toc16242987"/>
      <w:r w:rsidRPr="008B4A34">
        <w:rPr>
          <w:color w:val="000000" w:themeColor="text1"/>
        </w:rPr>
        <w:t xml:space="preserve">Gráfico  </w:t>
      </w:r>
      <w:r w:rsidRPr="008B4A34">
        <w:rPr>
          <w:color w:val="000000" w:themeColor="text1"/>
        </w:rPr>
        <w:fldChar w:fldCharType="begin"/>
      </w:r>
      <w:r w:rsidRPr="008B4A34">
        <w:rPr>
          <w:color w:val="000000" w:themeColor="text1"/>
        </w:rPr>
        <w:instrText xml:space="preserve"> SEQ Gráfico_ \* ARABIC </w:instrText>
      </w:r>
      <w:r w:rsidRPr="008B4A34">
        <w:rPr>
          <w:color w:val="000000" w:themeColor="text1"/>
        </w:rPr>
        <w:fldChar w:fldCharType="separate"/>
      </w:r>
      <w:r w:rsidR="004B2A60">
        <w:rPr>
          <w:noProof/>
          <w:color w:val="000000" w:themeColor="text1"/>
        </w:rPr>
        <w:t>24</w:t>
      </w:r>
      <w:r w:rsidRPr="008B4A34">
        <w:rPr>
          <w:noProof/>
          <w:color w:val="000000" w:themeColor="text1"/>
        </w:rPr>
        <w:fldChar w:fldCharType="end"/>
      </w:r>
      <w:bookmarkEnd w:id="127"/>
      <w:r w:rsidRPr="008B4A34">
        <w:rPr>
          <w:color w:val="000000" w:themeColor="text1"/>
        </w:rPr>
        <w:t>: Ahorros esperados respecto a la línea base</w:t>
      </w:r>
      <w:bookmarkEnd w:id="128"/>
    </w:p>
    <w:p w14:paraId="6ECFCB26" w14:textId="77777777" w:rsidR="008A5924" w:rsidRDefault="008A5924" w:rsidP="008A5924">
      <w:pPr>
        <w:keepNext/>
        <w:jc w:val="center"/>
        <w:rPr>
          <w:sz w:val="16"/>
          <w:szCs w:val="16"/>
        </w:rPr>
      </w:pPr>
      <w:r w:rsidRPr="00184700">
        <w:rPr>
          <w:sz w:val="16"/>
          <w:szCs w:val="16"/>
        </w:rPr>
        <w:t>Montos en millones de quetzales, porcentajes respecto a la línea base</w:t>
      </w:r>
    </w:p>
    <w:p w14:paraId="34B153C9" w14:textId="77777777" w:rsidR="008A700C" w:rsidRPr="00184700" w:rsidRDefault="008A700C" w:rsidP="008A5924">
      <w:pPr>
        <w:keepNext/>
        <w:jc w:val="center"/>
        <w:rPr>
          <w:sz w:val="16"/>
          <w:szCs w:val="16"/>
        </w:rPr>
      </w:pPr>
    </w:p>
    <w:p w14:paraId="11E81DEA" w14:textId="77777777" w:rsidR="008A5924" w:rsidRPr="00184700" w:rsidRDefault="008A5924" w:rsidP="008A5924">
      <w:pPr>
        <w:pStyle w:val="Prrafodelista"/>
        <w:tabs>
          <w:tab w:val="left" w:pos="2859"/>
        </w:tabs>
        <w:ind w:left="0"/>
        <w:jc w:val="center"/>
      </w:pPr>
      <w:r w:rsidRPr="00184700">
        <w:rPr>
          <w:noProof/>
          <w:lang w:val="es-GT" w:eastAsia="es-GT"/>
        </w:rPr>
        <w:drawing>
          <wp:inline distT="0" distB="0" distL="0" distR="0" wp14:anchorId="30CD61A1" wp14:editId="52272ABD">
            <wp:extent cx="4286250" cy="1758950"/>
            <wp:effectExtent l="0" t="0" r="0" b="0"/>
            <wp:docPr id="25" name="Gráfico 25">
              <a:extLst xmlns:a="http://schemas.openxmlformats.org/drawingml/2006/main">
                <a:ext uri="{FF2B5EF4-FFF2-40B4-BE49-F238E27FC236}">
                  <a16:creationId xmlns:a16="http://schemas.microsoft.com/office/drawing/2014/main" id="{E7D909C5-B359-4DE1-B062-9743CB3F5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D04FF6" w14:textId="77777777" w:rsidR="00C06929" w:rsidRDefault="006462EF" w:rsidP="008A5924">
      <w:pPr>
        <w:pStyle w:val="Sinespaciado"/>
        <w:jc w:val="both"/>
        <w:rPr>
          <w:rFonts w:ascii="Times New Roman" w:hAnsi="Times New Roman"/>
          <w:b/>
          <w:sz w:val="16"/>
          <w:szCs w:val="16"/>
        </w:rPr>
      </w:pPr>
      <w:r w:rsidRPr="00C06929">
        <w:rPr>
          <w:rFonts w:ascii="Times New Roman" w:hAnsi="Times New Roman"/>
          <w:b/>
          <w:sz w:val="16"/>
          <w:szCs w:val="16"/>
        </w:rPr>
        <w:t xml:space="preserve">                                      </w:t>
      </w:r>
      <w:r w:rsidR="009C111D" w:rsidRPr="00C06929">
        <w:rPr>
          <w:rFonts w:ascii="Times New Roman" w:hAnsi="Times New Roman"/>
          <w:b/>
          <w:sz w:val="16"/>
          <w:szCs w:val="16"/>
        </w:rPr>
        <w:t xml:space="preserve">  </w:t>
      </w:r>
      <w:r w:rsidRPr="00C06929">
        <w:rPr>
          <w:rFonts w:ascii="Times New Roman" w:hAnsi="Times New Roman"/>
          <w:b/>
          <w:sz w:val="16"/>
          <w:szCs w:val="16"/>
        </w:rPr>
        <w:t xml:space="preserve"> </w:t>
      </w:r>
    </w:p>
    <w:p w14:paraId="22983B74" w14:textId="77777777" w:rsidR="008A5924" w:rsidRPr="001203DD" w:rsidRDefault="00C06929" w:rsidP="00C06929">
      <w:pPr>
        <w:pStyle w:val="Sinespaciado"/>
        <w:ind w:left="1416"/>
        <w:jc w:val="both"/>
        <w:rPr>
          <w:rFonts w:ascii="Times New Roman" w:hAnsi="Times New Roman"/>
          <w:sz w:val="16"/>
          <w:szCs w:val="16"/>
        </w:rPr>
      </w:pPr>
      <w:r>
        <w:rPr>
          <w:rFonts w:ascii="Times New Roman" w:hAnsi="Times New Roman"/>
          <w:b/>
          <w:sz w:val="16"/>
          <w:szCs w:val="16"/>
        </w:rPr>
        <w:t xml:space="preserve">     </w:t>
      </w:r>
      <w:r w:rsidR="008A5924" w:rsidRPr="00C06929">
        <w:rPr>
          <w:rFonts w:ascii="Times New Roman" w:hAnsi="Times New Roman"/>
          <w:b/>
          <w:sz w:val="16"/>
          <w:szCs w:val="16"/>
        </w:rPr>
        <w:t>Fuente</w:t>
      </w:r>
      <w:r w:rsidR="008A5924" w:rsidRPr="001203DD">
        <w:rPr>
          <w:rFonts w:ascii="Times New Roman" w:hAnsi="Times New Roman"/>
          <w:sz w:val="16"/>
          <w:szCs w:val="16"/>
        </w:rPr>
        <w:t>. Elaboración Dirección de Transparencia Fiscal.</w:t>
      </w:r>
    </w:p>
    <w:p w14:paraId="452D95A0" w14:textId="77777777" w:rsidR="008A5924" w:rsidRPr="008B4A34" w:rsidRDefault="008A5924" w:rsidP="00DD6292">
      <w:pPr>
        <w:pStyle w:val="Ttulo2"/>
        <w:widowControl/>
        <w:numPr>
          <w:ilvl w:val="1"/>
          <w:numId w:val="5"/>
        </w:numPr>
        <w:spacing w:before="240" w:after="60"/>
        <w:ind w:left="993" w:hanging="633"/>
        <w:rPr>
          <w:sz w:val="24"/>
          <w:szCs w:val="24"/>
        </w:rPr>
      </w:pPr>
      <w:bookmarkStart w:id="129" w:name="_Toc522028910"/>
      <w:bookmarkStart w:id="130" w:name="_Toc16519904"/>
      <w:bookmarkStart w:id="131" w:name="_Hlk521894613"/>
      <w:r w:rsidRPr="008B4A34">
        <w:rPr>
          <w:sz w:val="24"/>
          <w:szCs w:val="24"/>
        </w:rPr>
        <w:t>Riesgos en los Sistemas de pensiones del Estado</w:t>
      </w:r>
      <w:bookmarkEnd w:id="129"/>
      <w:bookmarkEnd w:id="130"/>
      <w:r w:rsidRPr="008B4A34">
        <w:rPr>
          <w:sz w:val="24"/>
          <w:szCs w:val="24"/>
        </w:rPr>
        <w:t xml:space="preserve">   </w:t>
      </w:r>
    </w:p>
    <w:p w14:paraId="00D1F5B8" w14:textId="77777777" w:rsidR="008A5924" w:rsidRPr="008B4A34" w:rsidRDefault="008A5924" w:rsidP="008A5924">
      <w:pPr>
        <w:pStyle w:val="Sinespaciado"/>
        <w:spacing w:after="120"/>
        <w:jc w:val="both"/>
        <w:rPr>
          <w:rFonts w:ascii="Times New Roman" w:hAnsi="Times New Roman"/>
          <w:sz w:val="24"/>
          <w:szCs w:val="24"/>
        </w:rPr>
      </w:pPr>
    </w:p>
    <w:p w14:paraId="11CC381D"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El sistema de pensiones del sector público está conformado por el régimen de clases pasivas civiles del Estado (RCPCE) y regímenes de otras entidades del Gobierno Central y Gobiernos Locales, según lo faculten las leyes orgánicas de las mismas. Las características de cada régimen no son estandarizadas en cuanto al tipo de sistema, las condiciones para cotizar y los beneficios y otros.</w:t>
      </w:r>
    </w:p>
    <w:p w14:paraId="629160B7" w14:textId="77777777" w:rsidR="008A5924" w:rsidRPr="008B4A34" w:rsidRDefault="008A5924" w:rsidP="008A5924">
      <w:pPr>
        <w:pStyle w:val="Sinespaciado"/>
        <w:jc w:val="both"/>
        <w:rPr>
          <w:rFonts w:ascii="Times New Roman" w:hAnsi="Times New Roman"/>
          <w:sz w:val="24"/>
          <w:szCs w:val="24"/>
          <w:lang w:val="es-ES_tradnl"/>
        </w:rPr>
      </w:pPr>
    </w:p>
    <w:p w14:paraId="7E3829F3"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Los riesgos están asociados con: la falta de información pública sobre los sistemas (estudios actuariales y situación financiera de las entidades) y la situación patrimonial de los fondos de pensiones. No existe un seguimiento a las estadísticas de pensiones, ni un organismo que supervise a estas entidades.</w:t>
      </w:r>
    </w:p>
    <w:p w14:paraId="4BAE5327" w14:textId="77777777" w:rsidR="008A5924" w:rsidRPr="008B4A34" w:rsidRDefault="008A5924" w:rsidP="008A5924">
      <w:pPr>
        <w:jc w:val="both"/>
        <w:rPr>
          <w:rFonts w:ascii="Cambria" w:hAnsi="Cambria"/>
          <w:sz w:val="24"/>
          <w:szCs w:val="24"/>
        </w:rPr>
      </w:pPr>
    </w:p>
    <w:p w14:paraId="79B8CD04" w14:textId="77777777" w:rsidR="008A5924" w:rsidRPr="008B4A34" w:rsidRDefault="008A5924" w:rsidP="00DD6292">
      <w:pPr>
        <w:pStyle w:val="Ttulo3"/>
        <w:widowControl/>
        <w:numPr>
          <w:ilvl w:val="2"/>
          <w:numId w:val="5"/>
        </w:numPr>
        <w:spacing w:before="240" w:after="60"/>
        <w:ind w:left="1701" w:hanging="981"/>
        <w:jc w:val="both"/>
        <w:rPr>
          <w:sz w:val="24"/>
          <w:szCs w:val="24"/>
        </w:rPr>
      </w:pPr>
      <w:bookmarkStart w:id="132" w:name="_Toc522000264"/>
      <w:bookmarkStart w:id="133" w:name="_Toc522000328"/>
      <w:bookmarkStart w:id="134" w:name="_Toc522000462"/>
      <w:bookmarkStart w:id="135" w:name="_Toc522019213"/>
      <w:bookmarkStart w:id="136" w:name="_Toc522027570"/>
      <w:bookmarkStart w:id="137" w:name="_Toc522028406"/>
      <w:bookmarkStart w:id="138" w:name="_Toc522028587"/>
      <w:bookmarkStart w:id="139" w:name="_Toc522028642"/>
      <w:bookmarkStart w:id="140" w:name="_Toc522028911"/>
      <w:bookmarkStart w:id="141" w:name="_Toc509214774"/>
      <w:bookmarkStart w:id="142" w:name="_Toc16519905"/>
      <w:bookmarkEnd w:id="132"/>
      <w:bookmarkEnd w:id="133"/>
      <w:bookmarkEnd w:id="134"/>
      <w:bookmarkEnd w:id="135"/>
      <w:bookmarkEnd w:id="136"/>
      <w:bookmarkEnd w:id="137"/>
      <w:bookmarkEnd w:id="138"/>
      <w:bookmarkEnd w:id="139"/>
      <w:bookmarkEnd w:id="140"/>
      <w:r w:rsidRPr="008B4A34">
        <w:rPr>
          <w:sz w:val="24"/>
          <w:szCs w:val="24"/>
        </w:rPr>
        <w:t>Antecedentes</w:t>
      </w:r>
      <w:bookmarkEnd w:id="141"/>
      <w:r w:rsidRPr="008B4A34">
        <w:rPr>
          <w:sz w:val="24"/>
          <w:szCs w:val="24"/>
        </w:rPr>
        <w:t xml:space="preserve"> del Sistema de Clases Pasivas Civiles del Estado</w:t>
      </w:r>
      <w:bookmarkEnd w:id="142"/>
    </w:p>
    <w:p w14:paraId="419E0817" w14:textId="77777777" w:rsidR="008A5924" w:rsidRPr="008B4A34" w:rsidRDefault="008A5924" w:rsidP="008A5924">
      <w:pPr>
        <w:rPr>
          <w:sz w:val="24"/>
          <w:szCs w:val="24"/>
          <w:lang w:val="es-MX"/>
        </w:rPr>
      </w:pPr>
    </w:p>
    <w:p w14:paraId="66A93B16"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En Guatemala, el régimen de clases pasivas civiles del Estado está regulado por el Decreto No. 63-88 del Congreso de la República</w:t>
      </w:r>
      <w:r w:rsidR="003C2F1C">
        <w:rPr>
          <w:rFonts w:ascii="Times New Roman" w:hAnsi="Times New Roman"/>
          <w:sz w:val="24"/>
          <w:szCs w:val="24"/>
        </w:rPr>
        <w:t xml:space="preserve"> Guatemala</w:t>
      </w:r>
      <w:r w:rsidRPr="008B4A34">
        <w:rPr>
          <w:rFonts w:ascii="Times New Roman" w:hAnsi="Times New Roman"/>
          <w:sz w:val="24"/>
          <w:szCs w:val="24"/>
        </w:rPr>
        <w:t>. A lo largo de los años esta Ley ha tenido varias reformas, sin que se haya efectuado estudios rigurosos para determinar su sostenibilidad financiera, en detrimento de los ingresos tributarios que podrían utilizarse para gasto social o construcción de infraestructura.</w:t>
      </w:r>
    </w:p>
    <w:p w14:paraId="054CA7F1" w14:textId="77777777" w:rsidR="008A5924" w:rsidRPr="008B4A34" w:rsidRDefault="008A5924" w:rsidP="008A5924">
      <w:pPr>
        <w:pStyle w:val="Sinespaciado"/>
        <w:jc w:val="both"/>
        <w:rPr>
          <w:rFonts w:ascii="Times New Roman" w:hAnsi="Times New Roman"/>
          <w:sz w:val="24"/>
          <w:szCs w:val="24"/>
          <w:lang w:val="es-ES_tradnl"/>
        </w:rPr>
      </w:pPr>
    </w:p>
    <w:p w14:paraId="68D38012"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La cobertura del régimen de clases pasivas civiles del Estado (Administración Central y descentralizadas) es de carácter obligatorio para los trabajadores presupuestados en la Presidencia de la República, Ministerios de Estado, Secretarías de la Presidencia y otras entidades del Organismo Ejecutivo.  En el caso de los trabajadores de entidades descentralizadas y autónomas es opcional siempre y cuando la entidad esté inscrita al régimen y aporte una cuota p</w:t>
      </w:r>
      <w:r w:rsidR="00985B91" w:rsidRPr="008B4A34">
        <w:rPr>
          <w:rFonts w:ascii="Times New Roman" w:hAnsi="Times New Roman"/>
          <w:sz w:val="24"/>
          <w:szCs w:val="24"/>
        </w:rPr>
        <w:t>atronal de por lo menos el 10.0 por ciento</w:t>
      </w:r>
      <w:r w:rsidRPr="008B4A34">
        <w:rPr>
          <w:rFonts w:ascii="Times New Roman" w:hAnsi="Times New Roman"/>
          <w:sz w:val="24"/>
          <w:szCs w:val="24"/>
        </w:rPr>
        <w:t xml:space="preserve"> de las remuneraciones y la respectiva cuota laboral que se descuenta a los trabajadores de conformidad con la escala</w:t>
      </w:r>
      <w:r w:rsidRPr="008B4A34">
        <w:rPr>
          <w:rStyle w:val="Refdenotaalpie"/>
          <w:rFonts w:ascii="Times New Roman" w:hAnsi="Times New Roman"/>
          <w:sz w:val="24"/>
          <w:szCs w:val="24"/>
        </w:rPr>
        <w:footnoteReference w:id="10"/>
      </w:r>
      <w:r w:rsidRPr="008B4A34">
        <w:rPr>
          <w:rFonts w:ascii="Times New Roman" w:hAnsi="Times New Roman"/>
          <w:sz w:val="24"/>
          <w:szCs w:val="24"/>
        </w:rPr>
        <w:t xml:space="preserve">. </w:t>
      </w:r>
    </w:p>
    <w:p w14:paraId="14E5233C"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La principal amenaza a que está expuesto el régimen de clases pasivas civiles del Estado es la aprobación de leyes que incrementan los montos de las pensiones u otros beneficios, sin haber realizado previamente un estudio actuarial ni un análisis presupuestario y financiero para determinar la capacidad del Estado para absorber los costos, lo que compromete el destino de ingresos.</w:t>
      </w:r>
    </w:p>
    <w:p w14:paraId="35856F77" w14:textId="77777777" w:rsidR="008A5924" w:rsidRPr="008B4A34" w:rsidRDefault="008A5924" w:rsidP="008A5924">
      <w:pPr>
        <w:pStyle w:val="Sinespaciado"/>
        <w:jc w:val="both"/>
        <w:rPr>
          <w:rFonts w:ascii="Times New Roman" w:hAnsi="Times New Roman"/>
          <w:sz w:val="24"/>
          <w:szCs w:val="24"/>
        </w:rPr>
      </w:pPr>
    </w:p>
    <w:p w14:paraId="5B120AAF"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Por lo expuesto, la misma Ley establece la obligatoriedad de revisar periódicamente el régimen de clases pasivas, así como la facultad de poder crear un fondo con las aportaciones que administrado correctamente puede contribuir a su sostenibilidad financiera</w:t>
      </w:r>
    </w:p>
    <w:p w14:paraId="5E30CF56" w14:textId="77777777" w:rsidR="008A5924" w:rsidRPr="008B4A34" w:rsidRDefault="008A5924" w:rsidP="008A5924">
      <w:pPr>
        <w:spacing w:line="276" w:lineRule="auto"/>
        <w:rPr>
          <w:b/>
          <w:sz w:val="24"/>
          <w:szCs w:val="24"/>
        </w:rPr>
      </w:pPr>
    </w:p>
    <w:p w14:paraId="118F0870" w14:textId="77777777" w:rsidR="008A5924" w:rsidRPr="008B4A34" w:rsidRDefault="008A5924" w:rsidP="00DD6292">
      <w:pPr>
        <w:pStyle w:val="Ttulo3"/>
        <w:widowControl/>
        <w:numPr>
          <w:ilvl w:val="2"/>
          <w:numId w:val="5"/>
        </w:numPr>
        <w:spacing w:before="240" w:after="60"/>
        <w:ind w:left="1701" w:hanging="981"/>
        <w:jc w:val="both"/>
        <w:rPr>
          <w:sz w:val="24"/>
          <w:szCs w:val="24"/>
        </w:rPr>
      </w:pPr>
      <w:bookmarkStart w:id="143" w:name="_Toc508979711"/>
      <w:bookmarkStart w:id="144" w:name="_Toc508980069"/>
      <w:bookmarkStart w:id="145" w:name="_Toc508980222"/>
      <w:bookmarkStart w:id="146" w:name="_Toc508981263"/>
      <w:bookmarkStart w:id="147" w:name="_Toc508982508"/>
      <w:bookmarkStart w:id="148" w:name="_Toc509213517"/>
      <w:bookmarkStart w:id="149" w:name="_Toc509213580"/>
      <w:bookmarkStart w:id="150" w:name="_Toc509213646"/>
      <w:bookmarkStart w:id="151" w:name="_Toc509213811"/>
      <w:bookmarkStart w:id="152" w:name="_Toc509214775"/>
      <w:bookmarkStart w:id="153" w:name="_Toc508979714"/>
      <w:bookmarkStart w:id="154" w:name="_Toc508980072"/>
      <w:bookmarkStart w:id="155" w:name="_Toc508980225"/>
      <w:bookmarkStart w:id="156" w:name="_Toc508981266"/>
      <w:bookmarkStart w:id="157" w:name="_Toc508982511"/>
      <w:bookmarkStart w:id="158" w:name="_Toc509213520"/>
      <w:bookmarkStart w:id="159" w:name="_Toc509213583"/>
      <w:bookmarkStart w:id="160" w:name="_Toc509213649"/>
      <w:bookmarkStart w:id="161" w:name="_Toc509213814"/>
      <w:bookmarkStart w:id="162" w:name="_Toc509214778"/>
      <w:bookmarkStart w:id="163" w:name="_Toc508979717"/>
      <w:bookmarkStart w:id="164" w:name="_Toc508980075"/>
      <w:bookmarkStart w:id="165" w:name="_Toc508980228"/>
      <w:bookmarkStart w:id="166" w:name="_Toc508981269"/>
      <w:bookmarkStart w:id="167" w:name="_Toc508982514"/>
      <w:bookmarkStart w:id="168" w:name="_Toc509213523"/>
      <w:bookmarkStart w:id="169" w:name="_Toc509213586"/>
      <w:bookmarkStart w:id="170" w:name="_Toc509213652"/>
      <w:bookmarkStart w:id="171" w:name="_Toc509213817"/>
      <w:bookmarkStart w:id="172" w:name="_Toc509214781"/>
      <w:bookmarkStart w:id="173" w:name="_Toc508726942"/>
      <w:bookmarkStart w:id="174" w:name="_Toc509214782"/>
      <w:bookmarkStart w:id="175" w:name="_Toc1651990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8B4A34">
        <w:rPr>
          <w:sz w:val="24"/>
          <w:szCs w:val="24"/>
        </w:rPr>
        <w:t>Situación actual del Régimen de Clases Pasivas Civiles del Estado</w:t>
      </w:r>
      <w:bookmarkEnd w:id="173"/>
      <w:bookmarkEnd w:id="174"/>
      <w:bookmarkEnd w:id="175"/>
      <w:r w:rsidRPr="008B4A34">
        <w:rPr>
          <w:sz w:val="24"/>
          <w:szCs w:val="24"/>
        </w:rPr>
        <w:t xml:space="preserve">   </w:t>
      </w:r>
    </w:p>
    <w:p w14:paraId="37435D45" w14:textId="77777777" w:rsidR="008A5924" w:rsidRPr="008B4A34" w:rsidRDefault="008A5924" w:rsidP="008A5924">
      <w:pPr>
        <w:keepNext/>
        <w:rPr>
          <w:sz w:val="24"/>
          <w:szCs w:val="24"/>
          <w:lang w:val="es-MX"/>
        </w:rPr>
      </w:pPr>
    </w:p>
    <w:p w14:paraId="2E5DFCD4"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Para hablar de la situación actual, se tienen que mencionar dos aspectos: el sistema de pagos y el comportamiento del Régimen.</w:t>
      </w:r>
    </w:p>
    <w:p w14:paraId="66B925E8"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Por un lado, en cuanto al sistema de pagos, se aumentó la efectividad en la suspensión de pago de pensión a las cuentas de personas que fallecen durante cada mes; gracias a un convenio interinstitucional con Renap.</w:t>
      </w:r>
    </w:p>
    <w:p w14:paraId="67F02DC4" w14:textId="77777777" w:rsidR="008A5924" w:rsidRPr="008B4A3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En el caso del comportamiento del régimen de Clases Pasivas, como cualquier sistema de pensiones, tiene factores que influyen en el comportamiento y magnitud de las contribuciones y pensiones, entre los que están las disposiciones legales, presupuestarias, incentivos gubernamentales, fenómenos externos, transición demográfica de los empleados públicos y la tasa de ingreso a las clases pasivas, la edad de jubilación, el aumento de la esperanza de vida, el tiempo mínimo de cotización, la tasa de cotización</w:t>
      </w:r>
      <w:r w:rsidRPr="008B4A34">
        <w:rPr>
          <w:rFonts w:ascii="Times New Roman" w:hAnsi="Times New Roman"/>
          <w:sz w:val="24"/>
          <w:szCs w:val="24"/>
          <w:vertAlign w:val="superscript"/>
        </w:rPr>
        <w:footnoteReference w:id="11"/>
      </w:r>
      <w:r w:rsidRPr="008B4A34">
        <w:rPr>
          <w:rFonts w:ascii="Times New Roman" w:hAnsi="Times New Roman"/>
          <w:sz w:val="24"/>
          <w:szCs w:val="24"/>
        </w:rPr>
        <w:t xml:space="preserve"> y la tasa de reemplazo. Para el análisis de las variables concernientes a los colaboradores activos y que cotizan al Montepío del Estado, se realizó un proyecto en el Ministerio de Finanzas Públicas, a través de la Dirección de Transparencia Fiscal, cuyo objetivo era mejorar el registro de “fecha de inicio de labores”, especialmente para los registros de personal que inició a laborar antes del año 2000. Para esta instancia, se tuvo el apoyo a alto nivel para poder obtener los datos desde la fuente, en este caso es la Oficina Nacional de Servicio Civil. Con esta información, se podrá presentar mejores análisis en cuanto al comportamiento demográfico del sistema.</w:t>
      </w:r>
    </w:p>
    <w:p w14:paraId="0418950B" w14:textId="77777777" w:rsidR="008A5924" w:rsidRPr="008B4A34" w:rsidRDefault="008A5924" w:rsidP="008A5924">
      <w:pPr>
        <w:spacing w:line="276" w:lineRule="auto"/>
        <w:rPr>
          <w:sz w:val="24"/>
          <w:szCs w:val="24"/>
        </w:rPr>
      </w:pPr>
    </w:p>
    <w:p w14:paraId="3E1A7C7F" w14:textId="77777777" w:rsidR="008A5924" w:rsidRPr="008B4A34" w:rsidRDefault="008A5924" w:rsidP="00DD6292">
      <w:pPr>
        <w:pStyle w:val="Ttulo3"/>
        <w:widowControl/>
        <w:numPr>
          <w:ilvl w:val="2"/>
          <w:numId w:val="5"/>
        </w:numPr>
        <w:spacing w:before="240" w:after="60"/>
        <w:ind w:left="1701" w:hanging="981"/>
        <w:jc w:val="both"/>
        <w:rPr>
          <w:sz w:val="24"/>
          <w:szCs w:val="24"/>
        </w:rPr>
      </w:pPr>
      <w:bookmarkStart w:id="176" w:name="_Toc16519907"/>
      <w:r w:rsidRPr="008B4A34">
        <w:rPr>
          <w:sz w:val="24"/>
          <w:szCs w:val="24"/>
        </w:rPr>
        <w:t>Flujos del Régimen de Clases Pasivas Civiles del Estado</w:t>
      </w:r>
      <w:bookmarkEnd w:id="176"/>
    </w:p>
    <w:p w14:paraId="1926E224" w14:textId="77777777" w:rsidR="008A5924" w:rsidRPr="008B4A34" w:rsidRDefault="008A5924" w:rsidP="008A5924">
      <w:pPr>
        <w:rPr>
          <w:sz w:val="24"/>
          <w:szCs w:val="24"/>
          <w:lang w:val="es-MX"/>
        </w:rPr>
      </w:pPr>
    </w:p>
    <w:p w14:paraId="03BE35EE" w14:textId="77777777" w:rsidR="008A5924" w:rsidRDefault="008A5924" w:rsidP="008A5924">
      <w:pPr>
        <w:pStyle w:val="Sinespaciado"/>
        <w:jc w:val="both"/>
        <w:rPr>
          <w:rFonts w:ascii="Times New Roman" w:hAnsi="Times New Roman"/>
          <w:sz w:val="24"/>
          <w:szCs w:val="24"/>
        </w:rPr>
      </w:pPr>
      <w:r w:rsidRPr="008B4A34">
        <w:rPr>
          <w:rFonts w:ascii="Times New Roman" w:hAnsi="Times New Roman"/>
          <w:sz w:val="24"/>
          <w:szCs w:val="24"/>
        </w:rPr>
        <w:t>La siguiente tabla muestra el comportamiento de los pagos de las pensiones. El Estado se encarg</w:t>
      </w:r>
      <w:r w:rsidR="00985B91" w:rsidRPr="008B4A34">
        <w:rPr>
          <w:rFonts w:ascii="Times New Roman" w:hAnsi="Times New Roman"/>
          <w:sz w:val="24"/>
          <w:szCs w:val="24"/>
        </w:rPr>
        <w:t>ó de cubrir en el 2018 en un 61 por ciento</w:t>
      </w:r>
      <w:r w:rsidRPr="008B4A34">
        <w:rPr>
          <w:rFonts w:ascii="Times New Roman" w:hAnsi="Times New Roman"/>
          <w:sz w:val="24"/>
          <w:szCs w:val="24"/>
        </w:rPr>
        <w:t xml:space="preserve"> el monto de la planilla, el resto está constituido por las contribuciones de los empleados activos y las contribuciones de los entes descentralizados que tienen trabajadores que se adhirieron voluntariamente al régimen.</w:t>
      </w:r>
    </w:p>
    <w:p w14:paraId="33279D70" w14:textId="77777777" w:rsidR="008B4A34" w:rsidRPr="008B4A34" w:rsidRDefault="008B4A34" w:rsidP="008A5924">
      <w:pPr>
        <w:pStyle w:val="Sinespaciado"/>
        <w:jc w:val="both"/>
        <w:rPr>
          <w:rFonts w:ascii="Times New Roman" w:hAnsi="Times New Roman"/>
          <w:sz w:val="24"/>
          <w:szCs w:val="24"/>
        </w:rPr>
      </w:pPr>
    </w:p>
    <w:p w14:paraId="11CFB173" w14:textId="77777777" w:rsidR="008A5924" w:rsidRPr="00184700" w:rsidRDefault="008A5924" w:rsidP="008A5924">
      <w:pPr>
        <w:pStyle w:val="Sinespaciado"/>
        <w:jc w:val="both"/>
        <w:outlineLvl w:val="1"/>
        <w:rPr>
          <w:rFonts w:ascii="Times New Roman" w:hAnsi="Times New Roman"/>
          <w:lang w:val="es-MX"/>
        </w:rPr>
      </w:pPr>
    </w:p>
    <w:tbl>
      <w:tblPr>
        <w:tblW w:w="6851" w:type="dxa"/>
        <w:jc w:val="center"/>
        <w:tblCellMar>
          <w:left w:w="70" w:type="dxa"/>
          <w:right w:w="70" w:type="dxa"/>
        </w:tblCellMar>
        <w:tblLook w:val="04A0" w:firstRow="1" w:lastRow="0" w:firstColumn="1" w:lastColumn="0" w:noHBand="0" w:noVBand="1"/>
      </w:tblPr>
      <w:tblGrid>
        <w:gridCol w:w="805"/>
        <w:gridCol w:w="1412"/>
        <w:gridCol w:w="1547"/>
        <w:gridCol w:w="1634"/>
        <w:gridCol w:w="1453"/>
      </w:tblGrid>
      <w:tr w:rsidR="008A5924" w:rsidRPr="000045E9" w14:paraId="47F8923B" w14:textId="77777777" w:rsidTr="008A5924">
        <w:trPr>
          <w:trHeight w:val="279"/>
          <w:tblHeader/>
          <w:jc w:val="center"/>
        </w:trPr>
        <w:tc>
          <w:tcPr>
            <w:tcW w:w="6851" w:type="dxa"/>
            <w:gridSpan w:val="5"/>
            <w:noWrap/>
            <w:vAlign w:val="center"/>
            <w:hideMark/>
          </w:tcPr>
          <w:p w14:paraId="67D7417F" w14:textId="76333536" w:rsidR="008A5924" w:rsidRPr="000045E9" w:rsidRDefault="008A5924" w:rsidP="008A5924">
            <w:pPr>
              <w:pStyle w:val="Descripcin"/>
              <w:rPr>
                <w:color w:val="000000" w:themeColor="text1"/>
              </w:rPr>
            </w:pPr>
            <w:bookmarkStart w:id="177" w:name="_Toc16242954"/>
            <w:r w:rsidRPr="000045E9">
              <w:rPr>
                <w:color w:val="000000" w:themeColor="text1"/>
              </w:rPr>
              <w:t xml:space="preserve">Cuadro  </w:t>
            </w:r>
            <w:r w:rsidRPr="000045E9">
              <w:rPr>
                <w:color w:val="000000" w:themeColor="text1"/>
              </w:rPr>
              <w:fldChar w:fldCharType="begin"/>
            </w:r>
            <w:r w:rsidRPr="000045E9">
              <w:rPr>
                <w:color w:val="000000" w:themeColor="text1"/>
              </w:rPr>
              <w:instrText xml:space="preserve"> SEQ Cuadro_ \* ARABIC </w:instrText>
            </w:r>
            <w:r w:rsidRPr="000045E9">
              <w:rPr>
                <w:color w:val="000000" w:themeColor="text1"/>
              </w:rPr>
              <w:fldChar w:fldCharType="separate"/>
            </w:r>
            <w:r w:rsidR="004B2A60">
              <w:rPr>
                <w:noProof/>
                <w:color w:val="000000" w:themeColor="text1"/>
              </w:rPr>
              <w:t>4</w:t>
            </w:r>
            <w:r w:rsidRPr="000045E9">
              <w:rPr>
                <w:noProof/>
                <w:color w:val="000000" w:themeColor="text1"/>
              </w:rPr>
              <w:fldChar w:fldCharType="end"/>
            </w:r>
            <w:r w:rsidRPr="000045E9">
              <w:rPr>
                <w:color w:val="000000" w:themeColor="text1"/>
              </w:rPr>
              <w:t>: Situación de las Clases Pasivas Civiles del Estado</w:t>
            </w:r>
            <w:bookmarkEnd w:id="177"/>
          </w:p>
        </w:tc>
      </w:tr>
      <w:tr w:rsidR="008A5924" w:rsidRPr="000045E9" w14:paraId="20E51F11" w14:textId="77777777" w:rsidTr="008A5924">
        <w:trPr>
          <w:trHeight w:val="241"/>
          <w:tblHeader/>
          <w:jc w:val="center"/>
        </w:trPr>
        <w:tc>
          <w:tcPr>
            <w:tcW w:w="6851" w:type="dxa"/>
            <w:gridSpan w:val="5"/>
            <w:noWrap/>
            <w:vAlign w:val="center"/>
            <w:hideMark/>
          </w:tcPr>
          <w:p w14:paraId="260ECD42" w14:textId="77777777" w:rsidR="008A5924" w:rsidRPr="000045E9" w:rsidRDefault="008A5924" w:rsidP="008A5924">
            <w:pPr>
              <w:spacing w:line="276" w:lineRule="auto"/>
              <w:jc w:val="center"/>
              <w:rPr>
                <w:bCs/>
                <w:color w:val="000000" w:themeColor="text1"/>
                <w:sz w:val="16"/>
                <w:szCs w:val="16"/>
                <w:lang w:val="es-ES"/>
              </w:rPr>
            </w:pPr>
            <w:r w:rsidRPr="000045E9">
              <w:rPr>
                <w:bCs/>
                <w:color w:val="000000" w:themeColor="text1"/>
                <w:sz w:val="16"/>
                <w:szCs w:val="16"/>
                <w:lang w:val="es-ES"/>
              </w:rPr>
              <w:t>Periodo 1998 – 2018</w:t>
            </w:r>
          </w:p>
        </w:tc>
      </w:tr>
      <w:tr w:rsidR="008A5924" w:rsidRPr="000045E9" w14:paraId="5102C4A1" w14:textId="77777777" w:rsidTr="008A5924">
        <w:trPr>
          <w:trHeight w:val="130"/>
          <w:tblHeader/>
          <w:jc w:val="center"/>
        </w:trPr>
        <w:tc>
          <w:tcPr>
            <w:tcW w:w="6851" w:type="dxa"/>
            <w:gridSpan w:val="5"/>
            <w:tcBorders>
              <w:top w:val="nil"/>
              <w:left w:val="nil"/>
              <w:bottom w:val="single" w:sz="12" w:space="0" w:color="auto"/>
              <w:right w:val="nil"/>
            </w:tcBorders>
            <w:noWrap/>
            <w:vAlign w:val="center"/>
            <w:hideMark/>
          </w:tcPr>
          <w:p w14:paraId="10E58A99" w14:textId="77777777" w:rsidR="008A5924" w:rsidRPr="000045E9" w:rsidRDefault="008A5924" w:rsidP="008A5924">
            <w:pPr>
              <w:spacing w:line="276" w:lineRule="auto"/>
              <w:jc w:val="center"/>
              <w:rPr>
                <w:bCs/>
                <w:color w:val="000000" w:themeColor="text1"/>
                <w:sz w:val="16"/>
                <w:szCs w:val="16"/>
                <w:lang w:val="es-ES"/>
              </w:rPr>
            </w:pPr>
            <w:r w:rsidRPr="000045E9">
              <w:rPr>
                <w:bCs/>
                <w:color w:val="000000" w:themeColor="text1"/>
                <w:sz w:val="16"/>
                <w:szCs w:val="16"/>
                <w:lang w:val="es-ES"/>
              </w:rPr>
              <w:t>Millones de Quetzales</w:t>
            </w:r>
          </w:p>
        </w:tc>
      </w:tr>
      <w:tr w:rsidR="008A5924" w:rsidRPr="000045E9" w14:paraId="3DABA85C" w14:textId="77777777" w:rsidTr="008A5924">
        <w:trPr>
          <w:trHeight w:val="550"/>
          <w:tblHeader/>
          <w:jc w:val="center"/>
        </w:trPr>
        <w:tc>
          <w:tcPr>
            <w:tcW w:w="805" w:type="dxa"/>
            <w:tcBorders>
              <w:top w:val="single" w:sz="12" w:space="0" w:color="auto"/>
              <w:left w:val="single" w:sz="12" w:space="0" w:color="auto"/>
              <w:bottom w:val="dotted" w:sz="4" w:space="0" w:color="auto"/>
              <w:right w:val="dotted" w:sz="4" w:space="0" w:color="auto"/>
            </w:tcBorders>
            <w:shd w:val="clear" w:color="auto" w:fill="8DB3E2"/>
            <w:noWrap/>
            <w:vAlign w:val="center"/>
            <w:hideMark/>
          </w:tcPr>
          <w:p w14:paraId="723E4567" w14:textId="77777777" w:rsidR="008A5924" w:rsidRPr="000045E9" w:rsidRDefault="008A5924" w:rsidP="008A5924">
            <w:pPr>
              <w:spacing w:line="276" w:lineRule="auto"/>
              <w:jc w:val="center"/>
              <w:rPr>
                <w:b/>
                <w:bCs/>
                <w:color w:val="000000" w:themeColor="text1"/>
                <w:sz w:val="16"/>
                <w:lang w:val="es-ES"/>
              </w:rPr>
            </w:pPr>
            <w:r w:rsidRPr="000045E9">
              <w:rPr>
                <w:b/>
                <w:bCs/>
                <w:color w:val="000000" w:themeColor="text1"/>
                <w:sz w:val="16"/>
                <w:lang w:val="es-ES"/>
              </w:rPr>
              <w:t>Año </w:t>
            </w:r>
          </w:p>
        </w:tc>
        <w:tc>
          <w:tcPr>
            <w:tcW w:w="1412" w:type="dxa"/>
            <w:tcBorders>
              <w:top w:val="single" w:sz="12" w:space="0" w:color="auto"/>
              <w:left w:val="dotted" w:sz="4" w:space="0" w:color="auto"/>
              <w:bottom w:val="dotted" w:sz="4" w:space="0" w:color="auto"/>
              <w:right w:val="dotted" w:sz="4" w:space="0" w:color="auto"/>
            </w:tcBorders>
            <w:shd w:val="clear" w:color="auto" w:fill="8DB3E2"/>
            <w:vAlign w:val="center"/>
            <w:hideMark/>
          </w:tcPr>
          <w:p w14:paraId="59F9765B" w14:textId="77777777" w:rsidR="008A5924" w:rsidRPr="000045E9" w:rsidRDefault="008A5924" w:rsidP="008A5924">
            <w:pPr>
              <w:spacing w:line="276" w:lineRule="auto"/>
              <w:jc w:val="center"/>
              <w:rPr>
                <w:b/>
                <w:bCs/>
                <w:color w:val="000000" w:themeColor="text1"/>
                <w:sz w:val="16"/>
                <w:lang w:val="es-ES"/>
              </w:rPr>
            </w:pPr>
            <w:r w:rsidRPr="000045E9">
              <w:rPr>
                <w:b/>
                <w:bCs/>
                <w:color w:val="000000" w:themeColor="text1"/>
                <w:sz w:val="16"/>
                <w:lang w:val="es-ES"/>
              </w:rPr>
              <w:t>Pago de pensiones</w:t>
            </w:r>
          </w:p>
        </w:tc>
        <w:tc>
          <w:tcPr>
            <w:tcW w:w="1547" w:type="dxa"/>
            <w:tcBorders>
              <w:top w:val="single" w:sz="12" w:space="0" w:color="auto"/>
              <w:left w:val="dotted" w:sz="4" w:space="0" w:color="auto"/>
              <w:bottom w:val="dotted" w:sz="4" w:space="0" w:color="auto"/>
              <w:right w:val="dotted" w:sz="4" w:space="0" w:color="auto"/>
            </w:tcBorders>
            <w:shd w:val="clear" w:color="auto" w:fill="8DB3E2"/>
            <w:vAlign w:val="center"/>
            <w:hideMark/>
          </w:tcPr>
          <w:p w14:paraId="523E574D" w14:textId="77777777" w:rsidR="008A5924" w:rsidRPr="000045E9" w:rsidRDefault="008A5924" w:rsidP="008A5924">
            <w:pPr>
              <w:spacing w:line="276" w:lineRule="auto"/>
              <w:jc w:val="center"/>
              <w:rPr>
                <w:b/>
                <w:bCs/>
                <w:color w:val="000000" w:themeColor="text1"/>
                <w:sz w:val="16"/>
                <w:lang w:val="es-ES"/>
              </w:rPr>
            </w:pPr>
            <w:r w:rsidRPr="000045E9">
              <w:rPr>
                <w:b/>
                <w:bCs/>
                <w:color w:val="000000" w:themeColor="text1"/>
                <w:sz w:val="16"/>
                <w:lang w:val="es-ES"/>
              </w:rPr>
              <w:t>Contribuciones laborales y aporte descentralizadas</w:t>
            </w:r>
          </w:p>
        </w:tc>
        <w:tc>
          <w:tcPr>
            <w:tcW w:w="1634" w:type="dxa"/>
            <w:tcBorders>
              <w:top w:val="single" w:sz="12" w:space="0" w:color="auto"/>
              <w:left w:val="dotted" w:sz="4" w:space="0" w:color="auto"/>
              <w:bottom w:val="dotted" w:sz="4" w:space="0" w:color="auto"/>
              <w:right w:val="dotted" w:sz="4" w:space="0" w:color="auto"/>
            </w:tcBorders>
            <w:shd w:val="clear" w:color="auto" w:fill="8DB3E2"/>
            <w:vAlign w:val="center"/>
            <w:hideMark/>
          </w:tcPr>
          <w:p w14:paraId="3CA8016F" w14:textId="77777777" w:rsidR="008A5924" w:rsidRPr="000045E9" w:rsidRDefault="008A5924" w:rsidP="008A5924">
            <w:pPr>
              <w:spacing w:line="276" w:lineRule="auto"/>
              <w:jc w:val="center"/>
              <w:rPr>
                <w:b/>
                <w:bCs/>
                <w:color w:val="000000" w:themeColor="text1"/>
                <w:sz w:val="16"/>
                <w:lang w:val="es-ES"/>
              </w:rPr>
            </w:pPr>
            <w:r w:rsidRPr="000045E9">
              <w:rPr>
                <w:b/>
                <w:bCs/>
                <w:color w:val="000000" w:themeColor="text1"/>
                <w:sz w:val="16"/>
                <w:lang w:val="es-ES"/>
              </w:rPr>
              <w:t>Aporte del Estado</w:t>
            </w:r>
          </w:p>
        </w:tc>
        <w:tc>
          <w:tcPr>
            <w:tcW w:w="1453" w:type="dxa"/>
            <w:tcBorders>
              <w:top w:val="single" w:sz="12" w:space="0" w:color="auto"/>
              <w:left w:val="dotted" w:sz="4" w:space="0" w:color="auto"/>
              <w:bottom w:val="dotted" w:sz="4" w:space="0" w:color="auto"/>
              <w:right w:val="single" w:sz="12" w:space="0" w:color="auto"/>
            </w:tcBorders>
            <w:shd w:val="clear" w:color="auto" w:fill="8DB3E2"/>
            <w:vAlign w:val="center"/>
            <w:hideMark/>
          </w:tcPr>
          <w:p w14:paraId="144BDEB6" w14:textId="77777777" w:rsidR="008A5924" w:rsidRPr="000045E9" w:rsidRDefault="008A5924" w:rsidP="008A5924">
            <w:pPr>
              <w:spacing w:line="276" w:lineRule="auto"/>
              <w:jc w:val="center"/>
              <w:rPr>
                <w:b/>
                <w:bCs/>
                <w:color w:val="000000" w:themeColor="text1"/>
                <w:sz w:val="16"/>
                <w:lang w:val="es-ES"/>
              </w:rPr>
            </w:pPr>
            <w:r w:rsidRPr="000045E9">
              <w:rPr>
                <w:b/>
                <w:bCs/>
                <w:color w:val="000000" w:themeColor="text1"/>
                <w:sz w:val="16"/>
                <w:lang w:val="es-ES"/>
              </w:rPr>
              <w:t>Aporte Laboral como % de pago de pensiones</w:t>
            </w:r>
          </w:p>
        </w:tc>
      </w:tr>
      <w:tr w:rsidR="008A5924" w:rsidRPr="000045E9" w14:paraId="744D9090"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7D66ACC2"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1998</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66FE786C"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944.1</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4B5EC171"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223.9</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0D2FEFB5"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720.2</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030BBC90"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24%</w:t>
            </w:r>
          </w:p>
        </w:tc>
      </w:tr>
      <w:tr w:rsidR="008A5924" w:rsidRPr="000045E9" w14:paraId="15D5767C"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5EAFE39E"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1999</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1CBC062F"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1,005.8</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7445EE1F"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302.6</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39CD0C2E"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703.2</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0A59105D"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30%</w:t>
            </w:r>
          </w:p>
        </w:tc>
      </w:tr>
      <w:tr w:rsidR="008A5924" w:rsidRPr="000045E9" w14:paraId="2D9D006E"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392F3D74"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2000</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64554CC7"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1,395.2</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376F4CA1"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356.7</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43DB8A44"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1,038.5</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58541B02"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26%</w:t>
            </w:r>
          </w:p>
        </w:tc>
      </w:tr>
      <w:tr w:rsidR="008A5924" w:rsidRPr="000045E9" w14:paraId="056109F4"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7B265A98"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2001</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096E62DF"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1,295.1</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6AD3BCFB"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414.2</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5805DD52"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880.9</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7408819B"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32%</w:t>
            </w:r>
          </w:p>
        </w:tc>
      </w:tr>
      <w:tr w:rsidR="008A5924" w:rsidRPr="000045E9" w14:paraId="42310E4D"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76C785D1"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2002</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5F659B42"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1,459.6</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58022863"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466.2</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65D45001"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993.4</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1D0E21BD"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32%</w:t>
            </w:r>
          </w:p>
        </w:tc>
      </w:tr>
      <w:tr w:rsidR="008A5924" w:rsidRPr="000045E9" w14:paraId="24043E29"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6EFE741D"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2003</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32B97C10"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1,590.5</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10D951A6"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501.7</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7C1E0CFE"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1,088.8</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27E55540"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32%</w:t>
            </w:r>
          </w:p>
        </w:tc>
      </w:tr>
      <w:tr w:rsidR="008A5924" w:rsidRPr="000045E9" w14:paraId="25E1E730"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51D1706D"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2004</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6AD2F504"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1,743.8</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3A0E781D"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535.7</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5822CC79"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1,208.1</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4A0B12ED"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31%</w:t>
            </w:r>
          </w:p>
        </w:tc>
      </w:tr>
      <w:tr w:rsidR="008A5924" w:rsidRPr="000045E9" w14:paraId="5C362D23"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666EF527"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2005</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49BFB568"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1,839.1</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5A9F2142"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544.3</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25CBCFF3"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1,294.8</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16F55121"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30%</w:t>
            </w:r>
          </w:p>
        </w:tc>
      </w:tr>
      <w:tr w:rsidR="008A5924" w:rsidRPr="000045E9" w14:paraId="30C9BCDB"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256E82DD"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2006</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1B9F2863"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2,022.1</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43DD181C"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578.6</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13F2C237"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1,443.5</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63117BDD"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29%</w:t>
            </w:r>
          </w:p>
        </w:tc>
      </w:tr>
      <w:tr w:rsidR="008A5924" w:rsidRPr="000045E9" w14:paraId="0870072B"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center"/>
            <w:hideMark/>
          </w:tcPr>
          <w:p w14:paraId="465EE2CB"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2007</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412F594B"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2,189.7</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50815A07"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647.9</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0D6798D6"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1,541.8</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5A5EF87F"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30%</w:t>
            </w:r>
          </w:p>
        </w:tc>
      </w:tr>
      <w:tr w:rsidR="008A5924" w:rsidRPr="000045E9" w14:paraId="2F03B84F"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4CCFA6BB"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2008</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553C30EB"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2,476.9</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012D912D"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745.5</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4C270ABE"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1,731.4</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10D3F8FD"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30%</w:t>
            </w:r>
          </w:p>
        </w:tc>
      </w:tr>
      <w:tr w:rsidR="008A5924" w:rsidRPr="000045E9" w14:paraId="272874F0"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3CC28398"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2009</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0D3F3058"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2,646.5</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4C2E5671"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921.9</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28B708EA"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1,724.7</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10DDC703"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35%</w:t>
            </w:r>
          </w:p>
        </w:tc>
      </w:tr>
      <w:tr w:rsidR="008A5924" w:rsidRPr="000045E9" w14:paraId="0A06B65C"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561AF387"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2010</w:t>
            </w:r>
          </w:p>
        </w:tc>
        <w:tc>
          <w:tcPr>
            <w:tcW w:w="1412" w:type="dxa"/>
            <w:tcBorders>
              <w:top w:val="dotted" w:sz="4" w:space="0" w:color="auto"/>
              <w:left w:val="dotted" w:sz="4" w:space="0" w:color="auto"/>
              <w:bottom w:val="dotted" w:sz="4" w:space="0" w:color="auto"/>
              <w:right w:val="dotted" w:sz="4" w:space="0" w:color="auto"/>
            </w:tcBorders>
            <w:noWrap/>
            <w:vAlign w:val="bottom"/>
            <w:hideMark/>
          </w:tcPr>
          <w:p w14:paraId="62FD61CD"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2,807.8</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2D9DD48F"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1069.1</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1AF038AF" w14:textId="77777777" w:rsidR="008A5924" w:rsidRPr="000045E9" w:rsidRDefault="008A5924" w:rsidP="008A5924">
            <w:pPr>
              <w:spacing w:line="276" w:lineRule="auto"/>
              <w:jc w:val="right"/>
              <w:rPr>
                <w:color w:val="000000" w:themeColor="text1"/>
                <w:sz w:val="16"/>
                <w:szCs w:val="16"/>
                <w:lang w:val="es-ES"/>
              </w:rPr>
            </w:pPr>
            <w:r w:rsidRPr="000045E9">
              <w:rPr>
                <w:color w:val="000000" w:themeColor="text1"/>
                <w:sz w:val="16"/>
                <w:szCs w:val="16"/>
                <w:lang w:val="es-ES"/>
              </w:rPr>
              <w:t>1,738.7</w:t>
            </w:r>
          </w:p>
        </w:tc>
        <w:tc>
          <w:tcPr>
            <w:tcW w:w="1453" w:type="dxa"/>
            <w:tcBorders>
              <w:top w:val="dotted" w:sz="4" w:space="0" w:color="auto"/>
              <w:left w:val="dotted" w:sz="4" w:space="0" w:color="auto"/>
              <w:bottom w:val="dotted" w:sz="4" w:space="0" w:color="auto"/>
              <w:right w:val="single" w:sz="12" w:space="0" w:color="auto"/>
            </w:tcBorders>
            <w:noWrap/>
            <w:vAlign w:val="center"/>
            <w:hideMark/>
          </w:tcPr>
          <w:p w14:paraId="0CBB5709"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lang w:val="es-ES"/>
              </w:rPr>
              <w:t>38%</w:t>
            </w:r>
          </w:p>
        </w:tc>
      </w:tr>
      <w:tr w:rsidR="008A5924" w:rsidRPr="000045E9" w14:paraId="2B88A41A"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3E8EA2D7"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2011</w:t>
            </w:r>
          </w:p>
        </w:tc>
        <w:tc>
          <w:tcPr>
            <w:tcW w:w="1412" w:type="dxa"/>
            <w:tcBorders>
              <w:top w:val="dotted" w:sz="4" w:space="0" w:color="auto"/>
              <w:left w:val="dotted" w:sz="4" w:space="0" w:color="auto"/>
              <w:bottom w:val="dotted" w:sz="4" w:space="0" w:color="auto"/>
              <w:right w:val="dotted" w:sz="4" w:space="0" w:color="auto"/>
            </w:tcBorders>
            <w:noWrap/>
            <w:hideMark/>
          </w:tcPr>
          <w:p w14:paraId="0109ED86"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 xml:space="preserve">                2,890.0 </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74E9D1DE"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1214.4</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49252796"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1,675.60</w:t>
            </w:r>
          </w:p>
        </w:tc>
        <w:tc>
          <w:tcPr>
            <w:tcW w:w="1453" w:type="dxa"/>
            <w:tcBorders>
              <w:top w:val="dotted" w:sz="4" w:space="0" w:color="auto"/>
              <w:left w:val="dotted" w:sz="4" w:space="0" w:color="auto"/>
              <w:bottom w:val="dotted" w:sz="4" w:space="0" w:color="auto"/>
              <w:right w:val="single" w:sz="12" w:space="0" w:color="auto"/>
            </w:tcBorders>
            <w:noWrap/>
            <w:vAlign w:val="bottom"/>
            <w:hideMark/>
          </w:tcPr>
          <w:p w14:paraId="316C8720"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58%</w:t>
            </w:r>
          </w:p>
        </w:tc>
      </w:tr>
      <w:tr w:rsidR="008A5924" w:rsidRPr="000045E9" w14:paraId="29001A62"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340C4C3E"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2012</w:t>
            </w:r>
          </w:p>
        </w:tc>
        <w:tc>
          <w:tcPr>
            <w:tcW w:w="1412" w:type="dxa"/>
            <w:tcBorders>
              <w:top w:val="dotted" w:sz="4" w:space="0" w:color="auto"/>
              <w:left w:val="dotted" w:sz="4" w:space="0" w:color="auto"/>
              <w:bottom w:val="dotted" w:sz="4" w:space="0" w:color="auto"/>
              <w:right w:val="dotted" w:sz="4" w:space="0" w:color="auto"/>
            </w:tcBorders>
            <w:noWrap/>
            <w:hideMark/>
          </w:tcPr>
          <w:p w14:paraId="56D5B559"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 xml:space="preserve">                3,136.2 </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5F9AF477"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1273.6</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56A170F7"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1,862.60</w:t>
            </w:r>
          </w:p>
        </w:tc>
        <w:tc>
          <w:tcPr>
            <w:tcW w:w="1453" w:type="dxa"/>
            <w:tcBorders>
              <w:top w:val="dotted" w:sz="4" w:space="0" w:color="auto"/>
              <w:left w:val="dotted" w:sz="4" w:space="0" w:color="auto"/>
              <w:bottom w:val="dotted" w:sz="4" w:space="0" w:color="auto"/>
              <w:right w:val="single" w:sz="12" w:space="0" w:color="auto"/>
            </w:tcBorders>
            <w:noWrap/>
            <w:vAlign w:val="bottom"/>
            <w:hideMark/>
          </w:tcPr>
          <w:p w14:paraId="0A77979D"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59%</w:t>
            </w:r>
          </w:p>
        </w:tc>
      </w:tr>
      <w:tr w:rsidR="008A5924" w:rsidRPr="000045E9" w14:paraId="0FA35C15"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0400EBDC"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2013</w:t>
            </w:r>
          </w:p>
        </w:tc>
        <w:tc>
          <w:tcPr>
            <w:tcW w:w="1412" w:type="dxa"/>
            <w:tcBorders>
              <w:top w:val="dotted" w:sz="4" w:space="0" w:color="auto"/>
              <w:left w:val="dotted" w:sz="4" w:space="0" w:color="auto"/>
              <w:bottom w:val="dotted" w:sz="4" w:space="0" w:color="auto"/>
              <w:right w:val="dotted" w:sz="4" w:space="0" w:color="auto"/>
            </w:tcBorders>
            <w:noWrap/>
            <w:hideMark/>
          </w:tcPr>
          <w:p w14:paraId="32650AA0"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 xml:space="preserve">                3,429.0 </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69555C56"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1427.4</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0AC442A3"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2,001.60</w:t>
            </w:r>
          </w:p>
        </w:tc>
        <w:tc>
          <w:tcPr>
            <w:tcW w:w="1453" w:type="dxa"/>
            <w:tcBorders>
              <w:top w:val="dotted" w:sz="4" w:space="0" w:color="auto"/>
              <w:left w:val="dotted" w:sz="4" w:space="0" w:color="auto"/>
              <w:bottom w:val="dotted" w:sz="4" w:space="0" w:color="auto"/>
              <w:right w:val="single" w:sz="12" w:space="0" w:color="auto"/>
            </w:tcBorders>
            <w:noWrap/>
            <w:vAlign w:val="bottom"/>
            <w:hideMark/>
          </w:tcPr>
          <w:p w14:paraId="263D1034"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58%</w:t>
            </w:r>
          </w:p>
        </w:tc>
      </w:tr>
      <w:tr w:rsidR="008A5924" w:rsidRPr="000045E9" w14:paraId="7D1D6BB0"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09104628"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2014</w:t>
            </w:r>
          </w:p>
        </w:tc>
        <w:tc>
          <w:tcPr>
            <w:tcW w:w="1412" w:type="dxa"/>
            <w:tcBorders>
              <w:top w:val="dotted" w:sz="4" w:space="0" w:color="auto"/>
              <w:left w:val="dotted" w:sz="4" w:space="0" w:color="auto"/>
              <w:bottom w:val="dotted" w:sz="4" w:space="0" w:color="auto"/>
              <w:right w:val="dotted" w:sz="4" w:space="0" w:color="auto"/>
            </w:tcBorders>
            <w:noWrap/>
            <w:hideMark/>
          </w:tcPr>
          <w:p w14:paraId="50602CAB"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 xml:space="preserve">                3,606.9 </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149E888C"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1617.2</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20E90FF8"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1,989.70</w:t>
            </w:r>
          </w:p>
        </w:tc>
        <w:tc>
          <w:tcPr>
            <w:tcW w:w="1453" w:type="dxa"/>
            <w:tcBorders>
              <w:top w:val="dotted" w:sz="4" w:space="0" w:color="auto"/>
              <w:left w:val="dotted" w:sz="4" w:space="0" w:color="auto"/>
              <w:bottom w:val="dotted" w:sz="4" w:space="0" w:color="auto"/>
              <w:right w:val="single" w:sz="12" w:space="0" w:color="auto"/>
            </w:tcBorders>
            <w:noWrap/>
            <w:vAlign w:val="bottom"/>
            <w:hideMark/>
          </w:tcPr>
          <w:p w14:paraId="28165DE9"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55%</w:t>
            </w:r>
          </w:p>
        </w:tc>
      </w:tr>
      <w:tr w:rsidR="008A5924" w:rsidRPr="000045E9" w14:paraId="6C7AFB15"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6CB93A0B"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2015</w:t>
            </w:r>
          </w:p>
        </w:tc>
        <w:tc>
          <w:tcPr>
            <w:tcW w:w="1412" w:type="dxa"/>
            <w:tcBorders>
              <w:top w:val="dotted" w:sz="4" w:space="0" w:color="auto"/>
              <w:left w:val="dotted" w:sz="4" w:space="0" w:color="auto"/>
              <w:bottom w:val="dotted" w:sz="4" w:space="0" w:color="auto"/>
              <w:right w:val="dotted" w:sz="4" w:space="0" w:color="auto"/>
            </w:tcBorders>
            <w:noWrap/>
            <w:hideMark/>
          </w:tcPr>
          <w:p w14:paraId="18F4A29F"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 xml:space="preserve">                3,738.9 </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7C0F7384"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1650.9</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77CF9346"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2,088.00</w:t>
            </w:r>
          </w:p>
        </w:tc>
        <w:tc>
          <w:tcPr>
            <w:tcW w:w="1453" w:type="dxa"/>
            <w:tcBorders>
              <w:top w:val="dotted" w:sz="4" w:space="0" w:color="auto"/>
              <w:left w:val="dotted" w:sz="4" w:space="0" w:color="auto"/>
              <w:bottom w:val="dotted" w:sz="4" w:space="0" w:color="auto"/>
              <w:right w:val="single" w:sz="12" w:space="0" w:color="auto"/>
            </w:tcBorders>
            <w:noWrap/>
            <w:vAlign w:val="bottom"/>
            <w:hideMark/>
          </w:tcPr>
          <w:p w14:paraId="7151DC3D"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56%</w:t>
            </w:r>
          </w:p>
        </w:tc>
      </w:tr>
      <w:tr w:rsidR="008A5924" w:rsidRPr="000045E9" w14:paraId="21761FBD"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44FF3643"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2016</w:t>
            </w:r>
          </w:p>
        </w:tc>
        <w:tc>
          <w:tcPr>
            <w:tcW w:w="1412" w:type="dxa"/>
            <w:tcBorders>
              <w:top w:val="dotted" w:sz="4" w:space="0" w:color="auto"/>
              <w:left w:val="dotted" w:sz="4" w:space="0" w:color="auto"/>
              <w:bottom w:val="dotted" w:sz="4" w:space="0" w:color="auto"/>
              <w:right w:val="dotted" w:sz="4" w:space="0" w:color="auto"/>
            </w:tcBorders>
            <w:noWrap/>
            <w:hideMark/>
          </w:tcPr>
          <w:p w14:paraId="0DD175E5"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 xml:space="preserve">                4,174.3 </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37A48598"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2026.7</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3DA5E2EC"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2,147.60</w:t>
            </w:r>
          </w:p>
        </w:tc>
        <w:tc>
          <w:tcPr>
            <w:tcW w:w="1453" w:type="dxa"/>
            <w:tcBorders>
              <w:top w:val="dotted" w:sz="4" w:space="0" w:color="auto"/>
              <w:left w:val="dotted" w:sz="4" w:space="0" w:color="auto"/>
              <w:bottom w:val="dotted" w:sz="4" w:space="0" w:color="auto"/>
              <w:right w:val="single" w:sz="12" w:space="0" w:color="auto"/>
            </w:tcBorders>
            <w:noWrap/>
            <w:vAlign w:val="bottom"/>
            <w:hideMark/>
          </w:tcPr>
          <w:p w14:paraId="1FFF553F"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51%</w:t>
            </w:r>
          </w:p>
        </w:tc>
      </w:tr>
      <w:tr w:rsidR="008A5924" w:rsidRPr="000045E9" w14:paraId="768E6BB2" w14:textId="77777777" w:rsidTr="008A5924">
        <w:trPr>
          <w:trHeight w:val="21"/>
          <w:jc w:val="center"/>
        </w:trPr>
        <w:tc>
          <w:tcPr>
            <w:tcW w:w="805" w:type="dxa"/>
            <w:tcBorders>
              <w:top w:val="dotted" w:sz="4" w:space="0" w:color="auto"/>
              <w:left w:val="single" w:sz="12" w:space="0" w:color="auto"/>
              <w:bottom w:val="dotted" w:sz="4" w:space="0" w:color="auto"/>
              <w:right w:val="dotted" w:sz="4" w:space="0" w:color="auto"/>
            </w:tcBorders>
            <w:noWrap/>
            <w:vAlign w:val="bottom"/>
            <w:hideMark/>
          </w:tcPr>
          <w:p w14:paraId="4BAC64EF"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2017</w:t>
            </w:r>
          </w:p>
        </w:tc>
        <w:tc>
          <w:tcPr>
            <w:tcW w:w="1412" w:type="dxa"/>
            <w:tcBorders>
              <w:top w:val="dotted" w:sz="4" w:space="0" w:color="auto"/>
              <w:left w:val="dotted" w:sz="4" w:space="0" w:color="auto"/>
              <w:bottom w:val="dotted" w:sz="4" w:space="0" w:color="auto"/>
              <w:right w:val="dotted" w:sz="4" w:space="0" w:color="auto"/>
            </w:tcBorders>
            <w:noWrap/>
            <w:hideMark/>
          </w:tcPr>
          <w:p w14:paraId="2FA90568"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 xml:space="preserve">                4,686.5 </w:t>
            </w:r>
          </w:p>
        </w:tc>
        <w:tc>
          <w:tcPr>
            <w:tcW w:w="1547" w:type="dxa"/>
            <w:tcBorders>
              <w:top w:val="dotted" w:sz="4" w:space="0" w:color="auto"/>
              <w:left w:val="dotted" w:sz="4" w:space="0" w:color="auto"/>
              <w:bottom w:val="dotted" w:sz="4" w:space="0" w:color="auto"/>
              <w:right w:val="dotted" w:sz="4" w:space="0" w:color="auto"/>
            </w:tcBorders>
            <w:noWrap/>
            <w:vAlign w:val="bottom"/>
            <w:hideMark/>
          </w:tcPr>
          <w:p w14:paraId="024145CB"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1883.5</w:t>
            </w:r>
          </w:p>
        </w:tc>
        <w:tc>
          <w:tcPr>
            <w:tcW w:w="1634" w:type="dxa"/>
            <w:tcBorders>
              <w:top w:val="dotted" w:sz="4" w:space="0" w:color="auto"/>
              <w:left w:val="dotted" w:sz="4" w:space="0" w:color="auto"/>
              <w:bottom w:val="dotted" w:sz="4" w:space="0" w:color="auto"/>
              <w:right w:val="dotted" w:sz="4" w:space="0" w:color="auto"/>
            </w:tcBorders>
            <w:noWrap/>
            <w:vAlign w:val="bottom"/>
            <w:hideMark/>
          </w:tcPr>
          <w:p w14:paraId="1D1F3C83"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2,803.00</w:t>
            </w:r>
          </w:p>
        </w:tc>
        <w:tc>
          <w:tcPr>
            <w:tcW w:w="1453" w:type="dxa"/>
            <w:tcBorders>
              <w:top w:val="dotted" w:sz="4" w:space="0" w:color="auto"/>
              <w:left w:val="dotted" w:sz="4" w:space="0" w:color="auto"/>
              <w:bottom w:val="dotted" w:sz="4" w:space="0" w:color="auto"/>
              <w:right w:val="single" w:sz="12" w:space="0" w:color="auto"/>
            </w:tcBorders>
            <w:noWrap/>
            <w:vAlign w:val="bottom"/>
            <w:hideMark/>
          </w:tcPr>
          <w:p w14:paraId="5261372C"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60%</w:t>
            </w:r>
          </w:p>
        </w:tc>
      </w:tr>
      <w:tr w:rsidR="000045E9" w:rsidRPr="000045E9" w14:paraId="52BC81AF" w14:textId="77777777" w:rsidTr="000045E9">
        <w:trPr>
          <w:trHeight w:val="21"/>
          <w:jc w:val="center"/>
        </w:trPr>
        <w:tc>
          <w:tcPr>
            <w:tcW w:w="805" w:type="dxa"/>
            <w:tcBorders>
              <w:top w:val="dotted" w:sz="4" w:space="0" w:color="auto"/>
              <w:left w:val="single" w:sz="12" w:space="0" w:color="auto"/>
              <w:bottom w:val="single" w:sz="4" w:space="0" w:color="auto"/>
              <w:right w:val="dotted" w:sz="4" w:space="0" w:color="auto"/>
            </w:tcBorders>
            <w:noWrap/>
            <w:vAlign w:val="bottom"/>
            <w:hideMark/>
          </w:tcPr>
          <w:p w14:paraId="50C68E43"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2018</w:t>
            </w:r>
          </w:p>
        </w:tc>
        <w:tc>
          <w:tcPr>
            <w:tcW w:w="1412" w:type="dxa"/>
            <w:tcBorders>
              <w:top w:val="dotted" w:sz="4" w:space="0" w:color="auto"/>
              <w:left w:val="dotted" w:sz="4" w:space="0" w:color="auto"/>
              <w:bottom w:val="single" w:sz="4" w:space="0" w:color="auto"/>
              <w:right w:val="dotted" w:sz="4" w:space="0" w:color="auto"/>
            </w:tcBorders>
            <w:noWrap/>
            <w:hideMark/>
          </w:tcPr>
          <w:p w14:paraId="6C4C9141" w14:textId="77777777" w:rsidR="008A5924" w:rsidRPr="000045E9" w:rsidRDefault="008A5924" w:rsidP="008A5924">
            <w:pPr>
              <w:spacing w:line="276" w:lineRule="auto"/>
              <w:jc w:val="center"/>
              <w:rPr>
                <w:color w:val="000000" w:themeColor="text1"/>
                <w:sz w:val="16"/>
                <w:szCs w:val="16"/>
                <w:lang w:val="es-ES"/>
              </w:rPr>
            </w:pPr>
            <w:r w:rsidRPr="000045E9">
              <w:rPr>
                <w:color w:val="000000" w:themeColor="text1"/>
                <w:sz w:val="16"/>
                <w:szCs w:val="16"/>
                <w:lang w:val="es-ES"/>
              </w:rPr>
              <w:t xml:space="preserve">                5,011.5 </w:t>
            </w:r>
          </w:p>
        </w:tc>
        <w:tc>
          <w:tcPr>
            <w:tcW w:w="1547" w:type="dxa"/>
            <w:tcBorders>
              <w:top w:val="dotted" w:sz="4" w:space="0" w:color="auto"/>
              <w:left w:val="dotted" w:sz="4" w:space="0" w:color="auto"/>
              <w:bottom w:val="single" w:sz="4" w:space="0" w:color="auto"/>
              <w:right w:val="dotted" w:sz="4" w:space="0" w:color="auto"/>
            </w:tcBorders>
            <w:noWrap/>
            <w:vAlign w:val="bottom"/>
            <w:hideMark/>
          </w:tcPr>
          <w:p w14:paraId="506D608D"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1960.3</w:t>
            </w:r>
          </w:p>
        </w:tc>
        <w:tc>
          <w:tcPr>
            <w:tcW w:w="1634" w:type="dxa"/>
            <w:tcBorders>
              <w:top w:val="dotted" w:sz="4" w:space="0" w:color="auto"/>
              <w:left w:val="dotted" w:sz="4" w:space="0" w:color="auto"/>
              <w:bottom w:val="single" w:sz="4" w:space="0" w:color="auto"/>
              <w:right w:val="dotted" w:sz="4" w:space="0" w:color="auto"/>
            </w:tcBorders>
            <w:noWrap/>
            <w:vAlign w:val="bottom"/>
            <w:hideMark/>
          </w:tcPr>
          <w:p w14:paraId="0F1DD778"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3,051.20</w:t>
            </w:r>
          </w:p>
        </w:tc>
        <w:tc>
          <w:tcPr>
            <w:tcW w:w="1453" w:type="dxa"/>
            <w:tcBorders>
              <w:top w:val="dotted" w:sz="4" w:space="0" w:color="auto"/>
              <w:left w:val="dotted" w:sz="4" w:space="0" w:color="auto"/>
              <w:bottom w:val="single" w:sz="4" w:space="0" w:color="auto"/>
              <w:right w:val="single" w:sz="12" w:space="0" w:color="auto"/>
            </w:tcBorders>
            <w:noWrap/>
            <w:vAlign w:val="bottom"/>
            <w:hideMark/>
          </w:tcPr>
          <w:p w14:paraId="06DFCCB2" w14:textId="77777777" w:rsidR="008A5924" w:rsidRPr="000045E9" w:rsidRDefault="008A5924" w:rsidP="008A5924">
            <w:pPr>
              <w:spacing w:line="276" w:lineRule="auto"/>
              <w:jc w:val="right"/>
              <w:rPr>
                <w:rFonts w:eastAsia="Malgun Gothic"/>
                <w:color w:val="000000" w:themeColor="text1"/>
                <w:sz w:val="16"/>
                <w:szCs w:val="16"/>
              </w:rPr>
            </w:pPr>
            <w:r w:rsidRPr="000045E9">
              <w:rPr>
                <w:color w:val="000000" w:themeColor="text1"/>
                <w:sz w:val="16"/>
                <w:szCs w:val="16"/>
              </w:rPr>
              <w:t>61%</w:t>
            </w:r>
          </w:p>
        </w:tc>
      </w:tr>
    </w:tbl>
    <w:p w14:paraId="24C7F92F" w14:textId="77777777" w:rsidR="008A5924" w:rsidRPr="00184700" w:rsidRDefault="008A5924" w:rsidP="008A5924">
      <w:pPr>
        <w:ind w:left="708"/>
        <w:jc w:val="both"/>
        <w:rPr>
          <w:rFonts w:eastAsia="Malgun Gothic"/>
          <w:sz w:val="16"/>
        </w:rPr>
      </w:pPr>
      <w:r w:rsidRPr="002449EC">
        <w:rPr>
          <w:b/>
          <w:sz w:val="16"/>
        </w:rPr>
        <w:t xml:space="preserve">     </w:t>
      </w:r>
      <w:r w:rsidR="0075239B" w:rsidRPr="002449EC">
        <w:rPr>
          <w:b/>
          <w:sz w:val="16"/>
        </w:rPr>
        <w:t xml:space="preserve">              </w:t>
      </w:r>
      <w:r w:rsidRPr="002449EC">
        <w:rPr>
          <w:b/>
          <w:sz w:val="16"/>
        </w:rPr>
        <w:t xml:space="preserve">  Fuente:</w:t>
      </w:r>
      <w:r w:rsidRPr="00184700">
        <w:rPr>
          <w:sz w:val="16"/>
        </w:rPr>
        <w:t xml:space="preserve"> Elaboración DEF. Datos 1998 a 2018 obtenidos de Sicoin. </w:t>
      </w:r>
    </w:p>
    <w:p w14:paraId="26AF350D" w14:textId="77777777" w:rsidR="008A5924" w:rsidRPr="00184700" w:rsidRDefault="008A5924" w:rsidP="008A5924">
      <w:pPr>
        <w:ind w:left="708"/>
        <w:jc w:val="both"/>
        <w:rPr>
          <w:b/>
          <w:bCs/>
          <w:lang w:val="es-ES"/>
        </w:rPr>
      </w:pPr>
    </w:p>
    <w:p w14:paraId="2A92F74F" w14:textId="2F710A1E" w:rsidR="008A5924" w:rsidRPr="008B4A34" w:rsidRDefault="008A5924" w:rsidP="008A5924">
      <w:pPr>
        <w:pStyle w:val="Descripcin"/>
        <w:rPr>
          <w:color w:val="000000" w:themeColor="text1"/>
        </w:rPr>
      </w:pPr>
      <w:bookmarkStart w:id="178" w:name="_Toc16242988"/>
      <w:r w:rsidRPr="008B4A34">
        <w:rPr>
          <w:color w:val="000000" w:themeColor="text1"/>
        </w:rPr>
        <w:t xml:space="preserve">Gráfico  </w:t>
      </w:r>
      <w:r w:rsidRPr="008B4A34">
        <w:rPr>
          <w:color w:val="000000" w:themeColor="text1"/>
        </w:rPr>
        <w:fldChar w:fldCharType="begin"/>
      </w:r>
      <w:r w:rsidRPr="008B4A34">
        <w:rPr>
          <w:color w:val="000000" w:themeColor="text1"/>
        </w:rPr>
        <w:instrText xml:space="preserve"> SEQ Gráfico_ \* ARABIC </w:instrText>
      </w:r>
      <w:r w:rsidRPr="008B4A34">
        <w:rPr>
          <w:color w:val="000000" w:themeColor="text1"/>
        </w:rPr>
        <w:fldChar w:fldCharType="separate"/>
      </w:r>
      <w:r w:rsidR="004B2A60">
        <w:rPr>
          <w:noProof/>
          <w:color w:val="000000" w:themeColor="text1"/>
        </w:rPr>
        <w:t>25</w:t>
      </w:r>
      <w:r w:rsidRPr="008B4A34">
        <w:rPr>
          <w:noProof/>
          <w:color w:val="000000" w:themeColor="text1"/>
        </w:rPr>
        <w:fldChar w:fldCharType="end"/>
      </w:r>
      <w:r w:rsidRPr="008B4A34">
        <w:rPr>
          <w:color w:val="000000" w:themeColor="text1"/>
        </w:rPr>
        <w:t>: Aporte laboral y del Estado al Plan de Clases Pasivas Civiles del Estado 1998-2018</w:t>
      </w:r>
      <w:bookmarkEnd w:id="178"/>
    </w:p>
    <w:p w14:paraId="63266564" w14:textId="77777777" w:rsidR="008A5924" w:rsidRDefault="008A5924" w:rsidP="008A5924">
      <w:pPr>
        <w:jc w:val="center"/>
        <w:rPr>
          <w:color w:val="000000" w:themeColor="text1"/>
          <w:sz w:val="16"/>
          <w:szCs w:val="16"/>
        </w:rPr>
      </w:pPr>
      <w:r w:rsidRPr="008B4A34">
        <w:rPr>
          <w:color w:val="000000" w:themeColor="text1"/>
          <w:sz w:val="16"/>
          <w:szCs w:val="16"/>
        </w:rPr>
        <w:t>En quetzales</w:t>
      </w:r>
    </w:p>
    <w:p w14:paraId="530CA969" w14:textId="77777777" w:rsidR="00056555" w:rsidRPr="008B4A34" w:rsidRDefault="00056555" w:rsidP="008A5924">
      <w:pPr>
        <w:jc w:val="center"/>
        <w:rPr>
          <w:color w:val="000000" w:themeColor="text1"/>
          <w:sz w:val="16"/>
          <w:szCs w:val="16"/>
        </w:rPr>
      </w:pPr>
    </w:p>
    <w:p w14:paraId="27CBF331" w14:textId="77777777" w:rsidR="008A5924" w:rsidRPr="00184700" w:rsidRDefault="008A5924" w:rsidP="008A5924">
      <w:pPr>
        <w:keepNext/>
        <w:jc w:val="center"/>
      </w:pPr>
      <w:r w:rsidRPr="00184700">
        <w:rPr>
          <w:noProof/>
          <w:lang w:val="es-GT" w:eastAsia="es-GT"/>
        </w:rPr>
        <w:drawing>
          <wp:inline distT="0" distB="0" distL="0" distR="0" wp14:anchorId="439F78EA" wp14:editId="57EE8432">
            <wp:extent cx="3460750" cy="1841500"/>
            <wp:effectExtent l="0" t="0" r="6350" b="63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3D74AB" w14:textId="77777777" w:rsidR="008A5924" w:rsidRPr="00184700" w:rsidRDefault="0075239B" w:rsidP="008A5924">
      <w:pPr>
        <w:jc w:val="both"/>
        <w:rPr>
          <w:sz w:val="16"/>
        </w:rPr>
      </w:pPr>
      <w:r w:rsidRPr="002449EC">
        <w:rPr>
          <w:b/>
          <w:sz w:val="16"/>
        </w:rPr>
        <w:t xml:space="preserve">                                                         </w:t>
      </w:r>
      <w:r w:rsidR="001203DD" w:rsidRPr="002449EC">
        <w:rPr>
          <w:b/>
          <w:sz w:val="16"/>
        </w:rPr>
        <w:t xml:space="preserve">           </w:t>
      </w:r>
      <w:r w:rsidR="008A5924" w:rsidRPr="002449EC">
        <w:rPr>
          <w:b/>
          <w:sz w:val="16"/>
        </w:rPr>
        <w:t>Fuente</w:t>
      </w:r>
      <w:r w:rsidR="008A5924" w:rsidRPr="00184700">
        <w:rPr>
          <w:sz w:val="16"/>
        </w:rPr>
        <w:t xml:space="preserve">: Elaboración DEF. Datos 1998 a 2018 obtenidos de Sicoin, </w:t>
      </w:r>
    </w:p>
    <w:p w14:paraId="0EB1A41C" w14:textId="77777777" w:rsidR="008A5924" w:rsidRPr="00184700" w:rsidRDefault="008A5924" w:rsidP="008A5924">
      <w:pPr>
        <w:pStyle w:val="Sinespaciado"/>
        <w:jc w:val="both"/>
        <w:rPr>
          <w:rFonts w:ascii="Times New Roman" w:eastAsia="MS Mincho" w:hAnsi="Times New Roman"/>
          <w:lang w:eastAsia="ja-JP"/>
        </w:rPr>
      </w:pPr>
    </w:p>
    <w:p w14:paraId="4FF16D6F" w14:textId="034F7161" w:rsidR="008A5924" w:rsidRPr="00184700" w:rsidRDefault="008A5924" w:rsidP="008A5924">
      <w:pPr>
        <w:pStyle w:val="Sinespaciado"/>
        <w:jc w:val="both"/>
        <w:rPr>
          <w:rFonts w:ascii="Times New Roman" w:hAnsi="Times New Roman"/>
        </w:rPr>
      </w:pPr>
      <w:r w:rsidRPr="008B4A34">
        <w:rPr>
          <w:rFonts w:ascii="Times New Roman" w:eastAsia="MS Mincho" w:hAnsi="Times New Roman"/>
          <w:sz w:val="24"/>
          <w:szCs w:val="24"/>
          <w:lang w:eastAsia="ja-JP"/>
        </w:rPr>
        <w:t>La relación entre el aporte del Estado para el pago de la planilla de pensionados y la clase de ingresos “ingresos tributarios” tiene</w:t>
      </w:r>
      <w:r w:rsidR="00985B91" w:rsidRPr="008B4A34">
        <w:rPr>
          <w:rFonts w:ascii="Times New Roman" w:eastAsia="MS Mincho" w:hAnsi="Times New Roman"/>
          <w:sz w:val="24"/>
          <w:szCs w:val="24"/>
          <w:lang w:eastAsia="ja-JP"/>
        </w:rPr>
        <w:t>n una tendencia promedio de 4.7 por ciento</w:t>
      </w:r>
      <w:r w:rsidR="002449EC">
        <w:rPr>
          <w:rFonts w:ascii="Times New Roman" w:eastAsia="MS Mincho" w:hAnsi="Times New Roman"/>
          <w:sz w:val="24"/>
          <w:szCs w:val="24"/>
          <w:lang w:eastAsia="ja-JP"/>
        </w:rPr>
        <w:t>, mostrado en el</w:t>
      </w:r>
      <w:r w:rsidRPr="008B4A34">
        <w:rPr>
          <w:rFonts w:ascii="Times New Roman" w:eastAsia="MS Mincho" w:hAnsi="Times New Roman"/>
          <w:sz w:val="24"/>
          <w:szCs w:val="24"/>
          <w:lang w:eastAsia="ja-JP"/>
        </w:rPr>
        <w:t xml:space="preserve"> </w:t>
      </w:r>
      <w:r w:rsidRPr="008B4A34">
        <w:rPr>
          <w:rFonts w:ascii="Times New Roman" w:eastAsia="MS Mincho" w:hAnsi="Times New Roman"/>
          <w:sz w:val="24"/>
          <w:szCs w:val="24"/>
          <w:lang w:eastAsia="ja-JP"/>
        </w:rPr>
        <w:fldChar w:fldCharType="begin"/>
      </w:r>
      <w:r w:rsidRPr="008B4A34">
        <w:rPr>
          <w:rFonts w:ascii="Times New Roman" w:eastAsia="MS Mincho" w:hAnsi="Times New Roman"/>
          <w:sz w:val="24"/>
          <w:szCs w:val="24"/>
          <w:lang w:eastAsia="ja-JP"/>
        </w:rPr>
        <w:instrText xml:space="preserve"> REF _Ref16173894 \h  \* MERGEFORMAT </w:instrText>
      </w:r>
      <w:r w:rsidRPr="008B4A34">
        <w:rPr>
          <w:rFonts w:ascii="Times New Roman" w:eastAsia="MS Mincho" w:hAnsi="Times New Roman"/>
          <w:sz w:val="24"/>
          <w:szCs w:val="24"/>
          <w:lang w:eastAsia="ja-JP"/>
        </w:rPr>
      </w:r>
      <w:r w:rsidRPr="008B4A34">
        <w:rPr>
          <w:rFonts w:ascii="Times New Roman" w:eastAsia="MS Mincho" w:hAnsi="Times New Roman"/>
          <w:sz w:val="24"/>
          <w:szCs w:val="24"/>
          <w:lang w:eastAsia="ja-JP"/>
        </w:rPr>
        <w:fldChar w:fldCharType="separate"/>
      </w:r>
      <w:r w:rsidR="004B2A60" w:rsidRPr="004B2A60">
        <w:rPr>
          <w:rFonts w:ascii="Times New Roman" w:hAnsi="Times New Roman"/>
          <w:sz w:val="24"/>
          <w:szCs w:val="24"/>
        </w:rPr>
        <w:t xml:space="preserve"> Gráfico</w:t>
      </w:r>
      <w:r w:rsidR="004B2A60" w:rsidRPr="004B2A60">
        <w:rPr>
          <w:rFonts w:ascii="Times New Roman" w:hAnsi="Times New Roman"/>
          <w:noProof/>
          <w:sz w:val="24"/>
          <w:szCs w:val="24"/>
        </w:rPr>
        <w:t xml:space="preserve">  </w:t>
      </w:r>
      <w:r w:rsidR="004B2A60">
        <w:rPr>
          <w:noProof/>
          <w:color w:val="000000" w:themeColor="text1"/>
        </w:rPr>
        <w:t>26</w:t>
      </w:r>
      <w:r w:rsidRPr="008B4A34">
        <w:rPr>
          <w:rFonts w:ascii="Times New Roman" w:eastAsia="MS Mincho" w:hAnsi="Times New Roman"/>
          <w:sz w:val="24"/>
          <w:szCs w:val="24"/>
          <w:lang w:eastAsia="ja-JP"/>
        </w:rPr>
        <w:fldChar w:fldCharType="end"/>
      </w:r>
      <w:r w:rsidRPr="008B4A34">
        <w:rPr>
          <w:rFonts w:ascii="Times New Roman" w:eastAsia="MS Mincho" w:hAnsi="Times New Roman"/>
          <w:sz w:val="24"/>
          <w:szCs w:val="24"/>
          <w:lang w:eastAsia="ja-JP"/>
        </w:rPr>
        <w:t xml:space="preserve">. </w:t>
      </w:r>
      <w:r w:rsidRPr="008B4A34">
        <w:rPr>
          <w:rFonts w:ascii="Times New Roman" w:hAnsi="Times New Roman"/>
          <w:sz w:val="24"/>
          <w:szCs w:val="24"/>
        </w:rPr>
        <w:t>En el</w:t>
      </w:r>
      <w:r w:rsidR="00985B91" w:rsidRPr="008B4A34">
        <w:rPr>
          <w:rFonts w:ascii="Times New Roman" w:hAnsi="Times New Roman"/>
          <w:sz w:val="24"/>
          <w:szCs w:val="24"/>
        </w:rPr>
        <w:t xml:space="preserve"> 2000 el porcentaje fue de 6.95 por ciento</w:t>
      </w:r>
      <w:r w:rsidRPr="008B4A34">
        <w:rPr>
          <w:rFonts w:ascii="Times New Roman" w:hAnsi="Times New Roman"/>
          <w:sz w:val="24"/>
          <w:szCs w:val="24"/>
        </w:rPr>
        <w:t xml:space="preserve"> por el aumento que tuvieron las pensiones por la entrada en vigencia del Acuerdo Gubernativo 66-2000</w:t>
      </w:r>
      <w:r w:rsidRPr="00184700">
        <w:rPr>
          <w:rFonts w:ascii="Times New Roman" w:hAnsi="Times New Roman"/>
        </w:rPr>
        <w:t xml:space="preserve">. </w:t>
      </w:r>
    </w:p>
    <w:p w14:paraId="7C001C0E" w14:textId="77777777" w:rsidR="008A5924" w:rsidRPr="00184700" w:rsidRDefault="008A5924" w:rsidP="008A5924">
      <w:pPr>
        <w:pStyle w:val="Sinespaciado"/>
        <w:jc w:val="both"/>
        <w:rPr>
          <w:rFonts w:ascii="Times New Roman" w:eastAsia="MS Mincho" w:hAnsi="Times New Roman"/>
          <w:lang w:eastAsia="ja-JP"/>
        </w:rPr>
      </w:pPr>
    </w:p>
    <w:p w14:paraId="2B413209" w14:textId="72D702C8" w:rsidR="008A5924" w:rsidRPr="008B4A34" w:rsidRDefault="008A5924" w:rsidP="008A5924">
      <w:pPr>
        <w:pStyle w:val="Descripcin"/>
        <w:keepNext/>
        <w:rPr>
          <w:rFonts w:eastAsia="Malgun Gothic"/>
          <w:bCs/>
          <w:color w:val="000000" w:themeColor="text1"/>
        </w:rPr>
      </w:pPr>
      <w:bookmarkStart w:id="179" w:name="_Toc16242989"/>
      <w:r w:rsidRPr="008B4A34">
        <w:rPr>
          <w:color w:val="000000" w:themeColor="text1"/>
          <w:lang w:val="es-ES"/>
        </w:rPr>
        <w:t>-</w:t>
      </w:r>
      <w:bookmarkStart w:id="180" w:name="_Ref16173894"/>
      <w:r w:rsidR="008B4A34" w:rsidRPr="008B4A34">
        <w:rPr>
          <w:color w:val="000000" w:themeColor="text1"/>
        </w:rPr>
        <w:t xml:space="preserve"> Gráfico  </w:t>
      </w:r>
      <w:r w:rsidR="008B4A34" w:rsidRPr="008B4A34">
        <w:rPr>
          <w:color w:val="000000" w:themeColor="text1"/>
        </w:rPr>
        <w:fldChar w:fldCharType="begin"/>
      </w:r>
      <w:r w:rsidR="008B4A34" w:rsidRPr="008B4A34">
        <w:rPr>
          <w:color w:val="000000" w:themeColor="text1"/>
        </w:rPr>
        <w:instrText xml:space="preserve"> SEQ Gráfico_ \* ARABIC </w:instrText>
      </w:r>
      <w:r w:rsidR="008B4A34" w:rsidRPr="008B4A34">
        <w:rPr>
          <w:color w:val="000000" w:themeColor="text1"/>
        </w:rPr>
        <w:fldChar w:fldCharType="separate"/>
      </w:r>
      <w:r w:rsidR="004B2A60">
        <w:rPr>
          <w:noProof/>
          <w:color w:val="000000" w:themeColor="text1"/>
        </w:rPr>
        <w:t>26</w:t>
      </w:r>
      <w:r w:rsidR="008B4A34" w:rsidRPr="008B4A34">
        <w:rPr>
          <w:noProof/>
          <w:color w:val="000000" w:themeColor="text1"/>
        </w:rPr>
        <w:fldChar w:fldCharType="end"/>
      </w:r>
      <w:bookmarkEnd w:id="180"/>
      <w:r w:rsidR="008B4A34" w:rsidRPr="008B4A34">
        <w:rPr>
          <w:color w:val="000000" w:themeColor="text1"/>
        </w:rPr>
        <w:t xml:space="preserve">: </w:t>
      </w:r>
      <w:r w:rsidR="008B4A34" w:rsidRPr="008B4A34">
        <w:rPr>
          <w:color w:val="000000" w:themeColor="text1"/>
          <w:lang w:val="es-ES"/>
        </w:rPr>
        <w:t>Proporción del aporte del Estado respect</w:t>
      </w:r>
      <w:r w:rsidR="002449EC">
        <w:rPr>
          <w:color w:val="000000" w:themeColor="text1"/>
          <w:lang w:val="es-ES"/>
        </w:rPr>
        <w:t>o al Ingresos Tributarios, 1998-</w:t>
      </w:r>
      <w:r w:rsidRPr="008B4A34">
        <w:rPr>
          <w:color w:val="000000" w:themeColor="text1"/>
          <w:lang w:val="es-ES"/>
        </w:rPr>
        <w:t>2018</w:t>
      </w:r>
      <w:bookmarkEnd w:id="179"/>
    </w:p>
    <w:p w14:paraId="7F293AF0" w14:textId="77777777" w:rsidR="008A5924" w:rsidRDefault="008A5924" w:rsidP="008A5924">
      <w:pPr>
        <w:pStyle w:val="Descripcin"/>
        <w:keepNext/>
        <w:rPr>
          <w:rFonts w:eastAsia="MS Mincho"/>
          <w:b w:val="0"/>
          <w:color w:val="000000" w:themeColor="text1"/>
          <w:lang w:eastAsia="ja-JP"/>
        </w:rPr>
      </w:pPr>
      <w:r w:rsidRPr="008B4A34">
        <w:rPr>
          <w:rFonts w:eastAsia="MS Mincho"/>
          <w:b w:val="0"/>
          <w:color w:val="000000" w:themeColor="text1"/>
          <w:lang w:eastAsia="ja-JP"/>
        </w:rPr>
        <w:t>Porcentaje</w:t>
      </w:r>
    </w:p>
    <w:p w14:paraId="6BC707D0" w14:textId="77777777" w:rsidR="00056555" w:rsidRPr="00056555" w:rsidRDefault="00056555" w:rsidP="00056555">
      <w:pPr>
        <w:rPr>
          <w:rFonts w:eastAsia="MS Mincho"/>
          <w:lang w:eastAsia="ja-JP"/>
        </w:rPr>
      </w:pPr>
    </w:p>
    <w:p w14:paraId="4D83B5DD" w14:textId="77777777" w:rsidR="008A5924" w:rsidRPr="00184700" w:rsidRDefault="008A5924" w:rsidP="008A5924">
      <w:pPr>
        <w:jc w:val="center"/>
        <w:rPr>
          <w:rFonts w:eastAsia="Malgun Gothic"/>
        </w:rPr>
      </w:pPr>
      <w:r w:rsidRPr="00184700">
        <w:rPr>
          <w:noProof/>
          <w:lang w:val="es-GT" w:eastAsia="es-GT"/>
        </w:rPr>
        <w:drawing>
          <wp:inline distT="0" distB="0" distL="0" distR="0" wp14:anchorId="74524E2C" wp14:editId="148DF04A">
            <wp:extent cx="4227615" cy="2018805"/>
            <wp:effectExtent l="0" t="0" r="1905" b="63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E4D080" w14:textId="77777777" w:rsidR="008A5924" w:rsidRPr="00184700" w:rsidRDefault="0075239B" w:rsidP="008A5924">
      <w:pPr>
        <w:jc w:val="both"/>
        <w:rPr>
          <w:sz w:val="16"/>
        </w:rPr>
      </w:pPr>
      <w:r>
        <w:rPr>
          <w:sz w:val="16"/>
        </w:rPr>
        <w:t xml:space="preserve">                                              </w:t>
      </w:r>
      <w:r w:rsidR="008A5924" w:rsidRPr="002449EC">
        <w:rPr>
          <w:b/>
          <w:sz w:val="16"/>
        </w:rPr>
        <w:t>Fuente</w:t>
      </w:r>
      <w:r w:rsidR="008A5924" w:rsidRPr="00184700">
        <w:rPr>
          <w:sz w:val="16"/>
        </w:rPr>
        <w:t>: Elaboración DEF. Datos 1998 a 2018 obtenidos de Sicoin.</w:t>
      </w:r>
    </w:p>
    <w:p w14:paraId="751FA9F2" w14:textId="77777777" w:rsidR="008A5924" w:rsidRPr="00184700" w:rsidRDefault="008A5924" w:rsidP="008A5924">
      <w:pPr>
        <w:pStyle w:val="Sinespaciado"/>
        <w:jc w:val="both"/>
        <w:rPr>
          <w:rFonts w:ascii="Times New Roman" w:eastAsia="MS Mincho" w:hAnsi="Times New Roman"/>
          <w:lang w:eastAsia="ja-JP"/>
        </w:rPr>
      </w:pPr>
    </w:p>
    <w:p w14:paraId="5AC794E2" w14:textId="77777777" w:rsidR="008A5924" w:rsidRPr="00184700" w:rsidRDefault="008A5924" w:rsidP="008A5924">
      <w:pPr>
        <w:pStyle w:val="Sinespaciado"/>
        <w:jc w:val="both"/>
        <w:rPr>
          <w:rFonts w:ascii="Times New Roman" w:eastAsia="MS Mincho" w:hAnsi="Times New Roman"/>
          <w:lang w:eastAsia="ja-JP"/>
        </w:rPr>
      </w:pPr>
      <w:r w:rsidRPr="008B4A34">
        <w:rPr>
          <w:rFonts w:ascii="Times New Roman" w:eastAsia="MS Mincho" w:hAnsi="Times New Roman"/>
          <w:sz w:val="24"/>
          <w:szCs w:val="24"/>
          <w:lang w:eastAsia="ja-JP"/>
        </w:rPr>
        <w:t>El tamaño del sistema de pe</w:t>
      </w:r>
      <w:r w:rsidR="00985B91" w:rsidRPr="008B4A34">
        <w:rPr>
          <w:rFonts w:ascii="Times New Roman" w:eastAsia="MS Mincho" w:hAnsi="Times New Roman"/>
          <w:sz w:val="24"/>
          <w:szCs w:val="24"/>
          <w:lang w:eastAsia="ja-JP"/>
        </w:rPr>
        <w:t>nsiones en el 2018 fue del 0.85 por ciento</w:t>
      </w:r>
      <w:r w:rsidRPr="008B4A34">
        <w:rPr>
          <w:rFonts w:ascii="Times New Roman" w:eastAsia="MS Mincho" w:hAnsi="Times New Roman"/>
          <w:sz w:val="24"/>
          <w:szCs w:val="24"/>
          <w:lang w:eastAsia="ja-JP"/>
        </w:rPr>
        <w:t xml:space="preserve"> respecto del PIB</w:t>
      </w:r>
      <w:r w:rsidRPr="00184700">
        <w:rPr>
          <w:rFonts w:ascii="Times New Roman" w:eastAsia="MS Mincho" w:hAnsi="Times New Roman"/>
          <w:lang w:eastAsia="ja-JP"/>
        </w:rPr>
        <w:t xml:space="preserve">. </w:t>
      </w:r>
    </w:p>
    <w:p w14:paraId="35A79890" w14:textId="77777777" w:rsidR="008A5924" w:rsidRDefault="008A5924" w:rsidP="008A5924">
      <w:pPr>
        <w:pStyle w:val="Sinespaciado"/>
        <w:jc w:val="both"/>
        <w:rPr>
          <w:rFonts w:ascii="Times New Roman" w:eastAsia="MS Mincho" w:hAnsi="Times New Roman"/>
          <w:lang w:eastAsia="ja-JP"/>
        </w:rPr>
      </w:pPr>
    </w:p>
    <w:p w14:paraId="7994ACD1" w14:textId="77777777" w:rsidR="008B4A34" w:rsidRPr="00184700" w:rsidRDefault="008B4A34" w:rsidP="008A5924">
      <w:pPr>
        <w:pStyle w:val="Sinespaciado"/>
        <w:jc w:val="both"/>
        <w:rPr>
          <w:rFonts w:ascii="Times New Roman" w:eastAsia="MS Mincho" w:hAnsi="Times New Roman"/>
          <w:lang w:eastAsia="ja-JP"/>
        </w:rPr>
      </w:pPr>
    </w:p>
    <w:p w14:paraId="57B6CC54" w14:textId="77777777" w:rsidR="00056555" w:rsidRDefault="00056555" w:rsidP="008A5924">
      <w:pPr>
        <w:pStyle w:val="Descripcin"/>
        <w:rPr>
          <w:color w:val="000000" w:themeColor="text1"/>
        </w:rPr>
      </w:pPr>
      <w:bookmarkStart w:id="181" w:name="_Toc16242990"/>
    </w:p>
    <w:p w14:paraId="1AC99CD7" w14:textId="77777777" w:rsidR="00056555" w:rsidRDefault="00056555" w:rsidP="008A5924">
      <w:pPr>
        <w:pStyle w:val="Descripcin"/>
        <w:rPr>
          <w:color w:val="000000" w:themeColor="text1"/>
        </w:rPr>
      </w:pPr>
    </w:p>
    <w:p w14:paraId="4392B447" w14:textId="77777777" w:rsidR="00056555" w:rsidRDefault="00056555" w:rsidP="008A5924">
      <w:pPr>
        <w:pStyle w:val="Descripcin"/>
        <w:rPr>
          <w:color w:val="000000" w:themeColor="text1"/>
        </w:rPr>
      </w:pPr>
    </w:p>
    <w:p w14:paraId="6E1AEF44" w14:textId="77777777" w:rsidR="00056555" w:rsidRDefault="00056555" w:rsidP="008A5924">
      <w:pPr>
        <w:pStyle w:val="Descripcin"/>
        <w:rPr>
          <w:color w:val="000000" w:themeColor="text1"/>
        </w:rPr>
      </w:pPr>
    </w:p>
    <w:p w14:paraId="1A59FDFD" w14:textId="77777777" w:rsidR="00056555" w:rsidRDefault="00056555" w:rsidP="008A5924">
      <w:pPr>
        <w:pStyle w:val="Descripcin"/>
        <w:rPr>
          <w:color w:val="000000" w:themeColor="text1"/>
        </w:rPr>
      </w:pPr>
    </w:p>
    <w:p w14:paraId="0971972C" w14:textId="77777777" w:rsidR="00056555" w:rsidRDefault="00056555" w:rsidP="008A5924">
      <w:pPr>
        <w:pStyle w:val="Descripcin"/>
        <w:rPr>
          <w:color w:val="000000" w:themeColor="text1"/>
        </w:rPr>
      </w:pPr>
    </w:p>
    <w:p w14:paraId="65C138AA" w14:textId="77777777" w:rsidR="00056555" w:rsidRDefault="00056555" w:rsidP="008A5924">
      <w:pPr>
        <w:pStyle w:val="Descripcin"/>
        <w:rPr>
          <w:color w:val="000000" w:themeColor="text1"/>
        </w:rPr>
      </w:pPr>
    </w:p>
    <w:p w14:paraId="40A7CF1D" w14:textId="77777777" w:rsidR="00056555" w:rsidRDefault="00056555" w:rsidP="008A5924">
      <w:pPr>
        <w:pStyle w:val="Descripcin"/>
        <w:rPr>
          <w:color w:val="000000" w:themeColor="text1"/>
        </w:rPr>
      </w:pPr>
    </w:p>
    <w:p w14:paraId="00C160F5" w14:textId="77777777" w:rsidR="00056555" w:rsidRDefault="00056555" w:rsidP="008A5924">
      <w:pPr>
        <w:pStyle w:val="Descripcin"/>
        <w:rPr>
          <w:color w:val="000000" w:themeColor="text1"/>
        </w:rPr>
      </w:pPr>
    </w:p>
    <w:p w14:paraId="15B14D2E" w14:textId="052D1392" w:rsidR="008A5924" w:rsidRPr="00736E66" w:rsidRDefault="008A5924" w:rsidP="008A5924">
      <w:pPr>
        <w:pStyle w:val="Descripcin"/>
        <w:rPr>
          <w:bCs/>
          <w:color w:val="000000" w:themeColor="text1"/>
          <w:lang w:val="es-ES"/>
        </w:rPr>
      </w:pPr>
      <w:r w:rsidRPr="00736E66">
        <w:rPr>
          <w:color w:val="000000" w:themeColor="text1"/>
        </w:rPr>
        <w:t xml:space="preserve">Gráfico  </w:t>
      </w:r>
      <w:r w:rsidRPr="00736E66">
        <w:rPr>
          <w:color w:val="000000" w:themeColor="text1"/>
        </w:rPr>
        <w:fldChar w:fldCharType="begin"/>
      </w:r>
      <w:r w:rsidRPr="00736E66">
        <w:rPr>
          <w:color w:val="000000" w:themeColor="text1"/>
        </w:rPr>
        <w:instrText xml:space="preserve"> SEQ Gráfico_ \* ARABIC </w:instrText>
      </w:r>
      <w:r w:rsidRPr="00736E66">
        <w:rPr>
          <w:color w:val="000000" w:themeColor="text1"/>
        </w:rPr>
        <w:fldChar w:fldCharType="separate"/>
      </w:r>
      <w:r w:rsidR="004B2A60">
        <w:rPr>
          <w:noProof/>
          <w:color w:val="000000" w:themeColor="text1"/>
        </w:rPr>
        <w:t>27</w:t>
      </w:r>
      <w:r w:rsidRPr="00736E66">
        <w:rPr>
          <w:noProof/>
          <w:color w:val="000000" w:themeColor="text1"/>
        </w:rPr>
        <w:fldChar w:fldCharType="end"/>
      </w:r>
      <w:r w:rsidRPr="00736E66">
        <w:rPr>
          <w:color w:val="000000" w:themeColor="text1"/>
        </w:rPr>
        <w:t xml:space="preserve"> : </w:t>
      </w:r>
      <w:r w:rsidRPr="00736E66">
        <w:rPr>
          <w:color w:val="000000" w:themeColor="text1"/>
          <w:lang w:val="es-ES"/>
        </w:rPr>
        <w:t>Tamaño del Régimen de Clases Pasivas respecto del PIB. 2009 – 2018.</w:t>
      </w:r>
      <w:bookmarkEnd w:id="181"/>
      <w:r w:rsidRPr="00736E66">
        <w:rPr>
          <w:color w:val="000000" w:themeColor="text1"/>
          <w:lang w:val="es-ES"/>
        </w:rPr>
        <w:t xml:space="preserve"> </w:t>
      </w:r>
    </w:p>
    <w:p w14:paraId="4DEA9DB3" w14:textId="77777777" w:rsidR="008A5924" w:rsidRDefault="008A5924" w:rsidP="008A5924">
      <w:pPr>
        <w:pStyle w:val="Descripcin"/>
        <w:keepNext/>
        <w:rPr>
          <w:rFonts w:eastAsia="MS Mincho"/>
          <w:b w:val="0"/>
          <w:color w:val="000000" w:themeColor="text1"/>
          <w:lang w:eastAsia="ja-JP"/>
        </w:rPr>
      </w:pPr>
      <w:r w:rsidRPr="00736E66">
        <w:rPr>
          <w:rFonts w:eastAsia="MS Mincho"/>
          <w:b w:val="0"/>
          <w:color w:val="000000" w:themeColor="text1"/>
          <w:lang w:eastAsia="ja-JP"/>
        </w:rPr>
        <w:t>Porcentaje</w:t>
      </w:r>
    </w:p>
    <w:p w14:paraId="3CB0C604" w14:textId="77777777" w:rsidR="00056555" w:rsidRPr="00056555" w:rsidRDefault="00056555" w:rsidP="00056555">
      <w:pPr>
        <w:rPr>
          <w:rFonts w:eastAsia="MS Mincho"/>
          <w:lang w:eastAsia="ja-JP"/>
        </w:rPr>
      </w:pPr>
    </w:p>
    <w:p w14:paraId="64A94B7C" w14:textId="77777777" w:rsidR="008A5924" w:rsidRPr="00184700" w:rsidRDefault="008A5924" w:rsidP="008A5924">
      <w:pPr>
        <w:keepNext/>
        <w:jc w:val="center"/>
        <w:rPr>
          <w:rFonts w:eastAsia="Malgun Gothic"/>
          <w:lang w:val="es-ES"/>
        </w:rPr>
      </w:pPr>
      <w:r w:rsidRPr="00184700">
        <w:rPr>
          <w:noProof/>
          <w:lang w:val="es-GT" w:eastAsia="es-GT"/>
        </w:rPr>
        <w:drawing>
          <wp:inline distT="0" distB="0" distL="0" distR="0" wp14:anchorId="2447F591" wp14:editId="77A4755E">
            <wp:extent cx="4512624" cy="2185060"/>
            <wp:effectExtent l="0" t="0" r="2540" b="571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C1D18D" w14:textId="77777777" w:rsidR="008A5924" w:rsidRPr="00383BB0" w:rsidRDefault="0075239B" w:rsidP="00383BB0">
      <w:pPr>
        <w:ind w:left="1276" w:hanging="1276"/>
        <w:jc w:val="both"/>
        <w:rPr>
          <w:sz w:val="14"/>
          <w:szCs w:val="16"/>
          <w:lang w:eastAsia="es-GT"/>
        </w:rPr>
      </w:pPr>
      <w:r w:rsidRPr="002449EC">
        <w:rPr>
          <w:b/>
          <w:sz w:val="16"/>
        </w:rPr>
        <w:t xml:space="preserve">              </w:t>
      </w:r>
      <w:r w:rsidRPr="002449EC">
        <w:rPr>
          <w:b/>
          <w:sz w:val="14"/>
        </w:rPr>
        <w:t xml:space="preserve"> </w:t>
      </w:r>
      <w:r w:rsidR="008A5924" w:rsidRPr="002449EC">
        <w:rPr>
          <w:b/>
          <w:sz w:val="14"/>
        </w:rPr>
        <w:t>Fuente</w:t>
      </w:r>
      <w:r w:rsidR="008A5924" w:rsidRPr="00383BB0">
        <w:rPr>
          <w:sz w:val="14"/>
        </w:rPr>
        <w:t>: Elaboración DEF. Dato</w:t>
      </w:r>
      <w:r w:rsidR="008A5924" w:rsidRPr="00383BB0">
        <w:rPr>
          <w:sz w:val="14"/>
          <w:szCs w:val="16"/>
        </w:rPr>
        <w:t xml:space="preserve">s 1998 a 2018 obtenidos de Sicoin y datos de Banguat. </w:t>
      </w:r>
      <w:r w:rsidR="008A5924" w:rsidRPr="00383BB0">
        <w:rPr>
          <w:sz w:val="14"/>
          <w:szCs w:val="16"/>
          <w:vertAlign w:val="superscript"/>
          <w:lang w:eastAsia="es-GT"/>
        </w:rPr>
        <w:t>1/</w:t>
      </w:r>
      <w:r w:rsidR="008A5924" w:rsidRPr="00383BB0">
        <w:rPr>
          <w:sz w:val="14"/>
          <w:szCs w:val="16"/>
          <w:lang w:eastAsia="es-GT"/>
        </w:rPr>
        <w:t xml:space="preserve"> Cifras preliminares sin armonizar con las </w:t>
      </w:r>
      <w:r w:rsidR="00383BB0">
        <w:rPr>
          <w:sz w:val="14"/>
          <w:szCs w:val="16"/>
          <w:lang w:eastAsia="es-GT"/>
        </w:rPr>
        <w:t xml:space="preserve">cuentas </w:t>
      </w:r>
      <w:r w:rsidR="008A5924" w:rsidRPr="00383BB0">
        <w:rPr>
          <w:sz w:val="14"/>
          <w:szCs w:val="16"/>
          <w:lang w:eastAsia="es-GT"/>
        </w:rPr>
        <w:t>anuales.</w:t>
      </w:r>
    </w:p>
    <w:p w14:paraId="1F90F194" w14:textId="77777777" w:rsidR="008A5924" w:rsidRPr="00184700" w:rsidRDefault="008A5924" w:rsidP="008A5924">
      <w:pPr>
        <w:outlineLvl w:val="1"/>
        <w:rPr>
          <w:b/>
          <w:sz w:val="14"/>
          <w:lang w:val="es-MX"/>
        </w:rPr>
      </w:pPr>
      <w:bookmarkStart w:id="182" w:name="_Toc508979719"/>
      <w:bookmarkStart w:id="183" w:name="_Toc508980077"/>
      <w:bookmarkStart w:id="184" w:name="_Toc508980230"/>
      <w:bookmarkStart w:id="185" w:name="_Toc508981271"/>
      <w:bookmarkStart w:id="186" w:name="_Toc508982516"/>
      <w:bookmarkStart w:id="187" w:name="_Toc509213525"/>
      <w:bookmarkStart w:id="188" w:name="_Toc509213588"/>
      <w:bookmarkStart w:id="189" w:name="_Toc509213654"/>
      <w:bookmarkStart w:id="190" w:name="_Toc509213819"/>
      <w:bookmarkStart w:id="191" w:name="_Toc509214783"/>
      <w:bookmarkStart w:id="192" w:name="_Toc509213530"/>
      <w:bookmarkStart w:id="193" w:name="_Toc509213593"/>
      <w:bookmarkStart w:id="194" w:name="_Toc509213659"/>
      <w:bookmarkStart w:id="195" w:name="_Toc509213824"/>
      <w:bookmarkStart w:id="196" w:name="_Toc50921478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6908F10" w14:textId="77777777" w:rsidR="008A5924" w:rsidRPr="00736E66" w:rsidRDefault="008A5924" w:rsidP="00DD6292">
      <w:pPr>
        <w:pStyle w:val="Ttulo3"/>
        <w:widowControl/>
        <w:numPr>
          <w:ilvl w:val="2"/>
          <w:numId w:val="5"/>
        </w:numPr>
        <w:spacing w:before="240" w:after="60"/>
        <w:ind w:left="1701" w:hanging="981"/>
        <w:jc w:val="both"/>
        <w:rPr>
          <w:sz w:val="24"/>
          <w:szCs w:val="24"/>
        </w:rPr>
      </w:pPr>
      <w:bookmarkStart w:id="197" w:name="_Toc509214789"/>
      <w:bookmarkStart w:id="198" w:name="_Toc16519908"/>
      <w:r w:rsidRPr="00736E66">
        <w:rPr>
          <w:sz w:val="24"/>
          <w:szCs w:val="24"/>
        </w:rPr>
        <w:t xml:space="preserve">Aspectos </w:t>
      </w:r>
      <w:bookmarkEnd w:id="197"/>
      <w:r w:rsidRPr="00736E66">
        <w:rPr>
          <w:sz w:val="24"/>
          <w:szCs w:val="24"/>
        </w:rPr>
        <w:t>a seguir en el análisis de las clases pasivas</w:t>
      </w:r>
      <w:bookmarkEnd w:id="198"/>
      <w:r w:rsidRPr="00736E66">
        <w:rPr>
          <w:sz w:val="24"/>
          <w:szCs w:val="24"/>
        </w:rPr>
        <w:t xml:space="preserve">   </w:t>
      </w:r>
    </w:p>
    <w:p w14:paraId="42CD198D" w14:textId="77777777" w:rsidR="008A5924" w:rsidRPr="00736E66" w:rsidRDefault="008A5924" w:rsidP="008A5924">
      <w:pPr>
        <w:keepNext/>
        <w:rPr>
          <w:sz w:val="24"/>
          <w:szCs w:val="24"/>
          <w:lang w:val="es-MX"/>
        </w:rPr>
      </w:pPr>
    </w:p>
    <w:p w14:paraId="515A0DAA" w14:textId="77777777" w:rsidR="008A5924" w:rsidRPr="00736E66" w:rsidRDefault="008A5924" w:rsidP="008A5924">
      <w:pPr>
        <w:pStyle w:val="Sinespaciado"/>
        <w:spacing w:after="240"/>
        <w:jc w:val="both"/>
        <w:rPr>
          <w:rFonts w:ascii="Times New Roman" w:hAnsi="Times New Roman"/>
          <w:sz w:val="24"/>
          <w:szCs w:val="24"/>
          <w:lang w:val="es-ES_tradnl"/>
        </w:rPr>
      </w:pPr>
      <w:r w:rsidRPr="00736E66">
        <w:rPr>
          <w:rFonts w:ascii="Times New Roman" w:hAnsi="Times New Roman"/>
          <w:sz w:val="24"/>
          <w:szCs w:val="24"/>
        </w:rPr>
        <w:t>Realizar escenarios y calcular el impacto de los mismos, donde se consideren supuestos como el retiro en bloque de grupos etarios seleccionados, el incremento de la planilla de empleados activos y los supuestos macroeconómicos.</w:t>
      </w:r>
    </w:p>
    <w:p w14:paraId="06CB0BA0" w14:textId="77777777" w:rsidR="008A5924" w:rsidRPr="00736E66" w:rsidRDefault="008A5924" w:rsidP="008A5924">
      <w:pPr>
        <w:pStyle w:val="Sinespaciado"/>
        <w:spacing w:after="240"/>
        <w:jc w:val="both"/>
        <w:rPr>
          <w:rFonts w:ascii="Times New Roman" w:hAnsi="Times New Roman"/>
          <w:sz w:val="24"/>
          <w:szCs w:val="24"/>
        </w:rPr>
      </w:pPr>
      <w:r w:rsidRPr="00736E66">
        <w:rPr>
          <w:rFonts w:ascii="Times New Roman" w:hAnsi="Times New Roman"/>
          <w:sz w:val="24"/>
          <w:szCs w:val="24"/>
        </w:rPr>
        <w:t>Es importante levantar y publicar datos del censo de emple</w:t>
      </w:r>
      <w:r w:rsidR="0075239B" w:rsidRPr="00736E66">
        <w:rPr>
          <w:rFonts w:ascii="Times New Roman" w:hAnsi="Times New Roman"/>
          <w:sz w:val="24"/>
          <w:szCs w:val="24"/>
        </w:rPr>
        <w:t xml:space="preserve">ados públicos, realizado en el </w:t>
      </w:r>
      <w:r w:rsidRPr="00736E66">
        <w:rPr>
          <w:rFonts w:ascii="Times New Roman" w:hAnsi="Times New Roman"/>
          <w:sz w:val="24"/>
          <w:szCs w:val="24"/>
        </w:rPr>
        <w:t>2018, con lo cual se mejorarán las fichas de empleado de las bases de Guatenóminas, para poder realizar proyecciones más precisas de la cantidad de empleados que se incorporarán al plan de clases pasivas y el pasivo implícito que esto conlleva; esto de la mano con una actualización completa de las bases de datos de pensionados.</w:t>
      </w:r>
    </w:p>
    <w:p w14:paraId="3689BCF0" w14:textId="77777777" w:rsidR="008A5924" w:rsidRPr="00736E66" w:rsidRDefault="008A5924" w:rsidP="00DD6292">
      <w:pPr>
        <w:pStyle w:val="Ttulo2"/>
        <w:widowControl/>
        <w:numPr>
          <w:ilvl w:val="1"/>
          <w:numId w:val="5"/>
        </w:numPr>
        <w:spacing w:before="240" w:after="60"/>
        <w:ind w:left="993" w:hanging="633"/>
        <w:rPr>
          <w:sz w:val="24"/>
          <w:szCs w:val="24"/>
        </w:rPr>
      </w:pPr>
      <w:bookmarkStart w:id="199" w:name="_Toc16519909"/>
      <w:r w:rsidRPr="00736E66">
        <w:rPr>
          <w:sz w:val="24"/>
          <w:szCs w:val="24"/>
        </w:rPr>
        <w:t>Riesgo de Recursos Naturales</w:t>
      </w:r>
      <w:bookmarkEnd w:id="199"/>
    </w:p>
    <w:p w14:paraId="5D22056C" w14:textId="77777777" w:rsidR="008A5924" w:rsidRPr="00736E66" w:rsidRDefault="008A5924" w:rsidP="008A5924">
      <w:pPr>
        <w:jc w:val="both"/>
        <w:rPr>
          <w:sz w:val="24"/>
          <w:szCs w:val="24"/>
          <w:lang w:val="es-MX"/>
        </w:rPr>
      </w:pPr>
    </w:p>
    <w:p w14:paraId="7D36EFF3" w14:textId="77777777" w:rsidR="008A5924" w:rsidRPr="00736E66" w:rsidRDefault="008A5924" w:rsidP="008A5924">
      <w:pPr>
        <w:jc w:val="both"/>
        <w:rPr>
          <w:sz w:val="24"/>
          <w:szCs w:val="24"/>
          <w:lang w:val="es-MX"/>
        </w:rPr>
      </w:pPr>
      <w:r w:rsidRPr="00736E66">
        <w:rPr>
          <w:sz w:val="24"/>
          <w:szCs w:val="24"/>
          <w:lang w:val="es-MX"/>
        </w:rPr>
        <w:t>El Código de Transparencia Fiscal del Fondo Monetario Internacional, incluye dentro del análisis de riesgos fiscales específicos, los denominados “Riesgos de Recursos Naturales” como un ejercicio de buenas prácticas, especialmente en los países que reciben importantes ingresos provenientes de los recursos naturales agotables.</w:t>
      </w:r>
    </w:p>
    <w:p w14:paraId="3FA036D0" w14:textId="77777777" w:rsidR="008A5924" w:rsidRPr="00736E66" w:rsidRDefault="008A5924" w:rsidP="008A5924">
      <w:pPr>
        <w:jc w:val="both"/>
        <w:rPr>
          <w:sz w:val="24"/>
          <w:szCs w:val="24"/>
          <w:lang w:val="es-MX"/>
        </w:rPr>
      </w:pPr>
    </w:p>
    <w:p w14:paraId="00639505" w14:textId="77777777" w:rsidR="008A5924" w:rsidRPr="00736E66" w:rsidRDefault="008A5924" w:rsidP="008A5924">
      <w:pPr>
        <w:jc w:val="both"/>
        <w:rPr>
          <w:sz w:val="24"/>
          <w:szCs w:val="24"/>
          <w:lang w:val="es-MX"/>
        </w:rPr>
      </w:pPr>
      <w:r w:rsidRPr="00736E66">
        <w:rPr>
          <w:sz w:val="24"/>
          <w:szCs w:val="24"/>
          <w:lang w:val="es-MX"/>
        </w:rPr>
        <w:t>Los países son considerados ricos en hidrocarburos y/o recursos minerales sobre la base de los siguientes criterios: i) una proporción media entre el ingreso fiscal proveniente de los hidrocarburos y/o minerales y el ingreso</w:t>
      </w:r>
      <w:r w:rsidR="00985B91" w:rsidRPr="00736E66">
        <w:rPr>
          <w:sz w:val="24"/>
          <w:szCs w:val="24"/>
          <w:lang w:val="es-MX"/>
        </w:rPr>
        <w:t xml:space="preserve"> fiscal total de al menos el 25 por ciento</w:t>
      </w:r>
      <w:r w:rsidRPr="00736E66">
        <w:rPr>
          <w:sz w:val="24"/>
          <w:szCs w:val="24"/>
          <w:lang w:val="es-MX"/>
        </w:rPr>
        <w:t xml:space="preserve"> durante el quinquenio anterior, o ii) una proporción media entre los ingresos de las exportaciones de hidrocarburos y/o minerales y los ingresos totales d</w:t>
      </w:r>
      <w:r w:rsidR="00985B91" w:rsidRPr="00736E66">
        <w:rPr>
          <w:sz w:val="24"/>
          <w:szCs w:val="24"/>
          <w:lang w:val="es-MX"/>
        </w:rPr>
        <w:t>e exportación de al menos el 25 por ciento</w:t>
      </w:r>
      <w:r w:rsidRPr="00736E66">
        <w:rPr>
          <w:sz w:val="24"/>
          <w:szCs w:val="24"/>
          <w:lang w:val="es-MX"/>
        </w:rPr>
        <w:t xml:space="preserve"> durante el quinquenio anterior (FMI, 2007 Guía sobre la transparencia del ingreso proveniente de los recursos naturales; EITI, 2005 Manual de la Iniciativa para la transparencia de las industrias extractivas). </w:t>
      </w:r>
    </w:p>
    <w:p w14:paraId="075890ED" w14:textId="77777777" w:rsidR="008A5924" w:rsidRDefault="008A5924" w:rsidP="008A5924">
      <w:pPr>
        <w:jc w:val="both"/>
        <w:rPr>
          <w:sz w:val="24"/>
          <w:szCs w:val="24"/>
          <w:lang w:val="es-MX"/>
        </w:rPr>
      </w:pPr>
    </w:p>
    <w:p w14:paraId="6BBC78BD" w14:textId="77777777" w:rsidR="001203DD" w:rsidRDefault="001203DD" w:rsidP="008A5924">
      <w:pPr>
        <w:jc w:val="both"/>
        <w:rPr>
          <w:sz w:val="24"/>
          <w:szCs w:val="24"/>
          <w:lang w:val="es-MX"/>
        </w:rPr>
      </w:pPr>
    </w:p>
    <w:p w14:paraId="3870CC0F" w14:textId="77777777" w:rsidR="001203DD" w:rsidRPr="00736E66" w:rsidRDefault="001203DD" w:rsidP="008A5924">
      <w:pPr>
        <w:jc w:val="both"/>
        <w:rPr>
          <w:sz w:val="24"/>
          <w:szCs w:val="24"/>
          <w:lang w:val="es-MX"/>
        </w:rPr>
      </w:pPr>
    </w:p>
    <w:p w14:paraId="5A512B3F" w14:textId="77777777" w:rsidR="008A5924" w:rsidRPr="00736E66" w:rsidRDefault="008A5924" w:rsidP="008A5924">
      <w:pPr>
        <w:jc w:val="both"/>
        <w:rPr>
          <w:sz w:val="24"/>
          <w:szCs w:val="24"/>
          <w:lang w:val="es-MX"/>
        </w:rPr>
      </w:pPr>
      <w:r w:rsidRPr="00736E66">
        <w:rPr>
          <w:sz w:val="24"/>
          <w:szCs w:val="24"/>
          <w:lang w:val="es-MX"/>
        </w:rPr>
        <w:t>Para desarrollar el caso nacional, se aplica en forma análoga el criterio de la proporción de ingresos fiscales, a escala de los gobiernos locales; en la figura de las transferencias hacia los Consejos Departamentales de Desarrollo provenientes de la explotación petrolera y las regalías mineras obtenidas por las Municipalidades, dado que durante los últimos quince años, derivado del alza de los precios internacionales y la implementación de grandes proyectos mineros; obtuvieron un flujo extraordinario de ingresos provenientes de las actividades extractivas.</w:t>
      </w:r>
    </w:p>
    <w:p w14:paraId="76F4FAE2" w14:textId="77777777" w:rsidR="008A5924" w:rsidRPr="00736E66" w:rsidRDefault="008A5924" w:rsidP="008A5924">
      <w:pPr>
        <w:jc w:val="both"/>
        <w:rPr>
          <w:sz w:val="24"/>
          <w:szCs w:val="24"/>
          <w:lang w:val="es-MX"/>
        </w:rPr>
      </w:pPr>
    </w:p>
    <w:p w14:paraId="2F4998A1" w14:textId="77777777" w:rsidR="008A5924" w:rsidRPr="00736E66" w:rsidRDefault="008A5924" w:rsidP="008A5924">
      <w:pPr>
        <w:jc w:val="both"/>
        <w:rPr>
          <w:sz w:val="24"/>
          <w:szCs w:val="24"/>
          <w:lang w:val="es-MX"/>
        </w:rPr>
      </w:pPr>
      <w:r w:rsidRPr="00736E66">
        <w:rPr>
          <w:sz w:val="24"/>
          <w:szCs w:val="24"/>
          <w:lang w:val="es-MX"/>
        </w:rPr>
        <w:t xml:space="preserve">El objetivo principal del análisis, es describir los ingresos obtenidos bajo el régimen fiscal vigente, a efecto de establecer las posibles repercusiones de la disminución de los mismos, derivada del agotamiento de los recursos naturales, fluctuaciones en los precios o bien la existencia de otras variables que limiten parcial o totalmente su explotación. </w:t>
      </w:r>
    </w:p>
    <w:p w14:paraId="35711AF3" w14:textId="77777777" w:rsidR="008A5924" w:rsidRPr="00184700" w:rsidRDefault="008A5924" w:rsidP="008A5924">
      <w:pPr>
        <w:jc w:val="both"/>
        <w:rPr>
          <w:lang w:val="es-MX"/>
        </w:rPr>
      </w:pPr>
    </w:p>
    <w:p w14:paraId="4F23BA89" w14:textId="77777777" w:rsidR="008A5924" w:rsidRPr="00736E66" w:rsidRDefault="008A5924" w:rsidP="00DD6292">
      <w:pPr>
        <w:pStyle w:val="Ttulo3"/>
        <w:widowControl/>
        <w:numPr>
          <w:ilvl w:val="2"/>
          <w:numId w:val="5"/>
        </w:numPr>
        <w:spacing w:before="240" w:after="60"/>
        <w:ind w:left="1701" w:hanging="981"/>
        <w:jc w:val="both"/>
        <w:rPr>
          <w:sz w:val="24"/>
          <w:szCs w:val="24"/>
        </w:rPr>
      </w:pPr>
      <w:bookmarkStart w:id="200" w:name="_Toc16519910"/>
      <w:r w:rsidRPr="00736E66">
        <w:rPr>
          <w:sz w:val="24"/>
          <w:szCs w:val="24"/>
        </w:rPr>
        <w:t>La actividad extractiva en Guatemala</w:t>
      </w:r>
      <w:bookmarkEnd w:id="200"/>
    </w:p>
    <w:p w14:paraId="28B806F1" w14:textId="77777777" w:rsidR="008A5924" w:rsidRPr="00736E66" w:rsidRDefault="008A5924" w:rsidP="008A5924">
      <w:pPr>
        <w:jc w:val="both"/>
        <w:rPr>
          <w:sz w:val="24"/>
          <w:szCs w:val="24"/>
          <w:lang w:val="es-MX"/>
        </w:rPr>
      </w:pPr>
    </w:p>
    <w:p w14:paraId="36EF17FB" w14:textId="77777777" w:rsidR="008A5924" w:rsidRPr="00736E66" w:rsidRDefault="008A5924" w:rsidP="008A5924">
      <w:pPr>
        <w:jc w:val="both"/>
        <w:rPr>
          <w:sz w:val="24"/>
          <w:szCs w:val="24"/>
          <w:lang w:val="es-MX"/>
        </w:rPr>
      </w:pPr>
      <w:r w:rsidRPr="00736E66">
        <w:rPr>
          <w:sz w:val="24"/>
          <w:szCs w:val="24"/>
          <w:lang w:val="es-MX"/>
        </w:rPr>
        <w:t>En su delimitación analítica, se entienden como Industrias Extractivas aquellas actividades económicas que implican la explotación y/o extracción de elementos naturales del suelo o subsuelo, a escala industrial y a un ritmo mucho mayor que el ritmo natural de reposición de dichos elementos naturales. La extracción petrolera y minera son dos ejemplos de Industrias Extractivas (AVANCSO, 2017. Industrias y Proyectos Extractivos en Guatemala. Una mirada global)</w:t>
      </w:r>
    </w:p>
    <w:p w14:paraId="0D77B627" w14:textId="77777777" w:rsidR="008A5924" w:rsidRPr="00736E66" w:rsidRDefault="008A5924" w:rsidP="008A5924">
      <w:pPr>
        <w:jc w:val="both"/>
        <w:rPr>
          <w:sz w:val="24"/>
          <w:szCs w:val="24"/>
          <w:lang w:val="es-MX"/>
        </w:rPr>
      </w:pPr>
    </w:p>
    <w:p w14:paraId="4493B1F6" w14:textId="77777777" w:rsidR="008A5924" w:rsidRPr="00736E66" w:rsidRDefault="008A5924" w:rsidP="008A5924">
      <w:pPr>
        <w:jc w:val="both"/>
        <w:rPr>
          <w:sz w:val="24"/>
          <w:szCs w:val="24"/>
          <w:lang w:val="es-MX"/>
        </w:rPr>
      </w:pPr>
      <w:r w:rsidRPr="00736E66">
        <w:rPr>
          <w:sz w:val="24"/>
          <w:szCs w:val="24"/>
          <w:lang w:val="es-MX"/>
        </w:rPr>
        <w:t>Para su análisis económico, los recursos naturales agotables que se explotan comercialmente en Guatemala se agrupan de acuerdo con el Sistema de Cuentas Nacionales SCN y la Clasificación Industrial Internacional Uniforme (CIIU), bajo la actividad “Extracción de Minas y Canteras”</w:t>
      </w:r>
      <w:r w:rsidRPr="00736E66">
        <w:rPr>
          <w:sz w:val="24"/>
          <w:szCs w:val="24"/>
          <w:vertAlign w:val="superscript"/>
        </w:rPr>
        <w:footnoteReference w:id="12"/>
      </w:r>
      <w:r w:rsidRPr="00736E66">
        <w:rPr>
          <w:sz w:val="24"/>
          <w:szCs w:val="24"/>
          <w:lang w:val="es-MX"/>
        </w:rPr>
        <w:t>; que abarca la extracción de minerales que se encuentran en la naturaleza en estado sólido (carbón y minerales), líquido (petróleo) o gaseoso (gas natural). La extracción puede llevarse a cabo por diferentes métodos, como explotación de minas subterráneas o a cielo abierto, perforación de pozos, entre otros.</w:t>
      </w:r>
    </w:p>
    <w:p w14:paraId="711F0241" w14:textId="77777777" w:rsidR="008A5924" w:rsidRPr="00736E66" w:rsidRDefault="008A5924" w:rsidP="008A5924">
      <w:pPr>
        <w:jc w:val="both"/>
        <w:rPr>
          <w:sz w:val="24"/>
          <w:szCs w:val="24"/>
          <w:lang w:val="es-MX"/>
        </w:rPr>
      </w:pPr>
    </w:p>
    <w:p w14:paraId="4DA67A4A" w14:textId="77777777" w:rsidR="008A5924" w:rsidRPr="00736E66" w:rsidRDefault="008A5924" w:rsidP="008A5924">
      <w:pPr>
        <w:jc w:val="both"/>
        <w:rPr>
          <w:sz w:val="24"/>
          <w:szCs w:val="24"/>
          <w:lang w:val="es-MX"/>
        </w:rPr>
      </w:pPr>
      <w:r w:rsidRPr="00736E66">
        <w:rPr>
          <w:sz w:val="24"/>
          <w:szCs w:val="24"/>
          <w:lang w:val="es-MX"/>
        </w:rPr>
        <w:t xml:space="preserve">Hasta el 2001 la actividad extractiva en Guatemala, no constituía un sector con aportes importantes a la conformación del Producto Interno Bruto, </w:t>
      </w:r>
      <w:r w:rsidR="00985B91" w:rsidRPr="00736E66">
        <w:rPr>
          <w:sz w:val="24"/>
          <w:szCs w:val="24"/>
          <w:lang w:val="es-MX"/>
        </w:rPr>
        <w:t>participando con un modesto 0.7 por ciento</w:t>
      </w:r>
      <w:r w:rsidRPr="00736E66">
        <w:rPr>
          <w:sz w:val="24"/>
          <w:szCs w:val="24"/>
          <w:lang w:val="es-MX"/>
        </w:rPr>
        <w:t>. Sin embargo, con el  inicio de nuevas operaciones de exploración y explotación minera dada la existencia de significativos yacimientos minerales de oro, plata, zinc, y plomo, considerados aptos para su explotación económica y el renovado interés manifestado por la Inversión Extranjera, para el establecimiento de proyectos extractivos, la actividad comenzó a perfilarse como una de las de mayor dinamismo elevando su part</w:t>
      </w:r>
      <w:r w:rsidR="00985B91" w:rsidRPr="00736E66">
        <w:rPr>
          <w:sz w:val="24"/>
          <w:szCs w:val="24"/>
          <w:lang w:val="es-MX"/>
        </w:rPr>
        <w:t>icipación en el producto de 1.2 por ciento</w:t>
      </w:r>
      <w:r w:rsidRPr="00736E66">
        <w:rPr>
          <w:sz w:val="24"/>
          <w:szCs w:val="24"/>
          <w:lang w:val="es-MX"/>
        </w:rPr>
        <w:t xml:space="preserve"> (Q1,</w:t>
      </w:r>
      <w:r w:rsidR="00985B91" w:rsidRPr="00736E66">
        <w:rPr>
          <w:sz w:val="24"/>
          <w:szCs w:val="24"/>
          <w:lang w:val="es-MX"/>
        </w:rPr>
        <w:t>1042.1 millones) en 2005 al 2.8 por ciento</w:t>
      </w:r>
      <w:r w:rsidRPr="00736E66">
        <w:rPr>
          <w:sz w:val="24"/>
          <w:szCs w:val="24"/>
          <w:lang w:val="es-MX"/>
        </w:rPr>
        <w:t xml:space="preserve"> (Q10,512.2 millones) en el 2011; el incremento es atribuible a la explotación del oro y plata a partir del 2005 a través de la mina Marlin.</w:t>
      </w:r>
    </w:p>
    <w:p w14:paraId="06AE3A55" w14:textId="031F968B" w:rsidR="009C111D" w:rsidRDefault="009C111D" w:rsidP="008A5924">
      <w:pPr>
        <w:jc w:val="both"/>
        <w:rPr>
          <w:sz w:val="24"/>
          <w:szCs w:val="24"/>
          <w:lang w:val="es-MX"/>
        </w:rPr>
      </w:pPr>
    </w:p>
    <w:p w14:paraId="6DDF06DE" w14:textId="20177195" w:rsidR="006812CD" w:rsidRDefault="006812CD" w:rsidP="008A5924">
      <w:pPr>
        <w:jc w:val="both"/>
        <w:rPr>
          <w:sz w:val="24"/>
          <w:szCs w:val="24"/>
          <w:lang w:val="es-MX"/>
        </w:rPr>
      </w:pPr>
    </w:p>
    <w:p w14:paraId="3E6D2025" w14:textId="7B76FC10" w:rsidR="006812CD" w:rsidRDefault="006812CD" w:rsidP="008A5924">
      <w:pPr>
        <w:jc w:val="both"/>
        <w:rPr>
          <w:sz w:val="24"/>
          <w:szCs w:val="24"/>
          <w:lang w:val="es-MX"/>
        </w:rPr>
      </w:pPr>
    </w:p>
    <w:p w14:paraId="1EB0DCBD" w14:textId="0210F9EF" w:rsidR="006812CD" w:rsidRDefault="006812CD" w:rsidP="008A5924">
      <w:pPr>
        <w:jc w:val="both"/>
        <w:rPr>
          <w:sz w:val="24"/>
          <w:szCs w:val="24"/>
          <w:lang w:val="es-MX"/>
        </w:rPr>
      </w:pPr>
    </w:p>
    <w:p w14:paraId="6050ECEF" w14:textId="1B9E85FD" w:rsidR="006812CD" w:rsidRDefault="006812CD" w:rsidP="008A5924">
      <w:pPr>
        <w:jc w:val="both"/>
        <w:rPr>
          <w:sz w:val="24"/>
          <w:szCs w:val="24"/>
          <w:lang w:val="es-MX"/>
        </w:rPr>
      </w:pPr>
    </w:p>
    <w:p w14:paraId="2B86FA60" w14:textId="77777777" w:rsidR="006812CD" w:rsidRPr="00736E66" w:rsidRDefault="006812CD" w:rsidP="008A5924">
      <w:pPr>
        <w:jc w:val="both"/>
        <w:rPr>
          <w:sz w:val="24"/>
          <w:szCs w:val="24"/>
          <w:lang w:val="es-MX"/>
        </w:rPr>
      </w:pPr>
    </w:p>
    <w:p w14:paraId="6500935D" w14:textId="77777777" w:rsidR="009C111D" w:rsidRDefault="009C111D" w:rsidP="008A5924">
      <w:pPr>
        <w:jc w:val="both"/>
        <w:rPr>
          <w:lang w:val="es-MX"/>
        </w:rPr>
      </w:pPr>
    </w:p>
    <w:p w14:paraId="6222315F" w14:textId="27163369" w:rsidR="008A5924" w:rsidRPr="00736E66" w:rsidRDefault="008A5924" w:rsidP="008A5924">
      <w:pPr>
        <w:pStyle w:val="Descripcin"/>
        <w:rPr>
          <w:color w:val="000000" w:themeColor="text1"/>
          <w:sz w:val="16"/>
          <w:lang w:val="es-MX"/>
        </w:rPr>
      </w:pPr>
      <w:bookmarkStart w:id="201" w:name="_Toc16242991"/>
      <w:r w:rsidRPr="00736E66">
        <w:rPr>
          <w:color w:val="000000" w:themeColor="text1"/>
        </w:rPr>
        <w:t xml:space="preserve">Gráfico  </w:t>
      </w:r>
      <w:r w:rsidRPr="00736E66">
        <w:rPr>
          <w:color w:val="000000" w:themeColor="text1"/>
        </w:rPr>
        <w:fldChar w:fldCharType="begin"/>
      </w:r>
      <w:r w:rsidRPr="00736E66">
        <w:rPr>
          <w:color w:val="000000" w:themeColor="text1"/>
        </w:rPr>
        <w:instrText xml:space="preserve"> SEQ Gráfico_ \* ARABIC </w:instrText>
      </w:r>
      <w:r w:rsidRPr="00736E66">
        <w:rPr>
          <w:color w:val="000000" w:themeColor="text1"/>
        </w:rPr>
        <w:fldChar w:fldCharType="separate"/>
      </w:r>
      <w:r w:rsidR="004B2A60">
        <w:rPr>
          <w:noProof/>
          <w:color w:val="000000" w:themeColor="text1"/>
        </w:rPr>
        <w:t>28</w:t>
      </w:r>
      <w:r w:rsidRPr="00736E66">
        <w:rPr>
          <w:noProof/>
          <w:color w:val="000000" w:themeColor="text1"/>
        </w:rPr>
        <w:fldChar w:fldCharType="end"/>
      </w:r>
      <w:r w:rsidRPr="00736E66">
        <w:rPr>
          <w:color w:val="000000" w:themeColor="text1"/>
        </w:rPr>
        <w:t>: Participación en la conformación del Producto Interno Bruto</w:t>
      </w:r>
      <w:bookmarkEnd w:id="201"/>
    </w:p>
    <w:p w14:paraId="54CCFA81" w14:textId="77777777" w:rsidR="008A5924" w:rsidRDefault="008A5924" w:rsidP="008A5924">
      <w:pPr>
        <w:jc w:val="center"/>
        <w:rPr>
          <w:sz w:val="16"/>
          <w:lang w:val="es-MX"/>
        </w:rPr>
      </w:pPr>
      <w:r w:rsidRPr="00184700">
        <w:rPr>
          <w:sz w:val="16"/>
          <w:lang w:val="es-MX"/>
        </w:rPr>
        <w:t>Actividad Explotación de minas y canteras, Periodo 2001 – 2018</w:t>
      </w:r>
    </w:p>
    <w:p w14:paraId="56B2FD68" w14:textId="77777777" w:rsidR="003C2F1C" w:rsidRDefault="003C2F1C" w:rsidP="008A5924">
      <w:pPr>
        <w:jc w:val="center"/>
        <w:rPr>
          <w:sz w:val="16"/>
          <w:lang w:val="es-MX"/>
        </w:rPr>
      </w:pPr>
      <w:r>
        <w:rPr>
          <w:sz w:val="16"/>
          <w:lang w:val="es-MX"/>
        </w:rPr>
        <w:t>Millones de quetzales y porcentajes del PIB</w:t>
      </w:r>
    </w:p>
    <w:p w14:paraId="2BB050C1" w14:textId="77777777" w:rsidR="009C111D" w:rsidRPr="00184700" w:rsidRDefault="009C111D" w:rsidP="008A5924">
      <w:pPr>
        <w:jc w:val="center"/>
        <w:rPr>
          <w:lang w:val="es-MX"/>
        </w:rPr>
      </w:pPr>
    </w:p>
    <w:p w14:paraId="2616CB04" w14:textId="77777777" w:rsidR="008A5924" w:rsidRPr="00184700" w:rsidRDefault="008A5924" w:rsidP="008A5924">
      <w:pPr>
        <w:jc w:val="center"/>
        <w:rPr>
          <w:lang w:val="es-MX"/>
        </w:rPr>
      </w:pPr>
      <w:r w:rsidRPr="00184700">
        <w:rPr>
          <w:noProof/>
          <w:lang w:val="es-GT" w:eastAsia="es-GT"/>
        </w:rPr>
        <w:drawing>
          <wp:inline distT="0" distB="0" distL="0" distR="0" wp14:anchorId="7B37921A" wp14:editId="1DECF27F">
            <wp:extent cx="5070764" cy="2446317"/>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771631" w14:textId="77777777" w:rsidR="008A5924" w:rsidRPr="0075239B" w:rsidRDefault="0075239B" w:rsidP="008A5924">
      <w:pPr>
        <w:rPr>
          <w:sz w:val="16"/>
        </w:rPr>
      </w:pPr>
      <w:r w:rsidRPr="0075239B">
        <w:rPr>
          <w:sz w:val="16"/>
        </w:rPr>
        <w:t xml:space="preserve">                                      </w:t>
      </w:r>
      <w:r w:rsidR="008A5924" w:rsidRPr="0075239B">
        <w:rPr>
          <w:sz w:val="16"/>
        </w:rPr>
        <w:t xml:space="preserve">Fuente: Cifras Banco de Guatemala </w:t>
      </w:r>
    </w:p>
    <w:p w14:paraId="1A9B496B" w14:textId="77777777" w:rsidR="008A5924" w:rsidRPr="00184700" w:rsidRDefault="008A5924" w:rsidP="008A5924">
      <w:pPr>
        <w:jc w:val="both"/>
        <w:rPr>
          <w:lang w:val="es-MX"/>
        </w:rPr>
      </w:pPr>
    </w:p>
    <w:p w14:paraId="525C4BC3" w14:textId="77777777" w:rsidR="008A5924" w:rsidRPr="00736E66" w:rsidRDefault="008A5924" w:rsidP="008A5924">
      <w:pPr>
        <w:jc w:val="both"/>
        <w:rPr>
          <w:sz w:val="24"/>
          <w:szCs w:val="24"/>
          <w:lang w:val="es-MX"/>
        </w:rPr>
      </w:pPr>
      <w:r w:rsidRPr="00736E66">
        <w:rPr>
          <w:sz w:val="24"/>
          <w:szCs w:val="24"/>
          <w:lang w:val="es-MX"/>
        </w:rPr>
        <w:t>Con el cierre de la explotación a cielo abierto, l</w:t>
      </w:r>
      <w:r w:rsidR="00985B91" w:rsidRPr="00736E66">
        <w:rPr>
          <w:sz w:val="24"/>
          <w:szCs w:val="24"/>
          <w:lang w:val="es-MX"/>
        </w:rPr>
        <w:t>a participación disminuye a 1.8 por ciento</w:t>
      </w:r>
      <w:r w:rsidRPr="00736E66">
        <w:rPr>
          <w:sz w:val="24"/>
          <w:szCs w:val="24"/>
          <w:lang w:val="es-MX"/>
        </w:rPr>
        <w:t xml:space="preserve"> en el 2013, año en el que dan inicio las operaciones del Proyecto Minero el Escobal por lo que  la participac</w:t>
      </w:r>
      <w:r w:rsidR="00985B91" w:rsidRPr="00736E66">
        <w:rPr>
          <w:sz w:val="24"/>
          <w:szCs w:val="24"/>
          <w:lang w:val="es-MX"/>
        </w:rPr>
        <w:t xml:space="preserve">ión se incrementa a 2.2 por ciento </w:t>
      </w:r>
      <w:r w:rsidRPr="00736E66">
        <w:rPr>
          <w:sz w:val="24"/>
          <w:szCs w:val="24"/>
          <w:lang w:val="es-MX"/>
        </w:rPr>
        <w:t>del PIB el último incremento observado durante la serie, en la cual derivado del cierre técnico de la mina Marlin, la reducción de la producción petrolera, la disminución en los precios a nivel internacional y los problemas legales que afrontan algunos proyectos, la participación de la actividad en la formación del Producto</w:t>
      </w:r>
      <w:r w:rsidR="00985B91" w:rsidRPr="00736E66">
        <w:rPr>
          <w:sz w:val="24"/>
          <w:szCs w:val="24"/>
          <w:lang w:val="es-MX"/>
        </w:rPr>
        <w:t xml:space="preserve">  Interno Bruto se sitúa en 0.7 por ciento</w:t>
      </w:r>
      <w:r w:rsidRPr="00736E66">
        <w:rPr>
          <w:sz w:val="24"/>
          <w:szCs w:val="24"/>
          <w:lang w:val="es-MX"/>
        </w:rPr>
        <w:t>, valor comparable al que presentaba en el 2001.</w:t>
      </w:r>
    </w:p>
    <w:p w14:paraId="39D35307" w14:textId="77777777" w:rsidR="008A5924" w:rsidRPr="00736E66" w:rsidRDefault="008A5924" w:rsidP="008A5924">
      <w:pPr>
        <w:jc w:val="both"/>
        <w:rPr>
          <w:sz w:val="24"/>
          <w:szCs w:val="24"/>
          <w:lang w:val="es-MX"/>
        </w:rPr>
      </w:pPr>
    </w:p>
    <w:p w14:paraId="7B250F8D" w14:textId="77777777" w:rsidR="008A5924" w:rsidRPr="00736E66" w:rsidRDefault="008A5924" w:rsidP="008A5924">
      <w:pPr>
        <w:jc w:val="both"/>
        <w:rPr>
          <w:sz w:val="24"/>
          <w:szCs w:val="24"/>
          <w:lang w:val="es-MX"/>
        </w:rPr>
      </w:pPr>
      <w:r w:rsidRPr="00736E66">
        <w:rPr>
          <w:sz w:val="24"/>
          <w:szCs w:val="24"/>
          <w:lang w:val="es-MX"/>
        </w:rPr>
        <w:t>Otro elemento importante, lo constituye el flujo de Inversión Extranjera Directa IED, destinada hacia la industrias extractivas, ubicadas para efectos de reporte en el Sector Primario (Agricultura, Petróleo, Minas y canteras) el cual de acuerdo con cifras del Banco de Guatemala, muestra importantes variaciones relacionadas con la implementación de proyectos extractivos, destaca la inversión recibida en el 2012 con un monto estimado de U.S. Dólares 417.8 mi</w:t>
      </w:r>
      <w:r w:rsidR="00985B91" w:rsidRPr="00736E66">
        <w:rPr>
          <w:sz w:val="24"/>
          <w:szCs w:val="24"/>
          <w:lang w:val="es-MX"/>
        </w:rPr>
        <w:t xml:space="preserve">llones, que representó el 33.6 por ciento </w:t>
      </w:r>
      <w:r w:rsidRPr="00736E66">
        <w:rPr>
          <w:sz w:val="24"/>
          <w:szCs w:val="24"/>
          <w:lang w:val="es-MX"/>
        </w:rPr>
        <w:t>del total de IED registrada durante ese año. El comportamiento guarda relación con la fase de construcción de los proyectos Escobal, Fénix, Cerro Colorado y Sechol. El principal origen del capital para inversiones es Canadá y Rusia, particularmente de las empresas Glamis Gold, Gold Corp, Sky Resources Inc., Hudbay Minerals, Tahoe Resources,  (EITI-GUA, 2018).</w:t>
      </w:r>
    </w:p>
    <w:p w14:paraId="57D29686" w14:textId="77777777" w:rsidR="009C111D" w:rsidRDefault="009C111D" w:rsidP="008A5924">
      <w:pPr>
        <w:jc w:val="both"/>
        <w:rPr>
          <w:lang w:val="es-MX"/>
        </w:rPr>
      </w:pPr>
    </w:p>
    <w:p w14:paraId="44E567B9" w14:textId="77777777" w:rsidR="009C111D" w:rsidRDefault="009C111D" w:rsidP="008A5924">
      <w:pPr>
        <w:jc w:val="both"/>
        <w:rPr>
          <w:lang w:val="es-MX"/>
        </w:rPr>
      </w:pPr>
    </w:p>
    <w:p w14:paraId="2FC90444" w14:textId="744008F1" w:rsidR="009C111D" w:rsidRDefault="009C111D" w:rsidP="008A5924">
      <w:pPr>
        <w:jc w:val="both"/>
        <w:rPr>
          <w:lang w:val="es-MX"/>
        </w:rPr>
      </w:pPr>
    </w:p>
    <w:p w14:paraId="57A3FE1C" w14:textId="49585C0D" w:rsidR="006812CD" w:rsidRDefault="006812CD" w:rsidP="008A5924">
      <w:pPr>
        <w:jc w:val="both"/>
        <w:rPr>
          <w:lang w:val="es-MX"/>
        </w:rPr>
      </w:pPr>
    </w:p>
    <w:p w14:paraId="5DD03D6E" w14:textId="0C7F3399" w:rsidR="006812CD" w:rsidRDefault="006812CD" w:rsidP="008A5924">
      <w:pPr>
        <w:jc w:val="both"/>
        <w:rPr>
          <w:lang w:val="es-MX"/>
        </w:rPr>
      </w:pPr>
    </w:p>
    <w:p w14:paraId="06EB1B40" w14:textId="34742939" w:rsidR="006812CD" w:rsidRDefault="006812CD" w:rsidP="008A5924">
      <w:pPr>
        <w:jc w:val="both"/>
        <w:rPr>
          <w:lang w:val="es-MX"/>
        </w:rPr>
      </w:pPr>
    </w:p>
    <w:p w14:paraId="675E2FD8" w14:textId="479E95C9" w:rsidR="006812CD" w:rsidRDefault="006812CD" w:rsidP="008A5924">
      <w:pPr>
        <w:jc w:val="both"/>
        <w:rPr>
          <w:lang w:val="es-MX"/>
        </w:rPr>
      </w:pPr>
    </w:p>
    <w:p w14:paraId="29E51E81" w14:textId="10AA0979" w:rsidR="006812CD" w:rsidRDefault="006812CD" w:rsidP="008A5924">
      <w:pPr>
        <w:jc w:val="both"/>
        <w:rPr>
          <w:lang w:val="es-MX"/>
        </w:rPr>
      </w:pPr>
    </w:p>
    <w:p w14:paraId="663A182F" w14:textId="548211AF" w:rsidR="006812CD" w:rsidRDefault="006812CD" w:rsidP="008A5924">
      <w:pPr>
        <w:jc w:val="both"/>
        <w:rPr>
          <w:lang w:val="es-MX"/>
        </w:rPr>
      </w:pPr>
    </w:p>
    <w:p w14:paraId="1CED4F67" w14:textId="641EF639" w:rsidR="006812CD" w:rsidRDefault="006812CD" w:rsidP="008A5924">
      <w:pPr>
        <w:jc w:val="both"/>
        <w:rPr>
          <w:lang w:val="es-MX"/>
        </w:rPr>
      </w:pPr>
    </w:p>
    <w:p w14:paraId="12D8CD0A" w14:textId="438644B9" w:rsidR="006812CD" w:rsidRDefault="006812CD" w:rsidP="008A5924">
      <w:pPr>
        <w:jc w:val="both"/>
        <w:rPr>
          <w:lang w:val="es-MX"/>
        </w:rPr>
      </w:pPr>
    </w:p>
    <w:p w14:paraId="11073EA8" w14:textId="0853E821" w:rsidR="006812CD" w:rsidRDefault="006812CD" w:rsidP="008A5924">
      <w:pPr>
        <w:jc w:val="both"/>
        <w:rPr>
          <w:lang w:val="es-MX"/>
        </w:rPr>
      </w:pPr>
    </w:p>
    <w:p w14:paraId="15FCEA2C" w14:textId="77777777" w:rsidR="006812CD" w:rsidRDefault="006812CD" w:rsidP="008A5924">
      <w:pPr>
        <w:jc w:val="both"/>
        <w:rPr>
          <w:lang w:val="es-MX"/>
        </w:rPr>
      </w:pPr>
    </w:p>
    <w:p w14:paraId="4DB5794C" w14:textId="63F20DB3" w:rsidR="008A5924" w:rsidRPr="000D31D5" w:rsidRDefault="008A5924" w:rsidP="008A5924">
      <w:pPr>
        <w:pStyle w:val="Descripcin"/>
        <w:rPr>
          <w:color w:val="000000" w:themeColor="text1"/>
          <w:sz w:val="16"/>
          <w:lang w:val="es-MX"/>
        </w:rPr>
      </w:pPr>
      <w:bookmarkStart w:id="202" w:name="_Toc16242992"/>
      <w:r w:rsidRPr="000D31D5">
        <w:rPr>
          <w:color w:val="000000" w:themeColor="text1"/>
        </w:rPr>
        <w:t xml:space="preserve">Gráfico  </w:t>
      </w:r>
      <w:r w:rsidRPr="000D31D5">
        <w:rPr>
          <w:color w:val="000000" w:themeColor="text1"/>
        </w:rPr>
        <w:fldChar w:fldCharType="begin"/>
      </w:r>
      <w:r w:rsidRPr="000D31D5">
        <w:rPr>
          <w:color w:val="000000" w:themeColor="text1"/>
        </w:rPr>
        <w:instrText xml:space="preserve"> SEQ Gráfico_ \* ARABIC </w:instrText>
      </w:r>
      <w:r w:rsidRPr="000D31D5">
        <w:rPr>
          <w:color w:val="000000" w:themeColor="text1"/>
        </w:rPr>
        <w:fldChar w:fldCharType="separate"/>
      </w:r>
      <w:r w:rsidR="004B2A60">
        <w:rPr>
          <w:noProof/>
          <w:color w:val="000000" w:themeColor="text1"/>
        </w:rPr>
        <w:t>29</w:t>
      </w:r>
      <w:r w:rsidRPr="000D31D5">
        <w:rPr>
          <w:noProof/>
          <w:color w:val="000000" w:themeColor="text1"/>
        </w:rPr>
        <w:fldChar w:fldCharType="end"/>
      </w:r>
      <w:r w:rsidRPr="000D31D5">
        <w:rPr>
          <w:color w:val="000000" w:themeColor="text1"/>
        </w:rPr>
        <w:t>: Flujos de Inversión Extranjera Directa</w:t>
      </w:r>
      <w:bookmarkEnd w:id="202"/>
      <w:r w:rsidRPr="000D31D5">
        <w:rPr>
          <w:color w:val="000000" w:themeColor="text1"/>
          <w:sz w:val="16"/>
          <w:lang w:val="es-MX"/>
        </w:rPr>
        <w:t xml:space="preserve"> </w:t>
      </w:r>
    </w:p>
    <w:p w14:paraId="45FB3539" w14:textId="77777777" w:rsidR="008A5924" w:rsidRPr="00184700" w:rsidRDefault="008A5924" w:rsidP="008A5924">
      <w:pPr>
        <w:jc w:val="center"/>
        <w:rPr>
          <w:sz w:val="16"/>
          <w:lang w:val="es-MX"/>
        </w:rPr>
      </w:pPr>
      <w:r w:rsidRPr="00184700">
        <w:rPr>
          <w:sz w:val="16"/>
          <w:lang w:val="es-MX"/>
        </w:rPr>
        <w:t>Industrias extractivas, Periodo 2007 – 2018</w:t>
      </w:r>
    </w:p>
    <w:p w14:paraId="513592AA" w14:textId="77777777" w:rsidR="008A5924" w:rsidRDefault="008A5924" w:rsidP="008A5924">
      <w:pPr>
        <w:jc w:val="center"/>
        <w:rPr>
          <w:sz w:val="16"/>
          <w:lang w:val="es-MX"/>
        </w:rPr>
      </w:pPr>
      <w:r w:rsidRPr="00184700">
        <w:rPr>
          <w:sz w:val="16"/>
          <w:lang w:val="es-MX"/>
        </w:rPr>
        <w:t>Cifras en millones de US Dólares y porcentajes</w:t>
      </w:r>
    </w:p>
    <w:p w14:paraId="0F485E20" w14:textId="77777777" w:rsidR="00056555" w:rsidRPr="00184700" w:rsidRDefault="00056555" w:rsidP="008A5924">
      <w:pPr>
        <w:jc w:val="center"/>
        <w:rPr>
          <w:sz w:val="16"/>
          <w:lang w:val="es-MX"/>
        </w:rPr>
      </w:pPr>
    </w:p>
    <w:p w14:paraId="664FA759" w14:textId="77777777" w:rsidR="008A5924" w:rsidRPr="00184700" w:rsidRDefault="008A5924" w:rsidP="0075239B">
      <w:pPr>
        <w:jc w:val="center"/>
        <w:rPr>
          <w:lang w:val="es-MX"/>
        </w:rPr>
      </w:pPr>
      <w:r w:rsidRPr="00184700">
        <w:rPr>
          <w:noProof/>
          <w:lang w:val="es-GT" w:eastAsia="es-GT"/>
        </w:rPr>
        <w:drawing>
          <wp:inline distT="0" distB="0" distL="0" distR="0" wp14:anchorId="261FC024" wp14:editId="2B1ADBED">
            <wp:extent cx="5609230" cy="2838734"/>
            <wp:effectExtent l="0" t="0" r="0" b="0"/>
            <wp:docPr id="29" name="Gráfico 2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D3E43D" w14:textId="77777777" w:rsidR="008A5924" w:rsidRPr="0075239B" w:rsidRDefault="0075239B" w:rsidP="008A5924">
      <w:pPr>
        <w:rPr>
          <w:sz w:val="16"/>
        </w:rPr>
      </w:pPr>
      <w:r>
        <w:rPr>
          <w:sz w:val="16"/>
        </w:rPr>
        <w:t xml:space="preserve">                 </w:t>
      </w:r>
      <w:r w:rsidRPr="0075239B">
        <w:rPr>
          <w:sz w:val="16"/>
        </w:rPr>
        <w:t xml:space="preserve">  </w:t>
      </w:r>
      <w:r w:rsidR="008A5924" w:rsidRPr="0075239B">
        <w:rPr>
          <w:sz w:val="16"/>
        </w:rPr>
        <w:t xml:space="preserve">Fuente: Cifras Banco de Guatemala </w:t>
      </w:r>
    </w:p>
    <w:p w14:paraId="13E7C903" w14:textId="77777777" w:rsidR="008A5924" w:rsidRPr="00184700" w:rsidRDefault="008A5924" w:rsidP="008A5924">
      <w:pPr>
        <w:jc w:val="both"/>
        <w:rPr>
          <w:lang w:val="es-MX"/>
        </w:rPr>
      </w:pPr>
    </w:p>
    <w:p w14:paraId="3E172B31" w14:textId="47FAFF43" w:rsidR="008A5924" w:rsidRPr="000D31D5" w:rsidRDefault="008A5924" w:rsidP="008A5924">
      <w:pPr>
        <w:jc w:val="both"/>
        <w:rPr>
          <w:sz w:val="24"/>
          <w:szCs w:val="24"/>
          <w:lang w:val="es-MX"/>
        </w:rPr>
      </w:pPr>
      <w:r w:rsidRPr="000D31D5">
        <w:rPr>
          <w:sz w:val="24"/>
          <w:szCs w:val="24"/>
          <w:lang w:val="es-MX"/>
        </w:rPr>
        <w:t>Para el periodo 2013-2016 se observa una r</w:t>
      </w:r>
      <w:r w:rsidR="00056555">
        <w:rPr>
          <w:sz w:val="24"/>
          <w:szCs w:val="24"/>
          <w:lang w:val="es-MX"/>
        </w:rPr>
        <w:t>educción considerable en la IED</w:t>
      </w:r>
      <w:r w:rsidRPr="000D31D5">
        <w:rPr>
          <w:sz w:val="24"/>
          <w:szCs w:val="24"/>
          <w:lang w:val="es-MX"/>
        </w:rPr>
        <w:t xml:space="preserve"> alcanzando su punto más bajo en el 2016 con U.S. </w:t>
      </w:r>
      <w:r w:rsidR="006812CD" w:rsidRPr="000D31D5">
        <w:rPr>
          <w:sz w:val="24"/>
          <w:szCs w:val="24"/>
          <w:lang w:val="es-MX"/>
        </w:rPr>
        <w:t>dólares</w:t>
      </w:r>
      <w:r w:rsidRPr="000D31D5">
        <w:rPr>
          <w:sz w:val="24"/>
          <w:szCs w:val="24"/>
          <w:lang w:val="es-MX"/>
        </w:rPr>
        <w:t xml:space="preserve"> 27.</w:t>
      </w:r>
      <w:r w:rsidR="003C65BF" w:rsidRPr="000D31D5">
        <w:rPr>
          <w:sz w:val="24"/>
          <w:szCs w:val="24"/>
          <w:lang w:val="es-MX"/>
        </w:rPr>
        <w:t>5 millones, equivalentes al 2.3 por ciento</w:t>
      </w:r>
      <w:r w:rsidRPr="000D31D5">
        <w:rPr>
          <w:sz w:val="24"/>
          <w:szCs w:val="24"/>
          <w:lang w:val="es-MX"/>
        </w:rPr>
        <w:t xml:space="preserve"> de la IED total, se estima que la causa de la disminución son las resoluciones judiciales que no permitieron brindar certeza jurídica a las inversiones ya instaladas alejando además potenciales inversiones al afectar el clima de inversión (EITI-GUA, 2018).</w:t>
      </w:r>
    </w:p>
    <w:p w14:paraId="19E0CBFF" w14:textId="77777777" w:rsidR="008A5924" w:rsidRDefault="008A5924" w:rsidP="008A5924">
      <w:pPr>
        <w:jc w:val="both"/>
        <w:rPr>
          <w:sz w:val="24"/>
          <w:szCs w:val="24"/>
          <w:lang w:val="es-MX"/>
        </w:rPr>
      </w:pPr>
    </w:p>
    <w:p w14:paraId="5FFEBD44" w14:textId="77777777" w:rsidR="00D07A98" w:rsidRPr="000D31D5" w:rsidRDefault="00D07A98" w:rsidP="008A5924">
      <w:pPr>
        <w:jc w:val="both"/>
        <w:rPr>
          <w:sz w:val="24"/>
          <w:szCs w:val="24"/>
          <w:lang w:val="es-MX"/>
        </w:rPr>
      </w:pPr>
    </w:p>
    <w:p w14:paraId="4AAFCC6B" w14:textId="77777777" w:rsidR="008A5924" w:rsidRPr="000D31D5" w:rsidRDefault="008A5924" w:rsidP="00DD6292">
      <w:pPr>
        <w:pStyle w:val="Prrafodelista"/>
        <w:widowControl/>
        <w:numPr>
          <w:ilvl w:val="0"/>
          <w:numId w:val="13"/>
        </w:numPr>
        <w:spacing w:after="200" w:line="276" w:lineRule="auto"/>
        <w:jc w:val="both"/>
        <w:rPr>
          <w:b/>
          <w:vanish/>
          <w:sz w:val="24"/>
          <w:szCs w:val="24"/>
          <w:lang w:val="es-MX"/>
        </w:rPr>
      </w:pPr>
    </w:p>
    <w:p w14:paraId="5542023B" w14:textId="77777777" w:rsidR="008A5924" w:rsidRPr="000D31D5" w:rsidRDefault="008A5924" w:rsidP="00DD6292">
      <w:pPr>
        <w:pStyle w:val="Prrafodelista"/>
        <w:widowControl/>
        <w:numPr>
          <w:ilvl w:val="0"/>
          <w:numId w:val="13"/>
        </w:numPr>
        <w:spacing w:after="200" w:line="276" w:lineRule="auto"/>
        <w:jc w:val="both"/>
        <w:rPr>
          <w:b/>
          <w:vanish/>
          <w:sz w:val="24"/>
          <w:szCs w:val="24"/>
          <w:lang w:val="es-MX"/>
        </w:rPr>
      </w:pPr>
    </w:p>
    <w:p w14:paraId="605C77B6" w14:textId="77777777" w:rsidR="008A5924" w:rsidRPr="000D31D5" w:rsidRDefault="008A5924" w:rsidP="00DD6292">
      <w:pPr>
        <w:pStyle w:val="Ttulo3"/>
        <w:widowControl/>
        <w:numPr>
          <w:ilvl w:val="2"/>
          <w:numId w:val="5"/>
        </w:numPr>
        <w:spacing w:before="240" w:after="60"/>
        <w:ind w:left="1701" w:hanging="981"/>
        <w:jc w:val="both"/>
        <w:rPr>
          <w:sz w:val="24"/>
          <w:szCs w:val="24"/>
        </w:rPr>
      </w:pPr>
      <w:bookmarkStart w:id="203" w:name="_Toc16519911"/>
      <w:r w:rsidRPr="000D31D5">
        <w:rPr>
          <w:sz w:val="24"/>
          <w:szCs w:val="24"/>
        </w:rPr>
        <w:t>Actividad petrolera en Guatemala</w:t>
      </w:r>
      <w:bookmarkEnd w:id="203"/>
    </w:p>
    <w:p w14:paraId="566958A2" w14:textId="77777777" w:rsidR="008A5924" w:rsidRPr="000D31D5" w:rsidRDefault="008A5924" w:rsidP="008A5924">
      <w:pPr>
        <w:rPr>
          <w:sz w:val="24"/>
          <w:szCs w:val="24"/>
          <w:lang w:val="es-MX"/>
        </w:rPr>
      </w:pPr>
    </w:p>
    <w:p w14:paraId="227A1EB0" w14:textId="77777777" w:rsidR="008A5924" w:rsidRPr="000D31D5" w:rsidRDefault="008A5924" w:rsidP="008A5924">
      <w:pPr>
        <w:jc w:val="both"/>
        <w:rPr>
          <w:sz w:val="24"/>
          <w:szCs w:val="24"/>
          <w:lang w:val="es-MX"/>
        </w:rPr>
      </w:pPr>
      <w:r w:rsidRPr="000D31D5">
        <w:rPr>
          <w:sz w:val="24"/>
          <w:szCs w:val="24"/>
          <w:lang w:val="es-MX"/>
        </w:rPr>
        <w:t>Los inicios de la actividad petrolera comercial en el país se rem</w:t>
      </w:r>
      <w:r w:rsidR="00C66A39">
        <w:rPr>
          <w:sz w:val="24"/>
          <w:szCs w:val="24"/>
          <w:lang w:val="es-MX"/>
        </w:rPr>
        <w:t>ontan a los años finales de la d</w:t>
      </w:r>
      <w:r w:rsidRPr="000D31D5">
        <w:rPr>
          <w:sz w:val="24"/>
          <w:szCs w:val="24"/>
          <w:lang w:val="es-MX"/>
        </w:rPr>
        <w:t>écada de los sesentas, así, en 1967 un decreto gubernamental permitió que las áreas de los parques nacionales guatemaltecos fueran exploradas. Siendo los primeros trabajos realizados en el área de Rubelsanto (MEM, 2007).</w:t>
      </w:r>
    </w:p>
    <w:p w14:paraId="41F805A0" w14:textId="77777777" w:rsidR="008A5924" w:rsidRPr="000D31D5" w:rsidRDefault="008A5924" w:rsidP="008A5924">
      <w:pPr>
        <w:jc w:val="both"/>
        <w:rPr>
          <w:sz w:val="24"/>
          <w:szCs w:val="24"/>
          <w:lang w:val="es-MX"/>
        </w:rPr>
      </w:pPr>
    </w:p>
    <w:p w14:paraId="62FCB419" w14:textId="77777777" w:rsidR="008A5924" w:rsidRPr="000D31D5" w:rsidRDefault="008A5924" w:rsidP="008A5924">
      <w:pPr>
        <w:jc w:val="both"/>
        <w:rPr>
          <w:sz w:val="24"/>
          <w:szCs w:val="24"/>
          <w:lang w:val="es-MX"/>
        </w:rPr>
      </w:pPr>
      <w:r w:rsidRPr="000D31D5">
        <w:rPr>
          <w:sz w:val="24"/>
          <w:szCs w:val="24"/>
          <w:lang w:val="es-MX"/>
        </w:rPr>
        <w:t>En el periodo de 1976 a 1980 fueron perforados 7 pozos, incluyendo el descubrimiento del Campo Chinajá Oeste; se inició la construcción del oleoducto Rubelsanto- Santo Tomas, con el objetivo de transportar la producción de petróleo para su exportación iniciando las operaciones en enero de 1980.</w:t>
      </w:r>
    </w:p>
    <w:p w14:paraId="13960F48" w14:textId="77777777" w:rsidR="008A5924" w:rsidRPr="000D31D5" w:rsidRDefault="008A5924" w:rsidP="008A5924">
      <w:pPr>
        <w:jc w:val="both"/>
        <w:rPr>
          <w:sz w:val="24"/>
          <w:szCs w:val="24"/>
          <w:lang w:val="es-MX"/>
        </w:rPr>
      </w:pPr>
    </w:p>
    <w:p w14:paraId="7ED4FBB8" w14:textId="77777777" w:rsidR="008A5924" w:rsidRPr="000D31D5" w:rsidRDefault="008A5924" w:rsidP="008A5924">
      <w:pPr>
        <w:jc w:val="both"/>
        <w:rPr>
          <w:sz w:val="24"/>
          <w:szCs w:val="24"/>
        </w:rPr>
      </w:pPr>
      <w:r w:rsidRPr="000D31D5">
        <w:rPr>
          <w:sz w:val="24"/>
          <w:szCs w:val="24"/>
          <w:lang w:val="es-MX"/>
        </w:rPr>
        <w:t>Durante el periodo de 1980-1985 se perforó y completó el pozo Yalpemech-1; se promulgan la L</w:t>
      </w:r>
      <w:r w:rsidRPr="000D31D5">
        <w:rPr>
          <w:sz w:val="24"/>
          <w:szCs w:val="24"/>
        </w:rPr>
        <w:t xml:space="preserve">ey de Hidrocarburos (Decreto Número 109-83) y su Reglamento General (Acuerdo Gubernativo 1034-83) </w:t>
      </w:r>
      <w:r w:rsidRPr="000D31D5">
        <w:rPr>
          <w:sz w:val="24"/>
          <w:szCs w:val="24"/>
          <w:lang w:val="es-MX"/>
        </w:rPr>
        <w:t xml:space="preserve">actualmente vigentes, </w:t>
      </w:r>
      <w:r w:rsidRPr="000D31D5">
        <w:rPr>
          <w:sz w:val="24"/>
          <w:szCs w:val="24"/>
        </w:rPr>
        <w:t>p</w:t>
      </w:r>
      <w:r w:rsidRPr="000D31D5">
        <w:rPr>
          <w:sz w:val="24"/>
          <w:szCs w:val="24"/>
          <w:lang w:val="es-MX"/>
        </w:rPr>
        <w:t xml:space="preserve">ara </w:t>
      </w:r>
      <w:r w:rsidRPr="000D31D5">
        <w:rPr>
          <w:sz w:val="24"/>
          <w:szCs w:val="24"/>
        </w:rPr>
        <w:t>propiciar el aprovechamiento de los yacimientos de hidrocarburos, así como, para establecer una política petrolera orientada a obtener mejores resultados en la exploración y explotación de dichos recursos.</w:t>
      </w:r>
    </w:p>
    <w:p w14:paraId="4BC9B562" w14:textId="199A0E01" w:rsidR="00173A21" w:rsidRDefault="00173A21" w:rsidP="008A5924">
      <w:pPr>
        <w:jc w:val="both"/>
        <w:rPr>
          <w:sz w:val="24"/>
          <w:szCs w:val="24"/>
        </w:rPr>
      </w:pPr>
    </w:p>
    <w:p w14:paraId="4618099D" w14:textId="77777777" w:rsidR="006812CD" w:rsidRDefault="006812CD" w:rsidP="008A5924">
      <w:pPr>
        <w:jc w:val="both"/>
        <w:rPr>
          <w:sz w:val="24"/>
          <w:szCs w:val="24"/>
        </w:rPr>
      </w:pPr>
    </w:p>
    <w:p w14:paraId="14404E0A" w14:textId="77777777" w:rsidR="008A5924" w:rsidRPr="000D31D5" w:rsidRDefault="008A5924" w:rsidP="008A5924">
      <w:pPr>
        <w:jc w:val="both"/>
        <w:rPr>
          <w:sz w:val="24"/>
          <w:szCs w:val="24"/>
        </w:rPr>
      </w:pPr>
      <w:r w:rsidRPr="000D31D5">
        <w:rPr>
          <w:sz w:val="24"/>
          <w:szCs w:val="24"/>
        </w:rPr>
        <w:t>El Decreto 109-83, establece entre otros aspectos relevantes:</w:t>
      </w:r>
    </w:p>
    <w:p w14:paraId="01FE9C85" w14:textId="77777777" w:rsidR="008A5924" w:rsidRPr="000D31D5" w:rsidRDefault="008A5924" w:rsidP="008A5924">
      <w:pPr>
        <w:jc w:val="both"/>
        <w:rPr>
          <w:sz w:val="24"/>
          <w:szCs w:val="24"/>
        </w:rPr>
      </w:pPr>
    </w:p>
    <w:p w14:paraId="1FC7475A" w14:textId="77777777" w:rsidR="008A5924" w:rsidRPr="000D31D5" w:rsidRDefault="008A5924" w:rsidP="006812CD">
      <w:pPr>
        <w:pStyle w:val="Prrafodelista"/>
        <w:widowControl/>
        <w:numPr>
          <w:ilvl w:val="0"/>
          <w:numId w:val="12"/>
        </w:numPr>
        <w:spacing w:after="200"/>
        <w:ind w:left="0" w:firstLine="66"/>
        <w:jc w:val="both"/>
        <w:rPr>
          <w:sz w:val="24"/>
          <w:szCs w:val="24"/>
        </w:rPr>
      </w:pPr>
      <w:r w:rsidRPr="000D31D5">
        <w:rPr>
          <w:sz w:val="24"/>
          <w:szCs w:val="24"/>
        </w:rPr>
        <w:t xml:space="preserve">Son bienes de la Nación, todos los yacimientos de hidrocarburos que se encuentran en el territorio de la República de Guatemala, su plataforma continental y su zona económica exclusiva en la forma establecida en las leyes del país o en los convenios internacionales ratificados por Guatemala </w:t>
      </w:r>
      <w:r w:rsidR="00DB578C">
        <w:rPr>
          <w:sz w:val="24"/>
          <w:szCs w:val="24"/>
        </w:rPr>
        <w:br/>
      </w:r>
      <w:r w:rsidRPr="000D31D5">
        <w:rPr>
          <w:sz w:val="24"/>
          <w:szCs w:val="24"/>
        </w:rPr>
        <w:t xml:space="preserve">(Articulo 4). </w:t>
      </w:r>
    </w:p>
    <w:p w14:paraId="3B09018B" w14:textId="77777777" w:rsidR="008A5924" w:rsidRPr="000D31D5" w:rsidRDefault="008A5924" w:rsidP="006812CD">
      <w:pPr>
        <w:pStyle w:val="Prrafodelista"/>
        <w:ind w:left="0" w:firstLine="66"/>
        <w:jc w:val="both"/>
        <w:rPr>
          <w:sz w:val="24"/>
          <w:szCs w:val="24"/>
        </w:rPr>
      </w:pPr>
    </w:p>
    <w:p w14:paraId="638D04AA" w14:textId="77777777" w:rsidR="008A5924" w:rsidRPr="000D31D5" w:rsidRDefault="008A5924" w:rsidP="006812CD">
      <w:pPr>
        <w:pStyle w:val="Prrafodelista"/>
        <w:widowControl/>
        <w:numPr>
          <w:ilvl w:val="0"/>
          <w:numId w:val="12"/>
        </w:numPr>
        <w:spacing w:after="200"/>
        <w:ind w:left="0" w:firstLine="66"/>
        <w:jc w:val="both"/>
        <w:rPr>
          <w:sz w:val="24"/>
          <w:szCs w:val="24"/>
        </w:rPr>
      </w:pPr>
      <w:r w:rsidRPr="000D31D5">
        <w:rPr>
          <w:sz w:val="24"/>
          <w:szCs w:val="24"/>
        </w:rPr>
        <w:t>Las operaciones petroleras podrán ser ejecutadas por el Estado o por medio de contratistas en base a contratos de operaciones petroleras. En el primer caso, el Estado podrá hacerlo por medio del Ministerio, o a través de una empresa petrolera estatal. Salvo derechos adquiridos, el Estado se reserva el derecho de ejecutar operaciones petroleras de transporte y de transformación de los hidrocarburos que se produzcan en el país (Articulo 6).</w:t>
      </w:r>
    </w:p>
    <w:p w14:paraId="33F8DF6D" w14:textId="77777777" w:rsidR="008A5924" w:rsidRPr="000D31D5" w:rsidRDefault="008A5924" w:rsidP="006812CD">
      <w:pPr>
        <w:pStyle w:val="Prrafodelista"/>
        <w:ind w:left="0" w:firstLine="66"/>
        <w:rPr>
          <w:sz w:val="24"/>
          <w:szCs w:val="24"/>
        </w:rPr>
      </w:pPr>
    </w:p>
    <w:p w14:paraId="6DA02120" w14:textId="77777777" w:rsidR="008A5924" w:rsidRPr="000D31D5" w:rsidRDefault="008A5924" w:rsidP="006812CD">
      <w:pPr>
        <w:pStyle w:val="Prrafodelista"/>
        <w:widowControl/>
        <w:numPr>
          <w:ilvl w:val="0"/>
          <w:numId w:val="12"/>
        </w:numPr>
        <w:spacing w:after="200"/>
        <w:ind w:left="0" w:firstLine="66"/>
        <w:jc w:val="both"/>
        <w:rPr>
          <w:sz w:val="24"/>
          <w:szCs w:val="24"/>
        </w:rPr>
      </w:pPr>
      <w:r w:rsidRPr="000D31D5">
        <w:rPr>
          <w:sz w:val="24"/>
          <w:szCs w:val="24"/>
        </w:rPr>
        <w:t xml:space="preserve">Las disposiciones respecto de los plazos </w:t>
      </w:r>
      <w:r w:rsidRPr="000D31D5">
        <w:rPr>
          <w:i/>
          <w:sz w:val="24"/>
          <w:szCs w:val="24"/>
        </w:rPr>
        <w:t xml:space="preserve">"…El plazo de los contratos de operaciones petroleras podrá ser hasta veinticinco (25) años, pudiendo el Ministerio de Energía y Minas aprobar una única prórroga de hasta quince (15) años, siempre y cuando los términos económicos resultaren más favorables para el Estado. El Ministerio de Energía y Minas no podrá autorizar prórroga alguna de los contratos de operaciones petroleras, si estos lesionan los intereses nacionales o violan las leyes de la República…" </w:t>
      </w:r>
      <w:r w:rsidRPr="000D31D5">
        <w:rPr>
          <w:sz w:val="24"/>
          <w:szCs w:val="24"/>
        </w:rPr>
        <w:t>(Artículo 12, reformado por el Artículo 8 del Decreto Número 71-2008).</w:t>
      </w:r>
    </w:p>
    <w:p w14:paraId="3323C23C" w14:textId="77777777" w:rsidR="008A5924" w:rsidRPr="000D31D5" w:rsidRDefault="008A5924" w:rsidP="006812CD">
      <w:pPr>
        <w:pStyle w:val="Prrafodelista"/>
        <w:ind w:left="0" w:firstLine="66"/>
        <w:rPr>
          <w:sz w:val="24"/>
          <w:szCs w:val="24"/>
        </w:rPr>
      </w:pPr>
    </w:p>
    <w:p w14:paraId="7DDF4A24" w14:textId="77777777" w:rsidR="008A5924" w:rsidRPr="000D31D5" w:rsidRDefault="008A5924" w:rsidP="006812CD">
      <w:pPr>
        <w:pStyle w:val="Prrafodelista"/>
        <w:widowControl/>
        <w:numPr>
          <w:ilvl w:val="0"/>
          <w:numId w:val="12"/>
        </w:numPr>
        <w:spacing w:after="200"/>
        <w:ind w:left="0" w:firstLine="66"/>
        <w:jc w:val="both"/>
        <w:rPr>
          <w:sz w:val="24"/>
          <w:szCs w:val="24"/>
        </w:rPr>
      </w:pPr>
      <w:r w:rsidRPr="000D31D5">
        <w:rPr>
          <w:sz w:val="24"/>
          <w:szCs w:val="24"/>
        </w:rPr>
        <w:t>En lo referente a los ingresos estatales   las regalías y la participación de los hidrocarburos que corresponden al Estado y los demás ingresos por cualquier concepto provenientes de los contratos de operaciones petroleras, pasarán a integrar un Fondo para el desarrollo económico de la Nación, el cual se destinará exclusivamente al desarrollo del interior del país y al estudio y desarrollo de fuentes nuevas y renovables de energía. Este fondo será administrado en la forma que se establezca en una ley especial que deberá emitirse para tal efecto (Articulo 31).</w:t>
      </w:r>
    </w:p>
    <w:p w14:paraId="7A2C38D1" w14:textId="77777777" w:rsidR="008A5924" w:rsidRPr="000D31D5" w:rsidRDefault="008A5924" w:rsidP="006812CD">
      <w:pPr>
        <w:jc w:val="both"/>
        <w:rPr>
          <w:sz w:val="24"/>
          <w:szCs w:val="24"/>
          <w:lang w:val="es-MX"/>
        </w:rPr>
      </w:pPr>
      <w:r w:rsidRPr="000D31D5">
        <w:rPr>
          <w:sz w:val="24"/>
          <w:szCs w:val="24"/>
        </w:rPr>
        <w:t xml:space="preserve">Posterior al desarrollo y promulgación de la Ley, </w:t>
      </w:r>
      <w:r w:rsidRPr="000D31D5">
        <w:rPr>
          <w:sz w:val="24"/>
          <w:szCs w:val="24"/>
          <w:lang w:val="es-MX"/>
        </w:rPr>
        <w:t>entre 1985 y 1995 se perforan pozos en las áreas de Caribe, Rubelsanto, Atzam, Yalpemech, a partir de 1995 en lo relacionado a explotación, se opera bajo el contrato 2-85 el campo Xan ubicado en el municipio de San Andrés, Departamento de Petén, que en la actualidad r</w:t>
      </w:r>
      <w:r w:rsidR="00985B91" w:rsidRPr="000D31D5">
        <w:rPr>
          <w:sz w:val="24"/>
          <w:szCs w:val="24"/>
          <w:lang w:val="es-MX"/>
        </w:rPr>
        <w:t>epresenta aproximadamente el 84 por ciento</w:t>
      </w:r>
      <w:r w:rsidRPr="000D31D5">
        <w:rPr>
          <w:sz w:val="24"/>
          <w:szCs w:val="24"/>
          <w:lang w:val="es-MX"/>
        </w:rPr>
        <w:t xml:space="preserve"> de la producción petrolera nacional.</w:t>
      </w:r>
    </w:p>
    <w:p w14:paraId="0D8C9FF1" w14:textId="77777777" w:rsidR="008A5924" w:rsidRPr="000D31D5" w:rsidRDefault="008A5924" w:rsidP="006812CD">
      <w:pPr>
        <w:jc w:val="both"/>
        <w:rPr>
          <w:sz w:val="24"/>
          <w:szCs w:val="24"/>
          <w:lang w:val="es-MX"/>
        </w:rPr>
      </w:pPr>
    </w:p>
    <w:p w14:paraId="66E09752" w14:textId="77777777" w:rsidR="008A5924" w:rsidRPr="000D31D5" w:rsidRDefault="008A5924" w:rsidP="006812CD">
      <w:pPr>
        <w:jc w:val="both"/>
        <w:rPr>
          <w:sz w:val="24"/>
          <w:szCs w:val="24"/>
        </w:rPr>
      </w:pPr>
      <w:r w:rsidRPr="000D31D5">
        <w:rPr>
          <w:sz w:val="24"/>
          <w:szCs w:val="24"/>
        </w:rPr>
        <w:t>De acuerdo con el Ministerio de Energía y Minas, la producción de petróleo crudo nacional durante el período comprendido de los años 2002 a 2018 alcanzó su nivel más alto en 2003 con 9.03 millones de barriles a razón de 24,733 barriles día, a partir del 2004 la producción muestra una tendencia a la baja, esto debido a la declinación natural de las zonas productoras, observándose una reducción considerable al pasar de 6.73 millones de barriles en 2005 a 3.36 millones en 2018, lo que representa u</w:t>
      </w:r>
      <w:r w:rsidR="00985B91" w:rsidRPr="000D31D5">
        <w:rPr>
          <w:sz w:val="24"/>
          <w:szCs w:val="24"/>
        </w:rPr>
        <w:t>na disminución del orden del 50 por ciento</w:t>
      </w:r>
      <w:r w:rsidRPr="000D31D5">
        <w:rPr>
          <w:sz w:val="24"/>
          <w:szCs w:val="24"/>
        </w:rPr>
        <w:t xml:space="preserve"> en la producción promedio de 18,432 a 9,215 barriles por día.  </w:t>
      </w:r>
    </w:p>
    <w:p w14:paraId="511A1C86" w14:textId="77777777" w:rsidR="00173A21" w:rsidRDefault="00173A21" w:rsidP="006812CD">
      <w:pPr>
        <w:pStyle w:val="Descripcin"/>
        <w:keepNext/>
        <w:rPr>
          <w:color w:val="000000" w:themeColor="text1"/>
        </w:rPr>
      </w:pPr>
      <w:bookmarkStart w:id="204" w:name="_Toc16242993"/>
    </w:p>
    <w:p w14:paraId="71C5248E" w14:textId="77777777" w:rsidR="00173A21" w:rsidRDefault="00173A21" w:rsidP="008A5924">
      <w:pPr>
        <w:pStyle w:val="Descripcin"/>
        <w:keepNext/>
        <w:rPr>
          <w:color w:val="000000" w:themeColor="text1"/>
        </w:rPr>
      </w:pPr>
    </w:p>
    <w:p w14:paraId="331860A9" w14:textId="34805055" w:rsidR="00173A21" w:rsidRDefault="00173A21" w:rsidP="008A5924">
      <w:pPr>
        <w:pStyle w:val="Descripcin"/>
        <w:keepNext/>
        <w:rPr>
          <w:color w:val="000000" w:themeColor="text1"/>
        </w:rPr>
      </w:pPr>
    </w:p>
    <w:p w14:paraId="3996A0E0" w14:textId="62A67C9A" w:rsidR="006812CD" w:rsidRDefault="006812CD" w:rsidP="006812CD"/>
    <w:p w14:paraId="280707DF" w14:textId="30C5CD61" w:rsidR="006812CD" w:rsidRDefault="006812CD" w:rsidP="006812CD"/>
    <w:p w14:paraId="2F64D423" w14:textId="4A2B0AA5" w:rsidR="006812CD" w:rsidRDefault="006812CD" w:rsidP="006812CD"/>
    <w:p w14:paraId="7044442A" w14:textId="05F7F280" w:rsidR="006812CD" w:rsidRDefault="006812CD" w:rsidP="006812CD"/>
    <w:p w14:paraId="141EDA11" w14:textId="7EA06F2D" w:rsidR="006812CD" w:rsidRDefault="006812CD" w:rsidP="006812CD"/>
    <w:p w14:paraId="6BD6099B" w14:textId="77777777" w:rsidR="006812CD" w:rsidRPr="006812CD" w:rsidRDefault="006812CD" w:rsidP="006812CD"/>
    <w:p w14:paraId="4940FDA6" w14:textId="77777777" w:rsidR="00DB578C" w:rsidRPr="00DB578C" w:rsidRDefault="00DB578C" w:rsidP="00DB578C"/>
    <w:p w14:paraId="5D4FA35E" w14:textId="3940A5C4" w:rsidR="008A5924" w:rsidRPr="000D31D5" w:rsidRDefault="008A5924" w:rsidP="008A5924">
      <w:pPr>
        <w:pStyle w:val="Descripcin"/>
        <w:keepNext/>
        <w:rPr>
          <w:color w:val="000000" w:themeColor="text1"/>
          <w:sz w:val="16"/>
          <w:lang w:val="es-MX"/>
        </w:rPr>
      </w:pPr>
      <w:r w:rsidRPr="000D31D5">
        <w:rPr>
          <w:color w:val="000000" w:themeColor="text1"/>
        </w:rPr>
        <w:t xml:space="preserve">Gráfico  </w:t>
      </w:r>
      <w:r w:rsidRPr="000D31D5">
        <w:rPr>
          <w:color w:val="000000" w:themeColor="text1"/>
        </w:rPr>
        <w:fldChar w:fldCharType="begin"/>
      </w:r>
      <w:r w:rsidRPr="000D31D5">
        <w:rPr>
          <w:color w:val="000000" w:themeColor="text1"/>
        </w:rPr>
        <w:instrText xml:space="preserve"> SEQ Gráfico_ \* ARABIC </w:instrText>
      </w:r>
      <w:r w:rsidRPr="000D31D5">
        <w:rPr>
          <w:color w:val="000000" w:themeColor="text1"/>
        </w:rPr>
        <w:fldChar w:fldCharType="separate"/>
      </w:r>
      <w:r w:rsidR="004B2A60">
        <w:rPr>
          <w:noProof/>
          <w:color w:val="000000" w:themeColor="text1"/>
        </w:rPr>
        <w:t>30</w:t>
      </w:r>
      <w:r w:rsidRPr="000D31D5">
        <w:rPr>
          <w:noProof/>
          <w:color w:val="000000" w:themeColor="text1"/>
        </w:rPr>
        <w:fldChar w:fldCharType="end"/>
      </w:r>
      <w:r w:rsidRPr="000D31D5">
        <w:rPr>
          <w:color w:val="000000" w:themeColor="text1"/>
        </w:rPr>
        <w:t>: Producción Petrolera en Guatemala</w:t>
      </w:r>
      <w:bookmarkEnd w:id="204"/>
    </w:p>
    <w:p w14:paraId="533B33B9" w14:textId="77777777" w:rsidR="008A5924" w:rsidRPr="00184700" w:rsidRDefault="008A5924" w:rsidP="008A5924">
      <w:pPr>
        <w:jc w:val="center"/>
        <w:rPr>
          <w:sz w:val="16"/>
          <w:lang w:val="es-MX"/>
        </w:rPr>
      </w:pPr>
      <w:r w:rsidRPr="00184700">
        <w:rPr>
          <w:sz w:val="16"/>
          <w:lang w:val="es-MX"/>
        </w:rPr>
        <w:t>Barriles por año y Barriles por día</w:t>
      </w:r>
    </w:p>
    <w:p w14:paraId="213C3399" w14:textId="77777777" w:rsidR="008A5924" w:rsidRDefault="008A5924" w:rsidP="008A5924">
      <w:pPr>
        <w:jc w:val="center"/>
        <w:rPr>
          <w:sz w:val="16"/>
          <w:lang w:val="es-MX"/>
        </w:rPr>
      </w:pPr>
      <w:r w:rsidRPr="00184700">
        <w:rPr>
          <w:sz w:val="16"/>
          <w:lang w:val="es-MX"/>
        </w:rPr>
        <w:t>Periodo 2002 – 2018</w:t>
      </w:r>
    </w:p>
    <w:p w14:paraId="1D9443EF" w14:textId="77777777" w:rsidR="00056555" w:rsidRPr="00184700" w:rsidRDefault="00056555" w:rsidP="008A5924">
      <w:pPr>
        <w:jc w:val="center"/>
        <w:rPr>
          <w:lang w:val="es-MX"/>
        </w:rPr>
      </w:pPr>
    </w:p>
    <w:p w14:paraId="5BFEE903" w14:textId="77777777" w:rsidR="008A5924" w:rsidRPr="00184700" w:rsidRDefault="008A5924" w:rsidP="008A5924">
      <w:pPr>
        <w:jc w:val="center"/>
        <w:rPr>
          <w:sz w:val="16"/>
        </w:rPr>
      </w:pPr>
      <w:r w:rsidRPr="00184700">
        <w:rPr>
          <w:noProof/>
          <w:lang w:val="es-GT" w:eastAsia="es-GT"/>
        </w:rPr>
        <w:drawing>
          <wp:inline distT="0" distB="0" distL="0" distR="0" wp14:anchorId="4073EB70" wp14:editId="3A1C0772">
            <wp:extent cx="4844956" cy="2402006"/>
            <wp:effectExtent l="0" t="0" r="0" b="0"/>
            <wp:docPr id="11" name="Gráfico 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3DF2FA" w14:textId="77777777" w:rsidR="008A5924" w:rsidRPr="00184700" w:rsidRDefault="0075239B" w:rsidP="008A5924">
      <w:pPr>
        <w:rPr>
          <w:sz w:val="12"/>
        </w:rPr>
      </w:pPr>
      <w:r>
        <w:rPr>
          <w:sz w:val="12"/>
        </w:rPr>
        <w:t xml:space="preserve">                                           </w:t>
      </w:r>
      <w:r w:rsidR="008A5924" w:rsidRPr="0075239B">
        <w:rPr>
          <w:sz w:val="16"/>
        </w:rPr>
        <w:t>Fuente: Cifras Ministerio de Energía y Minas, Revista Hidrocarburos</w:t>
      </w:r>
    </w:p>
    <w:p w14:paraId="2C9F4753" w14:textId="77777777" w:rsidR="008A5924" w:rsidRPr="00184700" w:rsidRDefault="008A5924" w:rsidP="008A5924">
      <w:pPr>
        <w:jc w:val="both"/>
      </w:pPr>
    </w:p>
    <w:p w14:paraId="75800135" w14:textId="77777777" w:rsidR="008A5924" w:rsidRPr="000D31D5" w:rsidRDefault="008A5924" w:rsidP="008A5924">
      <w:pPr>
        <w:jc w:val="both"/>
        <w:rPr>
          <w:sz w:val="24"/>
          <w:szCs w:val="24"/>
        </w:rPr>
      </w:pPr>
      <w:r w:rsidRPr="000D31D5">
        <w:rPr>
          <w:sz w:val="24"/>
          <w:szCs w:val="24"/>
        </w:rPr>
        <w:t xml:space="preserve">Actualmente, las áreas de mayor interés en la producción petrolera, se encuentran localizadas en los departamentos de Petén y Alta Verapaz, siendo éstas las que cuentan con los mayores campos productivos (EITI, 2015; “Segundo Informe Nacional de Conciliación EITI-GUA”). </w:t>
      </w:r>
    </w:p>
    <w:p w14:paraId="4ABB4816" w14:textId="77777777" w:rsidR="008A5924" w:rsidRPr="00184700" w:rsidRDefault="008A5924" w:rsidP="008A5924">
      <w:pPr>
        <w:jc w:val="both"/>
        <w:rPr>
          <w:sz w:val="16"/>
        </w:rPr>
      </w:pPr>
    </w:p>
    <w:p w14:paraId="0DC95B52" w14:textId="611ABDEC" w:rsidR="008A5924" w:rsidRPr="000D31D5" w:rsidRDefault="008A5924" w:rsidP="008A5924">
      <w:pPr>
        <w:pStyle w:val="Descripcin"/>
        <w:keepNext/>
        <w:rPr>
          <w:color w:val="000000" w:themeColor="text1"/>
          <w:sz w:val="16"/>
        </w:rPr>
      </w:pPr>
      <w:bookmarkStart w:id="205" w:name="_Toc16242955"/>
      <w:r w:rsidRPr="000D31D5">
        <w:rPr>
          <w:color w:val="000000" w:themeColor="text1"/>
        </w:rPr>
        <w:t xml:space="preserve">Cuadro  </w:t>
      </w:r>
      <w:r w:rsidRPr="000D31D5">
        <w:rPr>
          <w:color w:val="000000" w:themeColor="text1"/>
        </w:rPr>
        <w:fldChar w:fldCharType="begin"/>
      </w:r>
      <w:r w:rsidRPr="000D31D5">
        <w:rPr>
          <w:color w:val="000000" w:themeColor="text1"/>
        </w:rPr>
        <w:instrText xml:space="preserve"> SEQ Cuadro_ \* ARABIC </w:instrText>
      </w:r>
      <w:r w:rsidRPr="000D31D5">
        <w:rPr>
          <w:color w:val="000000" w:themeColor="text1"/>
        </w:rPr>
        <w:fldChar w:fldCharType="separate"/>
      </w:r>
      <w:r w:rsidR="004B2A60">
        <w:rPr>
          <w:noProof/>
          <w:color w:val="000000" w:themeColor="text1"/>
        </w:rPr>
        <w:t>5</w:t>
      </w:r>
      <w:r w:rsidRPr="000D31D5">
        <w:rPr>
          <w:noProof/>
          <w:color w:val="000000" w:themeColor="text1"/>
        </w:rPr>
        <w:fldChar w:fldCharType="end"/>
      </w:r>
      <w:r w:rsidRPr="000D31D5">
        <w:rPr>
          <w:color w:val="000000" w:themeColor="text1"/>
        </w:rPr>
        <w:t>: Contratos de Explotación de Petróleo</w:t>
      </w:r>
      <w:bookmarkEnd w:id="205"/>
    </w:p>
    <w:p w14:paraId="00C11EC7" w14:textId="77777777" w:rsidR="008A5924" w:rsidRDefault="008A5924" w:rsidP="008A5924">
      <w:pPr>
        <w:keepNext/>
        <w:jc w:val="center"/>
        <w:rPr>
          <w:sz w:val="16"/>
        </w:rPr>
      </w:pPr>
      <w:r w:rsidRPr="00184700">
        <w:rPr>
          <w:sz w:val="16"/>
        </w:rPr>
        <w:t>Operando durante 2018</w:t>
      </w:r>
    </w:p>
    <w:p w14:paraId="0BC65E6F" w14:textId="77777777" w:rsidR="009C111D" w:rsidRPr="00184700" w:rsidRDefault="009C111D" w:rsidP="008A5924">
      <w:pPr>
        <w:keepNext/>
        <w:jc w:val="center"/>
      </w:pPr>
    </w:p>
    <w:tbl>
      <w:tblPr>
        <w:tblW w:w="8818" w:type="dxa"/>
        <w:jc w:val="center"/>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850"/>
        <w:gridCol w:w="948"/>
        <w:gridCol w:w="2313"/>
        <w:gridCol w:w="1286"/>
        <w:gridCol w:w="1421"/>
      </w:tblGrid>
      <w:tr w:rsidR="008A5924" w:rsidRPr="00184700" w14:paraId="29C64E3C" w14:textId="77777777" w:rsidTr="00D42129">
        <w:trPr>
          <w:trHeight w:val="556"/>
          <w:jc w:val="center"/>
        </w:trPr>
        <w:tc>
          <w:tcPr>
            <w:tcW w:w="2850" w:type="dxa"/>
            <w:shd w:val="clear" w:color="000000" w:fill="8DB4E2"/>
            <w:vAlign w:val="center"/>
            <w:hideMark/>
          </w:tcPr>
          <w:p w14:paraId="54218D42" w14:textId="77777777" w:rsidR="008A5924" w:rsidRPr="00184700" w:rsidRDefault="008A5924" w:rsidP="008A5924">
            <w:pPr>
              <w:keepNext/>
              <w:jc w:val="center"/>
              <w:rPr>
                <w:b/>
                <w:bCs/>
                <w:sz w:val="18"/>
                <w:lang w:eastAsia="es-GT"/>
              </w:rPr>
            </w:pPr>
            <w:r w:rsidRPr="00184700">
              <w:rPr>
                <w:b/>
                <w:bCs/>
                <w:sz w:val="18"/>
                <w:lang w:eastAsia="es-GT"/>
              </w:rPr>
              <w:t>Empresa</w:t>
            </w:r>
          </w:p>
        </w:tc>
        <w:tc>
          <w:tcPr>
            <w:tcW w:w="948" w:type="dxa"/>
            <w:shd w:val="clear" w:color="000000" w:fill="8DB4E2"/>
            <w:vAlign w:val="center"/>
            <w:hideMark/>
          </w:tcPr>
          <w:p w14:paraId="26350684" w14:textId="77777777" w:rsidR="008A5924" w:rsidRPr="00184700" w:rsidRDefault="008A5924" w:rsidP="008A5924">
            <w:pPr>
              <w:keepNext/>
              <w:jc w:val="center"/>
              <w:rPr>
                <w:b/>
                <w:bCs/>
                <w:sz w:val="18"/>
                <w:lang w:eastAsia="es-GT"/>
              </w:rPr>
            </w:pPr>
            <w:r w:rsidRPr="00184700">
              <w:rPr>
                <w:b/>
                <w:bCs/>
                <w:sz w:val="18"/>
                <w:lang w:eastAsia="es-GT"/>
              </w:rPr>
              <w:t>Contrato</w:t>
            </w:r>
          </w:p>
        </w:tc>
        <w:tc>
          <w:tcPr>
            <w:tcW w:w="2313" w:type="dxa"/>
            <w:shd w:val="clear" w:color="000000" w:fill="8DB4E2"/>
            <w:vAlign w:val="center"/>
            <w:hideMark/>
          </w:tcPr>
          <w:p w14:paraId="5B47B68A" w14:textId="77777777" w:rsidR="008A5924" w:rsidRPr="00184700" w:rsidRDefault="008A5924" w:rsidP="008A5924">
            <w:pPr>
              <w:keepNext/>
              <w:jc w:val="center"/>
              <w:rPr>
                <w:b/>
                <w:bCs/>
                <w:sz w:val="18"/>
                <w:lang w:eastAsia="es-GT"/>
              </w:rPr>
            </w:pPr>
            <w:r w:rsidRPr="00184700">
              <w:rPr>
                <w:b/>
                <w:bCs/>
                <w:sz w:val="18"/>
                <w:lang w:eastAsia="es-GT"/>
              </w:rPr>
              <w:t>Campo</w:t>
            </w:r>
          </w:p>
        </w:tc>
        <w:tc>
          <w:tcPr>
            <w:tcW w:w="1286" w:type="dxa"/>
            <w:shd w:val="clear" w:color="000000" w:fill="8DB4E2"/>
            <w:vAlign w:val="center"/>
            <w:hideMark/>
          </w:tcPr>
          <w:p w14:paraId="6932BC00" w14:textId="77777777" w:rsidR="008A5924" w:rsidRPr="00184700" w:rsidRDefault="008A5924" w:rsidP="008A5924">
            <w:pPr>
              <w:keepNext/>
              <w:jc w:val="center"/>
              <w:rPr>
                <w:b/>
                <w:bCs/>
                <w:sz w:val="18"/>
                <w:lang w:eastAsia="es-GT"/>
              </w:rPr>
            </w:pPr>
            <w:r w:rsidRPr="00184700">
              <w:rPr>
                <w:b/>
                <w:bCs/>
                <w:sz w:val="18"/>
                <w:lang w:eastAsia="es-GT"/>
              </w:rPr>
              <w:t xml:space="preserve">Producción </w:t>
            </w:r>
            <w:r w:rsidRPr="00184700">
              <w:rPr>
                <w:b/>
                <w:bCs/>
                <w:sz w:val="18"/>
                <w:lang w:eastAsia="es-GT"/>
              </w:rPr>
              <w:br/>
              <w:t>en  Barriles 2018</w:t>
            </w:r>
          </w:p>
        </w:tc>
        <w:tc>
          <w:tcPr>
            <w:tcW w:w="1421" w:type="dxa"/>
            <w:shd w:val="clear" w:color="000000" w:fill="8DB4E2"/>
            <w:vAlign w:val="center"/>
            <w:hideMark/>
          </w:tcPr>
          <w:p w14:paraId="5A632D1B" w14:textId="77777777" w:rsidR="008A5924" w:rsidRPr="00184700" w:rsidRDefault="008A5924" w:rsidP="008A5924">
            <w:pPr>
              <w:keepNext/>
              <w:jc w:val="center"/>
              <w:rPr>
                <w:b/>
                <w:bCs/>
                <w:sz w:val="18"/>
                <w:lang w:eastAsia="es-GT"/>
              </w:rPr>
            </w:pPr>
            <w:r w:rsidRPr="00184700">
              <w:rPr>
                <w:b/>
                <w:bCs/>
                <w:sz w:val="18"/>
                <w:lang w:eastAsia="es-GT"/>
              </w:rPr>
              <w:t>% de participación en 2018</w:t>
            </w:r>
          </w:p>
        </w:tc>
      </w:tr>
      <w:tr w:rsidR="008A5924" w:rsidRPr="00184700" w14:paraId="28302696" w14:textId="77777777" w:rsidTr="00D42129">
        <w:trPr>
          <w:trHeight w:val="186"/>
          <w:jc w:val="center"/>
        </w:trPr>
        <w:tc>
          <w:tcPr>
            <w:tcW w:w="2850" w:type="dxa"/>
            <w:shd w:val="clear" w:color="auto" w:fill="auto"/>
            <w:noWrap/>
            <w:vAlign w:val="center"/>
          </w:tcPr>
          <w:p w14:paraId="37B41D14" w14:textId="77777777" w:rsidR="008A5924" w:rsidRPr="00184700" w:rsidRDefault="008A5924" w:rsidP="008A5924">
            <w:pPr>
              <w:keepNext/>
              <w:rPr>
                <w:sz w:val="18"/>
                <w:lang w:eastAsia="es-GT"/>
              </w:rPr>
            </w:pPr>
            <w:r w:rsidRPr="00184700">
              <w:rPr>
                <w:sz w:val="18"/>
                <w:lang w:eastAsia="es-GT"/>
              </w:rPr>
              <w:t>Perenco Guatemala Limited</w:t>
            </w:r>
          </w:p>
        </w:tc>
        <w:tc>
          <w:tcPr>
            <w:tcW w:w="948" w:type="dxa"/>
            <w:shd w:val="clear" w:color="auto" w:fill="auto"/>
            <w:noWrap/>
            <w:vAlign w:val="center"/>
          </w:tcPr>
          <w:p w14:paraId="13CC5479" w14:textId="77777777" w:rsidR="008A5924" w:rsidRPr="00184700" w:rsidRDefault="008A5924" w:rsidP="008A5924">
            <w:pPr>
              <w:keepNext/>
              <w:jc w:val="center"/>
              <w:rPr>
                <w:sz w:val="18"/>
                <w:lang w:eastAsia="es-GT"/>
              </w:rPr>
            </w:pPr>
            <w:r w:rsidRPr="00184700">
              <w:rPr>
                <w:sz w:val="18"/>
                <w:lang w:eastAsia="es-GT"/>
              </w:rPr>
              <w:t>2-85</w:t>
            </w:r>
          </w:p>
        </w:tc>
        <w:tc>
          <w:tcPr>
            <w:tcW w:w="2313" w:type="dxa"/>
            <w:shd w:val="clear" w:color="auto" w:fill="auto"/>
            <w:noWrap/>
            <w:vAlign w:val="center"/>
          </w:tcPr>
          <w:p w14:paraId="20D14F05" w14:textId="77777777" w:rsidR="008A5924" w:rsidRPr="00184700" w:rsidRDefault="008A5924" w:rsidP="008A5924">
            <w:pPr>
              <w:keepNext/>
              <w:jc w:val="center"/>
              <w:rPr>
                <w:sz w:val="18"/>
                <w:lang w:eastAsia="es-GT"/>
              </w:rPr>
            </w:pPr>
            <w:r w:rsidRPr="00184700">
              <w:rPr>
                <w:sz w:val="18"/>
                <w:lang w:eastAsia="es-GT"/>
              </w:rPr>
              <w:t>Xan</w:t>
            </w:r>
          </w:p>
        </w:tc>
        <w:tc>
          <w:tcPr>
            <w:tcW w:w="1286" w:type="dxa"/>
            <w:shd w:val="clear" w:color="auto" w:fill="auto"/>
            <w:noWrap/>
            <w:vAlign w:val="center"/>
          </w:tcPr>
          <w:p w14:paraId="18D13AFA" w14:textId="77777777" w:rsidR="008A5924" w:rsidRPr="00184700" w:rsidRDefault="008A5924" w:rsidP="008A5924">
            <w:pPr>
              <w:keepNext/>
              <w:jc w:val="right"/>
              <w:rPr>
                <w:sz w:val="18"/>
                <w:lang w:eastAsia="es-GT"/>
              </w:rPr>
            </w:pPr>
            <w:r w:rsidRPr="00184700">
              <w:rPr>
                <w:sz w:val="18"/>
                <w:lang w:eastAsia="es-GT"/>
              </w:rPr>
              <w:t>2,808,670</w:t>
            </w:r>
          </w:p>
        </w:tc>
        <w:tc>
          <w:tcPr>
            <w:tcW w:w="1421" w:type="dxa"/>
            <w:shd w:val="clear" w:color="auto" w:fill="auto"/>
            <w:noWrap/>
            <w:vAlign w:val="center"/>
          </w:tcPr>
          <w:p w14:paraId="2DD0393A" w14:textId="77777777" w:rsidR="008A5924" w:rsidRPr="00184700" w:rsidRDefault="008A5924" w:rsidP="008A5924">
            <w:pPr>
              <w:keepNext/>
              <w:jc w:val="right"/>
              <w:rPr>
                <w:sz w:val="18"/>
                <w:lang w:eastAsia="es-GT"/>
              </w:rPr>
            </w:pPr>
            <w:r w:rsidRPr="00184700">
              <w:rPr>
                <w:sz w:val="18"/>
                <w:lang w:eastAsia="es-GT"/>
              </w:rPr>
              <w:t>83.5%</w:t>
            </w:r>
          </w:p>
        </w:tc>
      </w:tr>
      <w:tr w:rsidR="008A5924" w:rsidRPr="00184700" w14:paraId="2B1DE1CB" w14:textId="77777777" w:rsidTr="00D42129">
        <w:trPr>
          <w:trHeight w:val="186"/>
          <w:jc w:val="center"/>
        </w:trPr>
        <w:tc>
          <w:tcPr>
            <w:tcW w:w="2850" w:type="dxa"/>
            <w:shd w:val="clear" w:color="auto" w:fill="auto"/>
            <w:noWrap/>
            <w:vAlign w:val="center"/>
            <w:hideMark/>
          </w:tcPr>
          <w:p w14:paraId="5A450B07" w14:textId="77777777" w:rsidR="008A5924" w:rsidRPr="00184700" w:rsidRDefault="008A5924" w:rsidP="008A5924">
            <w:pPr>
              <w:keepNext/>
              <w:rPr>
                <w:sz w:val="18"/>
                <w:lang w:val="en-US" w:eastAsia="es-GT"/>
              </w:rPr>
            </w:pPr>
            <w:r w:rsidRPr="00184700">
              <w:rPr>
                <w:sz w:val="18"/>
                <w:lang w:val="en-US" w:eastAsia="es-GT"/>
              </w:rPr>
              <w:t>City Peten, S de RL</w:t>
            </w:r>
          </w:p>
        </w:tc>
        <w:tc>
          <w:tcPr>
            <w:tcW w:w="948" w:type="dxa"/>
            <w:shd w:val="clear" w:color="auto" w:fill="auto"/>
            <w:noWrap/>
            <w:vAlign w:val="center"/>
            <w:hideMark/>
          </w:tcPr>
          <w:p w14:paraId="25C4F0C6" w14:textId="77777777" w:rsidR="008A5924" w:rsidRPr="00184700" w:rsidRDefault="008A5924" w:rsidP="008A5924">
            <w:pPr>
              <w:keepNext/>
              <w:jc w:val="center"/>
              <w:rPr>
                <w:sz w:val="18"/>
                <w:lang w:eastAsia="es-GT"/>
              </w:rPr>
            </w:pPr>
            <w:r w:rsidRPr="00184700">
              <w:rPr>
                <w:sz w:val="18"/>
                <w:lang w:eastAsia="es-GT"/>
              </w:rPr>
              <w:t>1-2006</w:t>
            </w:r>
          </w:p>
        </w:tc>
        <w:tc>
          <w:tcPr>
            <w:tcW w:w="2313" w:type="dxa"/>
            <w:shd w:val="clear" w:color="auto" w:fill="auto"/>
            <w:noWrap/>
            <w:vAlign w:val="center"/>
            <w:hideMark/>
          </w:tcPr>
          <w:p w14:paraId="0F559E9F" w14:textId="77777777" w:rsidR="008A5924" w:rsidRPr="00184700" w:rsidRDefault="008A5924" w:rsidP="008A5924">
            <w:pPr>
              <w:keepNext/>
              <w:jc w:val="center"/>
              <w:rPr>
                <w:sz w:val="18"/>
                <w:lang w:eastAsia="es-GT"/>
              </w:rPr>
            </w:pPr>
            <w:r w:rsidRPr="00184700">
              <w:rPr>
                <w:sz w:val="18"/>
                <w:lang w:eastAsia="es-GT"/>
              </w:rPr>
              <w:t>Ocultun</w:t>
            </w:r>
          </w:p>
        </w:tc>
        <w:tc>
          <w:tcPr>
            <w:tcW w:w="1286" w:type="dxa"/>
            <w:shd w:val="clear" w:color="auto" w:fill="auto"/>
            <w:noWrap/>
            <w:vAlign w:val="center"/>
            <w:hideMark/>
          </w:tcPr>
          <w:p w14:paraId="62B2E033" w14:textId="77777777" w:rsidR="008A5924" w:rsidRPr="00184700" w:rsidRDefault="008A5924" w:rsidP="008A5924">
            <w:pPr>
              <w:keepNext/>
              <w:jc w:val="right"/>
              <w:rPr>
                <w:sz w:val="18"/>
                <w:lang w:eastAsia="es-GT"/>
              </w:rPr>
            </w:pPr>
            <w:r w:rsidRPr="00184700">
              <w:rPr>
                <w:sz w:val="18"/>
                <w:lang w:eastAsia="es-GT"/>
              </w:rPr>
              <w:t>301,311</w:t>
            </w:r>
          </w:p>
        </w:tc>
        <w:tc>
          <w:tcPr>
            <w:tcW w:w="1421" w:type="dxa"/>
            <w:shd w:val="clear" w:color="auto" w:fill="auto"/>
            <w:noWrap/>
            <w:vAlign w:val="center"/>
            <w:hideMark/>
          </w:tcPr>
          <w:p w14:paraId="034FE557" w14:textId="77777777" w:rsidR="008A5924" w:rsidRPr="00184700" w:rsidRDefault="008A5924" w:rsidP="008A5924">
            <w:pPr>
              <w:keepNext/>
              <w:jc w:val="right"/>
              <w:rPr>
                <w:sz w:val="18"/>
                <w:lang w:eastAsia="es-GT"/>
              </w:rPr>
            </w:pPr>
            <w:r w:rsidRPr="00184700">
              <w:rPr>
                <w:sz w:val="18"/>
                <w:lang w:eastAsia="es-GT"/>
              </w:rPr>
              <w:t>9.0%</w:t>
            </w:r>
          </w:p>
        </w:tc>
      </w:tr>
      <w:tr w:rsidR="008A5924" w:rsidRPr="00184700" w14:paraId="39B0853F" w14:textId="77777777" w:rsidTr="00D42129">
        <w:trPr>
          <w:trHeight w:val="186"/>
          <w:jc w:val="center"/>
        </w:trPr>
        <w:tc>
          <w:tcPr>
            <w:tcW w:w="2850" w:type="dxa"/>
            <w:shd w:val="clear" w:color="auto" w:fill="auto"/>
            <w:noWrap/>
            <w:vAlign w:val="center"/>
          </w:tcPr>
          <w:p w14:paraId="346C0283" w14:textId="77777777" w:rsidR="008A5924" w:rsidRPr="00184700" w:rsidRDefault="008A5924" w:rsidP="008A5924">
            <w:pPr>
              <w:keepNext/>
              <w:rPr>
                <w:sz w:val="18"/>
                <w:lang w:eastAsia="es-GT"/>
              </w:rPr>
            </w:pPr>
            <w:r w:rsidRPr="00184700">
              <w:rPr>
                <w:sz w:val="18"/>
                <w:lang w:eastAsia="es-GT"/>
              </w:rPr>
              <w:t>Empresa Petrolera del Itsmo, S.A.</w:t>
            </w:r>
          </w:p>
        </w:tc>
        <w:tc>
          <w:tcPr>
            <w:tcW w:w="948" w:type="dxa"/>
            <w:shd w:val="clear" w:color="auto" w:fill="auto"/>
            <w:noWrap/>
            <w:vAlign w:val="center"/>
          </w:tcPr>
          <w:p w14:paraId="2EA93D4C" w14:textId="77777777" w:rsidR="008A5924" w:rsidRPr="00184700" w:rsidRDefault="008A5924" w:rsidP="008A5924">
            <w:pPr>
              <w:keepNext/>
              <w:jc w:val="center"/>
              <w:rPr>
                <w:sz w:val="18"/>
                <w:lang w:eastAsia="es-GT"/>
              </w:rPr>
            </w:pPr>
            <w:r w:rsidRPr="00184700">
              <w:rPr>
                <w:sz w:val="18"/>
                <w:lang w:eastAsia="es-GT"/>
              </w:rPr>
              <w:t>2-2009</w:t>
            </w:r>
          </w:p>
        </w:tc>
        <w:tc>
          <w:tcPr>
            <w:tcW w:w="2313" w:type="dxa"/>
            <w:shd w:val="clear" w:color="auto" w:fill="auto"/>
            <w:noWrap/>
            <w:vAlign w:val="center"/>
          </w:tcPr>
          <w:p w14:paraId="2DA1610E" w14:textId="77777777" w:rsidR="008A5924" w:rsidRPr="00184700" w:rsidRDefault="008A5924" w:rsidP="008A5924">
            <w:pPr>
              <w:keepNext/>
              <w:jc w:val="center"/>
              <w:rPr>
                <w:sz w:val="18"/>
                <w:lang w:eastAsia="es-GT"/>
              </w:rPr>
            </w:pPr>
            <w:r w:rsidRPr="00184700">
              <w:rPr>
                <w:sz w:val="18"/>
                <w:lang w:eastAsia="es-GT"/>
              </w:rPr>
              <w:t>Rubelsanto, Chinaja  Oeste, Caribe, Tierra Blanca</w:t>
            </w:r>
          </w:p>
        </w:tc>
        <w:tc>
          <w:tcPr>
            <w:tcW w:w="1286" w:type="dxa"/>
            <w:shd w:val="clear" w:color="auto" w:fill="auto"/>
            <w:noWrap/>
            <w:vAlign w:val="center"/>
          </w:tcPr>
          <w:p w14:paraId="231524C3" w14:textId="77777777" w:rsidR="008A5924" w:rsidRPr="00184700" w:rsidRDefault="008A5924" w:rsidP="008A5924">
            <w:pPr>
              <w:keepNext/>
              <w:jc w:val="right"/>
              <w:rPr>
                <w:sz w:val="18"/>
                <w:lang w:eastAsia="es-GT"/>
              </w:rPr>
            </w:pPr>
            <w:r w:rsidRPr="00184700">
              <w:rPr>
                <w:sz w:val="18"/>
                <w:lang w:eastAsia="es-GT"/>
              </w:rPr>
              <w:t>154,766</w:t>
            </w:r>
          </w:p>
        </w:tc>
        <w:tc>
          <w:tcPr>
            <w:tcW w:w="1421" w:type="dxa"/>
            <w:shd w:val="clear" w:color="auto" w:fill="auto"/>
            <w:noWrap/>
            <w:vAlign w:val="center"/>
          </w:tcPr>
          <w:p w14:paraId="7D301C09" w14:textId="77777777" w:rsidR="008A5924" w:rsidRPr="00184700" w:rsidRDefault="008A5924" w:rsidP="008A5924">
            <w:pPr>
              <w:keepNext/>
              <w:jc w:val="right"/>
              <w:rPr>
                <w:sz w:val="18"/>
                <w:lang w:eastAsia="es-GT"/>
              </w:rPr>
            </w:pPr>
            <w:r w:rsidRPr="00184700">
              <w:rPr>
                <w:sz w:val="18"/>
                <w:lang w:eastAsia="es-GT"/>
              </w:rPr>
              <w:t>4.6%</w:t>
            </w:r>
          </w:p>
        </w:tc>
      </w:tr>
      <w:tr w:rsidR="008A5924" w:rsidRPr="00184700" w14:paraId="0D2120AD" w14:textId="77777777" w:rsidTr="00D42129">
        <w:trPr>
          <w:trHeight w:val="186"/>
          <w:jc w:val="center"/>
        </w:trPr>
        <w:tc>
          <w:tcPr>
            <w:tcW w:w="2850" w:type="dxa"/>
            <w:shd w:val="clear" w:color="auto" w:fill="auto"/>
            <w:noWrap/>
            <w:vAlign w:val="center"/>
            <w:hideMark/>
          </w:tcPr>
          <w:p w14:paraId="43F4A504" w14:textId="77777777" w:rsidR="008A5924" w:rsidRPr="00184700" w:rsidRDefault="008A5924" w:rsidP="008A5924">
            <w:pPr>
              <w:keepNext/>
              <w:rPr>
                <w:sz w:val="18"/>
                <w:lang w:eastAsia="es-GT"/>
              </w:rPr>
            </w:pPr>
            <w:r w:rsidRPr="00184700">
              <w:rPr>
                <w:sz w:val="18"/>
                <w:lang w:eastAsia="es-GT"/>
              </w:rPr>
              <w:t>Latin American Resources, Ltd.</w:t>
            </w:r>
          </w:p>
        </w:tc>
        <w:tc>
          <w:tcPr>
            <w:tcW w:w="948" w:type="dxa"/>
            <w:shd w:val="clear" w:color="auto" w:fill="auto"/>
            <w:noWrap/>
            <w:vAlign w:val="center"/>
            <w:hideMark/>
          </w:tcPr>
          <w:p w14:paraId="1B6B7035" w14:textId="77777777" w:rsidR="008A5924" w:rsidRPr="00184700" w:rsidRDefault="008A5924" w:rsidP="008A5924">
            <w:pPr>
              <w:keepNext/>
              <w:jc w:val="center"/>
              <w:rPr>
                <w:sz w:val="18"/>
                <w:lang w:eastAsia="es-GT"/>
              </w:rPr>
            </w:pPr>
            <w:r w:rsidRPr="00184700">
              <w:rPr>
                <w:sz w:val="18"/>
                <w:lang w:eastAsia="es-GT"/>
              </w:rPr>
              <w:t>1-2005</w:t>
            </w:r>
          </w:p>
        </w:tc>
        <w:tc>
          <w:tcPr>
            <w:tcW w:w="2313" w:type="dxa"/>
            <w:shd w:val="clear" w:color="auto" w:fill="auto"/>
            <w:noWrap/>
            <w:vAlign w:val="center"/>
            <w:hideMark/>
          </w:tcPr>
          <w:p w14:paraId="03BC6E5C" w14:textId="77777777" w:rsidR="008A5924" w:rsidRPr="00184700" w:rsidRDefault="008A5924" w:rsidP="008A5924">
            <w:pPr>
              <w:keepNext/>
              <w:jc w:val="center"/>
              <w:rPr>
                <w:sz w:val="18"/>
                <w:lang w:eastAsia="es-GT"/>
              </w:rPr>
            </w:pPr>
            <w:r w:rsidRPr="00184700">
              <w:rPr>
                <w:sz w:val="18"/>
                <w:lang w:eastAsia="es-GT"/>
              </w:rPr>
              <w:t>Atzam</w:t>
            </w:r>
          </w:p>
        </w:tc>
        <w:tc>
          <w:tcPr>
            <w:tcW w:w="1286" w:type="dxa"/>
            <w:shd w:val="clear" w:color="auto" w:fill="auto"/>
            <w:noWrap/>
            <w:vAlign w:val="center"/>
            <w:hideMark/>
          </w:tcPr>
          <w:p w14:paraId="6EE26F60" w14:textId="77777777" w:rsidR="008A5924" w:rsidRPr="00184700" w:rsidRDefault="008A5924" w:rsidP="008A5924">
            <w:pPr>
              <w:keepNext/>
              <w:jc w:val="right"/>
              <w:rPr>
                <w:sz w:val="18"/>
                <w:lang w:eastAsia="es-GT"/>
              </w:rPr>
            </w:pPr>
            <w:r w:rsidRPr="00184700">
              <w:rPr>
                <w:sz w:val="18"/>
                <w:lang w:eastAsia="es-GT"/>
              </w:rPr>
              <w:t>80,875</w:t>
            </w:r>
          </w:p>
        </w:tc>
        <w:tc>
          <w:tcPr>
            <w:tcW w:w="1421" w:type="dxa"/>
            <w:shd w:val="clear" w:color="auto" w:fill="auto"/>
            <w:noWrap/>
            <w:vAlign w:val="center"/>
            <w:hideMark/>
          </w:tcPr>
          <w:p w14:paraId="7FD7994D" w14:textId="77777777" w:rsidR="008A5924" w:rsidRPr="00184700" w:rsidRDefault="008A5924" w:rsidP="008A5924">
            <w:pPr>
              <w:keepNext/>
              <w:jc w:val="right"/>
              <w:rPr>
                <w:sz w:val="18"/>
                <w:lang w:eastAsia="es-GT"/>
              </w:rPr>
            </w:pPr>
            <w:r w:rsidRPr="00184700">
              <w:rPr>
                <w:sz w:val="18"/>
                <w:lang w:eastAsia="es-GT"/>
              </w:rPr>
              <w:t>2.4%</w:t>
            </w:r>
          </w:p>
        </w:tc>
      </w:tr>
      <w:tr w:rsidR="008A5924" w:rsidRPr="00184700" w14:paraId="4A14E1B7" w14:textId="77777777" w:rsidTr="00D42129">
        <w:trPr>
          <w:trHeight w:val="186"/>
          <w:jc w:val="center"/>
        </w:trPr>
        <w:tc>
          <w:tcPr>
            <w:tcW w:w="2850" w:type="dxa"/>
            <w:shd w:val="clear" w:color="auto" w:fill="auto"/>
            <w:noWrap/>
            <w:vAlign w:val="center"/>
            <w:hideMark/>
          </w:tcPr>
          <w:p w14:paraId="4AEF5082" w14:textId="77777777" w:rsidR="008A5924" w:rsidRPr="00184700" w:rsidRDefault="008A5924" w:rsidP="008A5924">
            <w:pPr>
              <w:keepNext/>
              <w:rPr>
                <w:sz w:val="18"/>
                <w:lang w:eastAsia="es-GT"/>
              </w:rPr>
            </w:pPr>
            <w:r w:rsidRPr="00184700">
              <w:rPr>
                <w:sz w:val="18"/>
                <w:lang w:eastAsia="es-GT"/>
              </w:rPr>
              <w:t>Petro Energy, S.A.</w:t>
            </w:r>
          </w:p>
        </w:tc>
        <w:tc>
          <w:tcPr>
            <w:tcW w:w="948" w:type="dxa"/>
            <w:shd w:val="clear" w:color="auto" w:fill="auto"/>
            <w:noWrap/>
            <w:vAlign w:val="center"/>
            <w:hideMark/>
          </w:tcPr>
          <w:p w14:paraId="59F065E3" w14:textId="77777777" w:rsidR="008A5924" w:rsidRPr="00184700" w:rsidRDefault="008A5924" w:rsidP="008A5924">
            <w:pPr>
              <w:keepNext/>
              <w:jc w:val="center"/>
              <w:rPr>
                <w:sz w:val="18"/>
                <w:lang w:eastAsia="es-GT"/>
              </w:rPr>
            </w:pPr>
            <w:r w:rsidRPr="00184700">
              <w:rPr>
                <w:sz w:val="18"/>
                <w:lang w:eastAsia="es-GT"/>
              </w:rPr>
              <w:t>1-91</w:t>
            </w:r>
          </w:p>
        </w:tc>
        <w:tc>
          <w:tcPr>
            <w:tcW w:w="2313" w:type="dxa"/>
            <w:shd w:val="clear" w:color="auto" w:fill="auto"/>
            <w:noWrap/>
            <w:vAlign w:val="center"/>
            <w:hideMark/>
          </w:tcPr>
          <w:p w14:paraId="7681AD6C" w14:textId="77777777" w:rsidR="008A5924" w:rsidRPr="00184700" w:rsidRDefault="008A5924" w:rsidP="008A5924">
            <w:pPr>
              <w:keepNext/>
              <w:jc w:val="center"/>
              <w:rPr>
                <w:sz w:val="18"/>
                <w:lang w:eastAsia="es-GT"/>
              </w:rPr>
            </w:pPr>
            <w:r w:rsidRPr="00184700">
              <w:rPr>
                <w:sz w:val="18"/>
                <w:lang w:eastAsia="es-GT"/>
              </w:rPr>
              <w:t>Chocop</w:t>
            </w:r>
          </w:p>
          <w:p w14:paraId="67E70104" w14:textId="77777777" w:rsidR="008A5924" w:rsidRPr="00184700" w:rsidRDefault="008A5924" w:rsidP="008A5924">
            <w:pPr>
              <w:keepNext/>
              <w:jc w:val="center"/>
              <w:rPr>
                <w:sz w:val="18"/>
                <w:lang w:eastAsia="es-GT"/>
              </w:rPr>
            </w:pPr>
            <w:r w:rsidRPr="00184700">
              <w:rPr>
                <w:sz w:val="18"/>
                <w:lang w:eastAsia="es-GT"/>
              </w:rPr>
              <w:t>Yalpemech</w:t>
            </w:r>
          </w:p>
        </w:tc>
        <w:tc>
          <w:tcPr>
            <w:tcW w:w="1286" w:type="dxa"/>
            <w:shd w:val="clear" w:color="auto" w:fill="auto"/>
            <w:noWrap/>
            <w:vAlign w:val="center"/>
            <w:hideMark/>
          </w:tcPr>
          <w:p w14:paraId="241EEF2A" w14:textId="77777777" w:rsidR="008A5924" w:rsidRPr="00184700" w:rsidRDefault="008A5924" w:rsidP="008A5924">
            <w:pPr>
              <w:keepNext/>
              <w:jc w:val="right"/>
              <w:rPr>
                <w:sz w:val="18"/>
                <w:lang w:eastAsia="es-GT"/>
              </w:rPr>
            </w:pPr>
            <w:r w:rsidRPr="00184700">
              <w:rPr>
                <w:sz w:val="18"/>
                <w:lang w:eastAsia="es-GT"/>
              </w:rPr>
              <w:t>17,812</w:t>
            </w:r>
          </w:p>
        </w:tc>
        <w:tc>
          <w:tcPr>
            <w:tcW w:w="1421" w:type="dxa"/>
            <w:shd w:val="clear" w:color="auto" w:fill="auto"/>
            <w:noWrap/>
            <w:vAlign w:val="center"/>
            <w:hideMark/>
          </w:tcPr>
          <w:p w14:paraId="51C9E9A3" w14:textId="77777777" w:rsidR="008A5924" w:rsidRPr="00184700" w:rsidRDefault="008A5924" w:rsidP="008A5924">
            <w:pPr>
              <w:keepNext/>
              <w:jc w:val="right"/>
              <w:rPr>
                <w:sz w:val="18"/>
                <w:lang w:eastAsia="es-GT"/>
              </w:rPr>
            </w:pPr>
            <w:r w:rsidRPr="00184700">
              <w:rPr>
                <w:sz w:val="18"/>
                <w:lang w:eastAsia="es-GT"/>
              </w:rPr>
              <w:t>0.5%</w:t>
            </w:r>
          </w:p>
        </w:tc>
      </w:tr>
      <w:tr w:rsidR="008A5924" w:rsidRPr="00184700" w14:paraId="59BFE04C" w14:textId="77777777" w:rsidTr="00D42129">
        <w:trPr>
          <w:trHeight w:val="186"/>
          <w:jc w:val="center"/>
        </w:trPr>
        <w:tc>
          <w:tcPr>
            <w:tcW w:w="2850" w:type="dxa"/>
            <w:shd w:val="clear" w:color="000000" w:fill="8DB4E2"/>
            <w:noWrap/>
            <w:vAlign w:val="bottom"/>
            <w:hideMark/>
          </w:tcPr>
          <w:p w14:paraId="1E23F89B" w14:textId="77777777" w:rsidR="008A5924" w:rsidRPr="00184700" w:rsidRDefault="008A5924" w:rsidP="008A5924">
            <w:pPr>
              <w:keepNext/>
              <w:jc w:val="center"/>
              <w:rPr>
                <w:b/>
                <w:bCs/>
                <w:sz w:val="18"/>
                <w:lang w:eastAsia="es-GT"/>
              </w:rPr>
            </w:pPr>
            <w:r w:rsidRPr="00184700">
              <w:rPr>
                <w:b/>
                <w:bCs/>
                <w:sz w:val="18"/>
                <w:lang w:eastAsia="es-GT"/>
              </w:rPr>
              <w:t>Producción Total</w:t>
            </w:r>
          </w:p>
        </w:tc>
        <w:tc>
          <w:tcPr>
            <w:tcW w:w="948" w:type="dxa"/>
            <w:shd w:val="clear" w:color="000000" w:fill="8DB4E2"/>
            <w:noWrap/>
            <w:vAlign w:val="center"/>
            <w:hideMark/>
          </w:tcPr>
          <w:p w14:paraId="650524F4" w14:textId="77777777" w:rsidR="008A5924" w:rsidRPr="00184700" w:rsidRDefault="008A5924" w:rsidP="008A5924">
            <w:pPr>
              <w:keepNext/>
              <w:jc w:val="right"/>
              <w:rPr>
                <w:sz w:val="18"/>
                <w:lang w:eastAsia="es-GT"/>
              </w:rPr>
            </w:pPr>
          </w:p>
        </w:tc>
        <w:tc>
          <w:tcPr>
            <w:tcW w:w="2313" w:type="dxa"/>
            <w:shd w:val="clear" w:color="000000" w:fill="8DB4E2"/>
            <w:noWrap/>
            <w:vAlign w:val="center"/>
            <w:hideMark/>
          </w:tcPr>
          <w:p w14:paraId="11678BE5" w14:textId="77777777" w:rsidR="008A5924" w:rsidRPr="00184700" w:rsidRDefault="008A5924" w:rsidP="008A5924">
            <w:pPr>
              <w:keepNext/>
              <w:jc w:val="right"/>
              <w:rPr>
                <w:sz w:val="18"/>
                <w:lang w:eastAsia="es-GT"/>
              </w:rPr>
            </w:pPr>
          </w:p>
        </w:tc>
        <w:tc>
          <w:tcPr>
            <w:tcW w:w="1286" w:type="dxa"/>
            <w:shd w:val="clear" w:color="000000" w:fill="8DB4E2"/>
            <w:noWrap/>
            <w:vAlign w:val="center"/>
            <w:hideMark/>
          </w:tcPr>
          <w:p w14:paraId="4C6E8F35" w14:textId="77777777" w:rsidR="008A5924" w:rsidRPr="00184700" w:rsidRDefault="008A5924" w:rsidP="008A5924">
            <w:pPr>
              <w:keepNext/>
              <w:jc w:val="right"/>
              <w:rPr>
                <w:sz w:val="18"/>
                <w:lang w:eastAsia="es-GT"/>
              </w:rPr>
            </w:pPr>
            <w:r w:rsidRPr="00184700">
              <w:rPr>
                <w:sz w:val="18"/>
                <w:lang w:eastAsia="es-GT"/>
              </w:rPr>
              <w:t>3,363,434</w:t>
            </w:r>
          </w:p>
        </w:tc>
        <w:tc>
          <w:tcPr>
            <w:tcW w:w="1421" w:type="dxa"/>
            <w:shd w:val="clear" w:color="000000" w:fill="8DB4E2"/>
            <w:noWrap/>
            <w:vAlign w:val="center"/>
            <w:hideMark/>
          </w:tcPr>
          <w:p w14:paraId="4878B4E0" w14:textId="77777777" w:rsidR="008A5924" w:rsidRPr="00184700" w:rsidRDefault="008A5924" w:rsidP="008A5924">
            <w:pPr>
              <w:keepNext/>
              <w:jc w:val="right"/>
              <w:rPr>
                <w:sz w:val="18"/>
                <w:lang w:eastAsia="es-GT"/>
              </w:rPr>
            </w:pPr>
            <w:r w:rsidRPr="00184700">
              <w:rPr>
                <w:sz w:val="18"/>
                <w:lang w:eastAsia="es-GT"/>
              </w:rPr>
              <w:t>100.0%</w:t>
            </w:r>
          </w:p>
        </w:tc>
      </w:tr>
      <w:tr w:rsidR="008A5924" w:rsidRPr="00184700" w14:paraId="61F917D5" w14:textId="77777777" w:rsidTr="00D42129">
        <w:trPr>
          <w:trHeight w:val="186"/>
          <w:jc w:val="center"/>
        </w:trPr>
        <w:tc>
          <w:tcPr>
            <w:tcW w:w="2850" w:type="dxa"/>
            <w:shd w:val="clear" w:color="auto" w:fill="auto"/>
            <w:noWrap/>
            <w:vAlign w:val="center"/>
            <w:hideMark/>
          </w:tcPr>
          <w:p w14:paraId="310CA52B" w14:textId="77777777" w:rsidR="008A5924" w:rsidRPr="00184700" w:rsidRDefault="008A5924" w:rsidP="008A5924">
            <w:pPr>
              <w:keepNext/>
              <w:jc w:val="right"/>
              <w:rPr>
                <w:sz w:val="18"/>
                <w:lang w:eastAsia="es-GT"/>
              </w:rPr>
            </w:pPr>
          </w:p>
        </w:tc>
        <w:tc>
          <w:tcPr>
            <w:tcW w:w="948" w:type="dxa"/>
            <w:shd w:val="clear" w:color="auto" w:fill="auto"/>
            <w:noWrap/>
            <w:vAlign w:val="center"/>
            <w:hideMark/>
          </w:tcPr>
          <w:p w14:paraId="4D292921" w14:textId="77777777" w:rsidR="008A5924" w:rsidRPr="00184700" w:rsidRDefault="008A5924" w:rsidP="008A5924">
            <w:pPr>
              <w:keepNext/>
              <w:jc w:val="right"/>
              <w:rPr>
                <w:sz w:val="18"/>
                <w:lang w:eastAsia="es-GT"/>
              </w:rPr>
            </w:pPr>
          </w:p>
        </w:tc>
        <w:tc>
          <w:tcPr>
            <w:tcW w:w="2313" w:type="dxa"/>
            <w:shd w:val="clear" w:color="auto" w:fill="auto"/>
            <w:noWrap/>
            <w:vAlign w:val="center"/>
            <w:hideMark/>
          </w:tcPr>
          <w:p w14:paraId="3F1BADE8" w14:textId="77777777" w:rsidR="008A5924" w:rsidRPr="00184700" w:rsidRDefault="008A5924" w:rsidP="008A5924">
            <w:pPr>
              <w:keepNext/>
              <w:jc w:val="right"/>
              <w:rPr>
                <w:sz w:val="18"/>
                <w:lang w:eastAsia="es-GT"/>
              </w:rPr>
            </w:pPr>
          </w:p>
        </w:tc>
        <w:tc>
          <w:tcPr>
            <w:tcW w:w="1286" w:type="dxa"/>
            <w:shd w:val="clear" w:color="000000" w:fill="8DB4E2"/>
            <w:noWrap/>
            <w:vAlign w:val="center"/>
            <w:hideMark/>
          </w:tcPr>
          <w:p w14:paraId="23EB6BBC" w14:textId="77777777" w:rsidR="008A5924" w:rsidRPr="00184700" w:rsidRDefault="008A5924" w:rsidP="008A5924">
            <w:pPr>
              <w:keepNext/>
              <w:jc w:val="right"/>
              <w:rPr>
                <w:i/>
                <w:sz w:val="18"/>
                <w:lang w:eastAsia="es-GT"/>
              </w:rPr>
            </w:pPr>
            <w:r w:rsidRPr="00184700">
              <w:rPr>
                <w:i/>
                <w:sz w:val="18"/>
                <w:lang w:eastAsia="es-GT"/>
              </w:rPr>
              <w:t>Barriles / día</w:t>
            </w:r>
          </w:p>
        </w:tc>
        <w:tc>
          <w:tcPr>
            <w:tcW w:w="1421" w:type="dxa"/>
            <w:shd w:val="clear" w:color="000000" w:fill="8DB4E2"/>
            <w:noWrap/>
            <w:vAlign w:val="center"/>
            <w:hideMark/>
          </w:tcPr>
          <w:p w14:paraId="1990C598" w14:textId="77777777" w:rsidR="008A5924" w:rsidRPr="00184700" w:rsidRDefault="008A5924" w:rsidP="008A5924">
            <w:pPr>
              <w:keepNext/>
              <w:jc w:val="right"/>
              <w:rPr>
                <w:i/>
                <w:sz w:val="18"/>
                <w:lang w:eastAsia="es-GT"/>
              </w:rPr>
            </w:pPr>
            <w:r w:rsidRPr="00184700">
              <w:rPr>
                <w:i/>
                <w:sz w:val="18"/>
                <w:lang w:eastAsia="es-GT"/>
              </w:rPr>
              <w:t>9,214.89</w:t>
            </w:r>
          </w:p>
        </w:tc>
      </w:tr>
    </w:tbl>
    <w:p w14:paraId="2C142863" w14:textId="77777777" w:rsidR="008A5924" w:rsidRPr="00D42129" w:rsidRDefault="00D42129" w:rsidP="008A5924">
      <w:pPr>
        <w:rPr>
          <w:sz w:val="16"/>
          <w:lang w:val="es-MX"/>
        </w:rPr>
      </w:pPr>
      <w:r>
        <w:rPr>
          <w:sz w:val="16"/>
          <w:lang w:val="es-MX"/>
        </w:rPr>
        <w:t xml:space="preserve">             </w:t>
      </w:r>
      <w:r w:rsidRPr="00D42129">
        <w:rPr>
          <w:sz w:val="16"/>
          <w:lang w:val="es-MX"/>
        </w:rPr>
        <w:t xml:space="preserve">  </w:t>
      </w:r>
      <w:r w:rsidR="008A5924" w:rsidRPr="00D42129">
        <w:rPr>
          <w:sz w:val="16"/>
          <w:lang w:val="es-MX"/>
        </w:rPr>
        <w:t>Fuente: Cifras Ministerio de Energía y Minas</w:t>
      </w:r>
    </w:p>
    <w:p w14:paraId="1C5E27EC" w14:textId="77777777" w:rsidR="008A5924" w:rsidRPr="00184700" w:rsidRDefault="008A5924" w:rsidP="008A5924">
      <w:pPr>
        <w:jc w:val="both"/>
        <w:rPr>
          <w:lang w:val="es-MX"/>
        </w:rPr>
      </w:pPr>
    </w:p>
    <w:p w14:paraId="632E46EC" w14:textId="77777777" w:rsidR="008A5924" w:rsidRPr="000D31D5" w:rsidRDefault="008A5924" w:rsidP="008A5924">
      <w:pPr>
        <w:jc w:val="both"/>
        <w:rPr>
          <w:sz w:val="24"/>
          <w:szCs w:val="24"/>
          <w:lang w:val="es-MX"/>
        </w:rPr>
      </w:pPr>
      <w:r w:rsidRPr="000D31D5">
        <w:rPr>
          <w:sz w:val="24"/>
          <w:szCs w:val="24"/>
          <w:lang w:val="es-MX"/>
        </w:rPr>
        <w:t xml:space="preserve">Para el 2018 la producción petrolera nacional ascendió a 3,363,434 </w:t>
      </w:r>
      <w:r w:rsidR="003C65BF" w:rsidRPr="000D31D5">
        <w:rPr>
          <w:sz w:val="24"/>
          <w:szCs w:val="24"/>
          <w:lang w:val="es-MX"/>
        </w:rPr>
        <w:t>barriles de los cuales, el 83.5 por ciento</w:t>
      </w:r>
      <w:r w:rsidRPr="000D31D5">
        <w:rPr>
          <w:sz w:val="24"/>
          <w:szCs w:val="24"/>
          <w:lang w:val="es-MX"/>
        </w:rPr>
        <w:t>, corresponde al Campo XAN operado por Perenco Guatemala Limited bajo el contrato 2-85. La operación del Campo Ocultun contrato 1-2006, partic</w:t>
      </w:r>
      <w:r w:rsidR="00985B91" w:rsidRPr="000D31D5">
        <w:rPr>
          <w:sz w:val="24"/>
          <w:szCs w:val="24"/>
          <w:lang w:val="es-MX"/>
        </w:rPr>
        <w:t>ipa en la producción con el 9.0 por ciento</w:t>
      </w:r>
      <w:r w:rsidRPr="000D31D5">
        <w:rPr>
          <w:sz w:val="24"/>
          <w:szCs w:val="24"/>
          <w:lang w:val="es-MX"/>
        </w:rPr>
        <w:t>; mientras que la Empresa Petrolera del Itsmo (Sic) y Latin American Resources mediante la operación de los contratos 2-2009 y 1-2</w:t>
      </w:r>
      <w:r w:rsidR="00985B91" w:rsidRPr="000D31D5">
        <w:rPr>
          <w:sz w:val="24"/>
          <w:szCs w:val="24"/>
          <w:lang w:val="es-MX"/>
        </w:rPr>
        <w:t>005, aportan el 4.6</w:t>
      </w:r>
      <w:r w:rsidR="003C65BF" w:rsidRPr="000D31D5">
        <w:rPr>
          <w:sz w:val="24"/>
          <w:szCs w:val="24"/>
          <w:lang w:val="es-MX"/>
        </w:rPr>
        <w:t xml:space="preserve"> y 2.4</w:t>
      </w:r>
      <w:r w:rsidR="00985B91" w:rsidRPr="000D31D5">
        <w:rPr>
          <w:sz w:val="24"/>
          <w:szCs w:val="24"/>
          <w:lang w:val="es-MX"/>
        </w:rPr>
        <w:t xml:space="preserve"> por ciento</w:t>
      </w:r>
      <w:r w:rsidRPr="000D31D5">
        <w:rPr>
          <w:sz w:val="24"/>
          <w:szCs w:val="24"/>
          <w:lang w:val="es-MX"/>
        </w:rPr>
        <w:t xml:space="preserve"> respectivamente; finalmente los Campos Chocop Yalpemech operados por Petro Energy bajo el c</w:t>
      </w:r>
      <w:r w:rsidR="00985B91" w:rsidRPr="000D31D5">
        <w:rPr>
          <w:sz w:val="24"/>
          <w:szCs w:val="24"/>
          <w:lang w:val="es-MX"/>
        </w:rPr>
        <w:t>ontrato 1-91 constituyen el 0.5 por ciento</w:t>
      </w:r>
      <w:r w:rsidRPr="000D31D5">
        <w:rPr>
          <w:sz w:val="24"/>
          <w:szCs w:val="24"/>
          <w:lang w:val="es-MX"/>
        </w:rPr>
        <w:t xml:space="preserve"> restante.</w:t>
      </w:r>
    </w:p>
    <w:p w14:paraId="0163C2CD" w14:textId="77777777" w:rsidR="008A5924" w:rsidRDefault="008A5924" w:rsidP="008A5924">
      <w:pPr>
        <w:jc w:val="both"/>
        <w:rPr>
          <w:lang w:val="es-MX"/>
        </w:rPr>
      </w:pPr>
    </w:p>
    <w:p w14:paraId="6B34D7A3" w14:textId="77777777" w:rsidR="003C2F1C" w:rsidRDefault="003C2F1C" w:rsidP="008A5924">
      <w:pPr>
        <w:jc w:val="both"/>
        <w:rPr>
          <w:lang w:val="es-MX"/>
        </w:rPr>
      </w:pPr>
    </w:p>
    <w:p w14:paraId="654165A6" w14:textId="77777777" w:rsidR="003C2F1C" w:rsidRDefault="003C2F1C" w:rsidP="008A5924">
      <w:pPr>
        <w:jc w:val="both"/>
        <w:rPr>
          <w:lang w:val="es-MX"/>
        </w:rPr>
      </w:pPr>
    </w:p>
    <w:p w14:paraId="18E58A2B" w14:textId="77777777" w:rsidR="003C2F1C" w:rsidRPr="00184700" w:rsidRDefault="003C2F1C" w:rsidP="008A5924">
      <w:pPr>
        <w:jc w:val="both"/>
        <w:rPr>
          <w:lang w:val="es-MX"/>
        </w:rPr>
      </w:pPr>
    </w:p>
    <w:p w14:paraId="38F24693" w14:textId="07E23F79" w:rsidR="008A5924" w:rsidRDefault="008A5924" w:rsidP="008A5924">
      <w:pPr>
        <w:pStyle w:val="Descripcin"/>
        <w:keepNext/>
        <w:rPr>
          <w:color w:val="000000" w:themeColor="text1"/>
        </w:rPr>
      </w:pPr>
      <w:bookmarkStart w:id="206" w:name="_Toc16242994"/>
      <w:r w:rsidRPr="000D31D5">
        <w:rPr>
          <w:color w:val="000000" w:themeColor="text1"/>
        </w:rPr>
        <w:t xml:space="preserve">Gráfico  </w:t>
      </w:r>
      <w:r w:rsidRPr="000D31D5">
        <w:rPr>
          <w:color w:val="000000" w:themeColor="text1"/>
        </w:rPr>
        <w:fldChar w:fldCharType="begin"/>
      </w:r>
      <w:r w:rsidRPr="000D31D5">
        <w:rPr>
          <w:color w:val="000000" w:themeColor="text1"/>
        </w:rPr>
        <w:instrText xml:space="preserve"> SEQ Gráfico_ \* ARABIC </w:instrText>
      </w:r>
      <w:r w:rsidRPr="000D31D5">
        <w:rPr>
          <w:color w:val="000000" w:themeColor="text1"/>
        </w:rPr>
        <w:fldChar w:fldCharType="separate"/>
      </w:r>
      <w:r w:rsidR="004B2A60">
        <w:rPr>
          <w:noProof/>
          <w:color w:val="000000" w:themeColor="text1"/>
        </w:rPr>
        <w:t>31</w:t>
      </w:r>
      <w:r w:rsidRPr="000D31D5">
        <w:rPr>
          <w:noProof/>
          <w:color w:val="000000" w:themeColor="text1"/>
        </w:rPr>
        <w:fldChar w:fldCharType="end"/>
      </w:r>
      <w:r w:rsidRPr="000D31D5">
        <w:rPr>
          <w:color w:val="000000" w:themeColor="text1"/>
        </w:rPr>
        <w:t>: Participación por contrato en la explotación de petróleo en 2018</w:t>
      </w:r>
      <w:bookmarkEnd w:id="206"/>
    </w:p>
    <w:p w14:paraId="418A3CA9" w14:textId="77777777" w:rsidR="003C2F1C" w:rsidRPr="003C2F1C" w:rsidRDefault="003C2F1C" w:rsidP="003C2F1C">
      <w:pPr>
        <w:jc w:val="center"/>
      </w:pPr>
      <w:r>
        <w:t>Porcentajes</w:t>
      </w:r>
    </w:p>
    <w:p w14:paraId="6F45EF44" w14:textId="77777777" w:rsidR="008A5924" w:rsidRPr="00184700" w:rsidRDefault="008A5924" w:rsidP="008A5924">
      <w:pPr>
        <w:jc w:val="center"/>
        <w:rPr>
          <w:lang w:val="es-MX"/>
        </w:rPr>
      </w:pPr>
      <w:r w:rsidRPr="00184700">
        <w:rPr>
          <w:noProof/>
          <w:lang w:val="es-GT" w:eastAsia="es-GT"/>
        </w:rPr>
        <w:drawing>
          <wp:inline distT="0" distB="0" distL="0" distR="0" wp14:anchorId="60567F7F" wp14:editId="7166183B">
            <wp:extent cx="4120738" cy="1781298"/>
            <wp:effectExtent l="0" t="0" r="0" b="0"/>
            <wp:docPr id="24" name="Gráfico 2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F8F5AB" w14:textId="77777777" w:rsidR="008A5924" w:rsidRPr="00D42129" w:rsidRDefault="00D42129" w:rsidP="008A5924">
      <w:pPr>
        <w:rPr>
          <w:sz w:val="18"/>
          <w:lang w:val="es-MX"/>
        </w:rPr>
      </w:pPr>
      <w:r w:rsidRPr="00D42129">
        <w:rPr>
          <w:sz w:val="18"/>
          <w:lang w:val="es-MX"/>
        </w:rPr>
        <w:t xml:space="preserve">                                </w:t>
      </w:r>
      <w:r>
        <w:rPr>
          <w:sz w:val="18"/>
          <w:lang w:val="es-MX"/>
        </w:rPr>
        <w:t xml:space="preserve">              </w:t>
      </w:r>
      <w:r w:rsidRPr="00D42129">
        <w:rPr>
          <w:sz w:val="18"/>
          <w:lang w:val="es-MX"/>
        </w:rPr>
        <w:t xml:space="preserve"> </w:t>
      </w:r>
      <w:r w:rsidR="008A5924" w:rsidRPr="00D36DD8">
        <w:rPr>
          <w:b/>
          <w:sz w:val="18"/>
          <w:lang w:val="es-MX"/>
        </w:rPr>
        <w:t>Fuente:</w:t>
      </w:r>
      <w:r w:rsidR="008A5924" w:rsidRPr="00D42129">
        <w:rPr>
          <w:sz w:val="18"/>
          <w:lang w:val="es-MX"/>
        </w:rPr>
        <w:t xml:space="preserve"> Cifras Ministerio de Energía y Minas</w:t>
      </w:r>
    </w:p>
    <w:p w14:paraId="31F5859A" w14:textId="77777777" w:rsidR="008A5924" w:rsidRPr="00184700" w:rsidRDefault="008A5924" w:rsidP="008A5924">
      <w:pPr>
        <w:rPr>
          <w:sz w:val="12"/>
          <w:lang w:val="es-MX"/>
        </w:rPr>
      </w:pPr>
    </w:p>
    <w:p w14:paraId="33132EAD" w14:textId="77777777" w:rsidR="008A5924" w:rsidRPr="00184700" w:rsidRDefault="008A5924" w:rsidP="008A5924">
      <w:pPr>
        <w:jc w:val="both"/>
        <w:rPr>
          <w:lang w:val="es-MX"/>
        </w:rPr>
      </w:pPr>
    </w:p>
    <w:p w14:paraId="01F27280" w14:textId="77777777" w:rsidR="008A5924" w:rsidRPr="000D31D5" w:rsidRDefault="008A5924" w:rsidP="008A5924">
      <w:pPr>
        <w:jc w:val="both"/>
        <w:rPr>
          <w:sz w:val="24"/>
          <w:szCs w:val="24"/>
          <w:lang w:val="es-MX"/>
        </w:rPr>
      </w:pPr>
      <w:r w:rsidRPr="000D31D5">
        <w:rPr>
          <w:sz w:val="24"/>
          <w:szCs w:val="24"/>
          <w:lang w:val="es-MX"/>
        </w:rPr>
        <w:t>Durante el periodo 2001- 2008 las exportaciones petroleras, llegaron</w:t>
      </w:r>
      <w:r w:rsidR="00985B91" w:rsidRPr="000D31D5">
        <w:rPr>
          <w:sz w:val="24"/>
          <w:szCs w:val="24"/>
          <w:lang w:val="es-MX"/>
        </w:rPr>
        <w:t xml:space="preserve"> a representar en promedio el 4 por ciento</w:t>
      </w:r>
      <w:r w:rsidRPr="000D31D5">
        <w:rPr>
          <w:sz w:val="24"/>
          <w:szCs w:val="24"/>
          <w:lang w:val="es-MX"/>
        </w:rPr>
        <w:t xml:space="preserve"> de las exportaciones totales, su mayor participación en 2008, representó divisas por exportaciones en el orden de US$373.7 millones (aproximadamente Q 2,800.0 millones) como efecto del incremento en los precios internacionales, posteriormente, pese a la disminución de la producción a 3.7 millones de barriles, durante el 2011 las exportaciones alcanzaron un nivel de US$335.4 millones aumento ligado al incremento del precio del crudo en el mercado internacional</w:t>
      </w:r>
      <w:r w:rsidRPr="000D31D5">
        <w:rPr>
          <w:rStyle w:val="Refdenotaalpie"/>
          <w:sz w:val="24"/>
          <w:szCs w:val="24"/>
          <w:lang w:val="es-MX"/>
        </w:rPr>
        <w:footnoteReference w:id="13"/>
      </w:r>
      <w:r w:rsidRPr="000D31D5">
        <w:rPr>
          <w:sz w:val="24"/>
          <w:szCs w:val="24"/>
          <w:lang w:val="es-MX"/>
        </w:rPr>
        <w:t xml:space="preserve">. </w:t>
      </w:r>
    </w:p>
    <w:p w14:paraId="4D1F4F32" w14:textId="77777777" w:rsidR="008A5924" w:rsidRPr="00184700" w:rsidRDefault="008A5924" w:rsidP="008A5924">
      <w:pPr>
        <w:jc w:val="both"/>
        <w:rPr>
          <w:lang w:val="es-MX"/>
        </w:rPr>
      </w:pPr>
    </w:p>
    <w:p w14:paraId="452E21EF" w14:textId="2EDF22C8" w:rsidR="008A5924" w:rsidRPr="000D31D5" w:rsidRDefault="008A5924" w:rsidP="008A5924">
      <w:pPr>
        <w:pStyle w:val="Descripcin"/>
        <w:keepNext/>
        <w:rPr>
          <w:color w:val="000000" w:themeColor="text1"/>
          <w:sz w:val="16"/>
        </w:rPr>
      </w:pPr>
      <w:bookmarkStart w:id="207" w:name="_Toc16242995"/>
      <w:r w:rsidRPr="000D31D5">
        <w:rPr>
          <w:color w:val="000000" w:themeColor="text1"/>
        </w:rPr>
        <w:t xml:space="preserve">Gráfico  </w:t>
      </w:r>
      <w:r w:rsidRPr="000D31D5">
        <w:rPr>
          <w:color w:val="000000" w:themeColor="text1"/>
        </w:rPr>
        <w:fldChar w:fldCharType="begin"/>
      </w:r>
      <w:r w:rsidRPr="000D31D5">
        <w:rPr>
          <w:color w:val="000000" w:themeColor="text1"/>
        </w:rPr>
        <w:instrText xml:space="preserve"> SEQ Gráfico_ \* ARABIC </w:instrText>
      </w:r>
      <w:r w:rsidRPr="000D31D5">
        <w:rPr>
          <w:color w:val="000000" w:themeColor="text1"/>
        </w:rPr>
        <w:fldChar w:fldCharType="separate"/>
      </w:r>
      <w:r w:rsidR="004B2A60">
        <w:rPr>
          <w:noProof/>
          <w:color w:val="000000" w:themeColor="text1"/>
        </w:rPr>
        <w:t>32</w:t>
      </w:r>
      <w:r w:rsidRPr="000D31D5">
        <w:rPr>
          <w:noProof/>
          <w:color w:val="000000" w:themeColor="text1"/>
        </w:rPr>
        <w:fldChar w:fldCharType="end"/>
      </w:r>
      <w:r w:rsidRPr="000D31D5">
        <w:rPr>
          <w:color w:val="000000" w:themeColor="text1"/>
        </w:rPr>
        <w:t>: Exportaciones de petróleo y participación en las exportaciones totales</w:t>
      </w:r>
      <w:bookmarkEnd w:id="207"/>
    </w:p>
    <w:p w14:paraId="15D8A678" w14:textId="77777777" w:rsidR="008A5924" w:rsidRPr="00184700" w:rsidRDefault="008A5924" w:rsidP="008A5924">
      <w:pPr>
        <w:keepNext/>
        <w:autoSpaceDE w:val="0"/>
        <w:autoSpaceDN w:val="0"/>
        <w:adjustRightInd w:val="0"/>
        <w:jc w:val="center"/>
        <w:rPr>
          <w:sz w:val="16"/>
        </w:rPr>
      </w:pPr>
      <w:r w:rsidRPr="000D31D5">
        <w:rPr>
          <w:color w:val="000000" w:themeColor="text1"/>
          <w:sz w:val="16"/>
        </w:rPr>
        <w:t xml:space="preserve">Periodo </w:t>
      </w:r>
      <w:r w:rsidRPr="00184700">
        <w:rPr>
          <w:sz w:val="16"/>
        </w:rPr>
        <w:t>2002-2018</w:t>
      </w:r>
    </w:p>
    <w:p w14:paraId="3376F880" w14:textId="77777777" w:rsidR="008A5924" w:rsidRDefault="008A5924" w:rsidP="008A5924">
      <w:pPr>
        <w:keepNext/>
        <w:autoSpaceDE w:val="0"/>
        <w:autoSpaceDN w:val="0"/>
        <w:adjustRightInd w:val="0"/>
        <w:jc w:val="center"/>
        <w:rPr>
          <w:sz w:val="16"/>
        </w:rPr>
      </w:pPr>
      <w:r w:rsidRPr="00184700">
        <w:rPr>
          <w:sz w:val="16"/>
        </w:rPr>
        <w:t>Cifras en millones de US$ y porcentajes</w:t>
      </w:r>
    </w:p>
    <w:p w14:paraId="76281519" w14:textId="77777777" w:rsidR="0026523E" w:rsidRDefault="0026523E" w:rsidP="008A5924">
      <w:pPr>
        <w:keepNext/>
        <w:autoSpaceDE w:val="0"/>
        <w:autoSpaceDN w:val="0"/>
        <w:adjustRightInd w:val="0"/>
        <w:jc w:val="center"/>
        <w:rPr>
          <w:sz w:val="16"/>
        </w:rPr>
      </w:pPr>
    </w:p>
    <w:p w14:paraId="7ABE4EAC" w14:textId="77777777" w:rsidR="00056555" w:rsidRPr="00184700" w:rsidRDefault="00056555" w:rsidP="008A5924">
      <w:pPr>
        <w:keepNext/>
        <w:autoSpaceDE w:val="0"/>
        <w:autoSpaceDN w:val="0"/>
        <w:adjustRightInd w:val="0"/>
        <w:jc w:val="center"/>
        <w:rPr>
          <w:sz w:val="16"/>
        </w:rPr>
      </w:pPr>
    </w:p>
    <w:p w14:paraId="71DD2095" w14:textId="77777777" w:rsidR="008A5924" w:rsidRPr="00184700" w:rsidRDefault="008A5924" w:rsidP="008A5924">
      <w:pPr>
        <w:keepNext/>
        <w:autoSpaceDE w:val="0"/>
        <w:autoSpaceDN w:val="0"/>
        <w:adjustRightInd w:val="0"/>
      </w:pPr>
    </w:p>
    <w:p w14:paraId="4B37D6F5" w14:textId="77777777" w:rsidR="008A5924" w:rsidRPr="00184700" w:rsidRDefault="008A5924" w:rsidP="008A5924">
      <w:pPr>
        <w:autoSpaceDE w:val="0"/>
        <w:autoSpaceDN w:val="0"/>
        <w:adjustRightInd w:val="0"/>
        <w:jc w:val="center"/>
      </w:pPr>
      <w:r w:rsidRPr="00184700">
        <w:rPr>
          <w:noProof/>
          <w:sz w:val="16"/>
          <w:lang w:val="es-GT" w:eastAsia="es-GT"/>
        </w:rPr>
        <w:drawing>
          <wp:inline distT="0" distB="0" distL="0" distR="0" wp14:anchorId="74BC7B41" wp14:editId="7DD15523">
            <wp:extent cx="5213267" cy="2066306"/>
            <wp:effectExtent l="0" t="0" r="698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83E6552" w14:textId="77777777" w:rsidR="008A5924" w:rsidRPr="00184700" w:rsidRDefault="00D42129" w:rsidP="008A5924">
      <w:pPr>
        <w:rPr>
          <w:sz w:val="12"/>
          <w:lang w:val="es-MX"/>
        </w:rPr>
      </w:pPr>
      <w:r>
        <w:rPr>
          <w:sz w:val="12"/>
          <w:lang w:val="es-MX"/>
        </w:rPr>
        <w:t xml:space="preserve">                                            </w:t>
      </w:r>
      <w:r w:rsidR="008A5924" w:rsidRPr="00D42129">
        <w:rPr>
          <w:sz w:val="16"/>
          <w:lang w:val="es-MX"/>
        </w:rPr>
        <w:t>Fuente: Cifras Banco de Guatemala</w:t>
      </w:r>
    </w:p>
    <w:p w14:paraId="4CC1DF58" w14:textId="77777777" w:rsidR="008A5924" w:rsidRPr="00184700" w:rsidRDefault="008A5924" w:rsidP="008A5924">
      <w:pPr>
        <w:jc w:val="both"/>
        <w:rPr>
          <w:lang w:val="es-MX"/>
        </w:rPr>
      </w:pPr>
    </w:p>
    <w:p w14:paraId="44A203AB" w14:textId="77777777" w:rsidR="0026523E" w:rsidRDefault="008A5924" w:rsidP="008A5924">
      <w:pPr>
        <w:jc w:val="both"/>
        <w:rPr>
          <w:sz w:val="24"/>
          <w:szCs w:val="24"/>
          <w:lang w:val="es-MX"/>
        </w:rPr>
      </w:pPr>
      <w:r w:rsidRPr="000D31D5">
        <w:rPr>
          <w:sz w:val="24"/>
          <w:szCs w:val="24"/>
          <w:lang w:val="es-MX"/>
        </w:rPr>
        <w:t>Sin embargo, a partir de 2012 como resultado del efecto combinado de una menor producción y la disminución en los precios internacionales, las exportaciones muestran un drástico descenso, ubicándose el punto más bajo en 2016 con US$84.5 millones (Q640.0 mil</w:t>
      </w:r>
      <w:r w:rsidR="00985B91" w:rsidRPr="000D31D5">
        <w:rPr>
          <w:sz w:val="24"/>
          <w:szCs w:val="24"/>
          <w:lang w:val="es-MX"/>
        </w:rPr>
        <w:t>lones) que representaron el 0.8 ciento</w:t>
      </w:r>
      <w:r w:rsidRPr="000D31D5">
        <w:rPr>
          <w:sz w:val="24"/>
          <w:szCs w:val="24"/>
          <w:lang w:val="es-MX"/>
        </w:rPr>
        <w:t xml:space="preserve"> de las exportaciones totales. </w:t>
      </w:r>
    </w:p>
    <w:p w14:paraId="167382A7" w14:textId="77777777" w:rsidR="0072128E" w:rsidRDefault="0072128E" w:rsidP="008A5924">
      <w:pPr>
        <w:jc w:val="both"/>
        <w:rPr>
          <w:sz w:val="24"/>
          <w:szCs w:val="24"/>
          <w:lang w:val="es-MX"/>
        </w:rPr>
      </w:pPr>
    </w:p>
    <w:p w14:paraId="6867F7BD" w14:textId="77777777" w:rsidR="008A5924" w:rsidRPr="000D31D5" w:rsidRDefault="008A5924" w:rsidP="008A5924">
      <w:pPr>
        <w:jc w:val="both"/>
        <w:rPr>
          <w:sz w:val="24"/>
          <w:szCs w:val="24"/>
          <w:lang w:val="es-MX"/>
        </w:rPr>
      </w:pPr>
      <w:r w:rsidRPr="000D31D5">
        <w:rPr>
          <w:sz w:val="24"/>
          <w:szCs w:val="24"/>
          <w:lang w:val="es-MX"/>
        </w:rPr>
        <w:t>Finalmente, para el 2018 se observó un leve incremento, al situarse en US$124.9 millones (Q937.53 millones) que representa</w:t>
      </w:r>
      <w:r w:rsidR="00985B91" w:rsidRPr="000D31D5">
        <w:rPr>
          <w:sz w:val="24"/>
          <w:szCs w:val="24"/>
          <w:lang w:val="es-MX"/>
        </w:rPr>
        <w:t>ron el 1.1 ciento</w:t>
      </w:r>
      <w:r w:rsidRPr="000D31D5">
        <w:rPr>
          <w:sz w:val="24"/>
          <w:szCs w:val="24"/>
          <w:lang w:val="es-MX"/>
        </w:rPr>
        <w:t xml:space="preserve"> de las exportaciones nacionales.</w:t>
      </w:r>
    </w:p>
    <w:p w14:paraId="7797FAE7" w14:textId="77777777" w:rsidR="008A5924" w:rsidRPr="000D31D5" w:rsidRDefault="008A5924" w:rsidP="00DD6292">
      <w:pPr>
        <w:pStyle w:val="Ttulo3"/>
        <w:widowControl/>
        <w:numPr>
          <w:ilvl w:val="2"/>
          <w:numId w:val="5"/>
        </w:numPr>
        <w:spacing w:before="240" w:after="60"/>
        <w:ind w:left="1701" w:hanging="981"/>
        <w:jc w:val="both"/>
        <w:rPr>
          <w:sz w:val="24"/>
          <w:szCs w:val="24"/>
        </w:rPr>
      </w:pPr>
      <w:bookmarkStart w:id="208" w:name="_Toc16519912"/>
      <w:r w:rsidRPr="000D31D5">
        <w:rPr>
          <w:sz w:val="24"/>
          <w:szCs w:val="24"/>
        </w:rPr>
        <w:t>Importancia fiscal de la actividad petrolera en Guatemala</w:t>
      </w:r>
      <w:bookmarkEnd w:id="208"/>
    </w:p>
    <w:p w14:paraId="1C8169AE" w14:textId="77777777" w:rsidR="008A5924" w:rsidRPr="000D31D5" w:rsidRDefault="008A5924" w:rsidP="008A5924">
      <w:pPr>
        <w:rPr>
          <w:sz w:val="24"/>
          <w:szCs w:val="24"/>
          <w:lang w:val="es-MX"/>
        </w:rPr>
      </w:pPr>
    </w:p>
    <w:p w14:paraId="2BBFF222" w14:textId="77777777" w:rsidR="008A5924" w:rsidRPr="000D31D5" w:rsidRDefault="008A5924" w:rsidP="00D36DD8">
      <w:pPr>
        <w:jc w:val="both"/>
        <w:rPr>
          <w:sz w:val="24"/>
          <w:szCs w:val="24"/>
          <w:lang w:val="es-MX"/>
        </w:rPr>
      </w:pPr>
      <w:r w:rsidRPr="000D31D5">
        <w:rPr>
          <w:sz w:val="24"/>
          <w:szCs w:val="24"/>
          <w:lang w:val="es-MX"/>
        </w:rPr>
        <w:t>Un primer elemento a considerar respecto del aporte de la explotación petrolera al fisco, es el relacionado con los ingresos provenientes de los impuestos ordinarios,  el pago por concepto de regalías, participación estatal en la producción petrolera “Hidrocarburos compartibles”</w:t>
      </w:r>
      <w:r w:rsidRPr="000D31D5">
        <w:rPr>
          <w:sz w:val="24"/>
          <w:szCs w:val="24"/>
          <w:vertAlign w:val="superscript"/>
          <w:lang w:val="es-MX"/>
        </w:rPr>
        <w:footnoteReference w:id="14"/>
      </w:r>
      <w:r w:rsidRPr="000D31D5">
        <w:rPr>
          <w:sz w:val="24"/>
          <w:szCs w:val="24"/>
          <w:lang w:val="es-MX"/>
        </w:rPr>
        <w:t>; y los demás ingresos provenientes de los contratos de operaciones petroleras y mineras que están contemplados en la Ley de Hidrocarburos y su reglamento; Ley del Fondo para el Desarrollo Económico de la Nación (FONPETROL) y su reglamento.</w:t>
      </w:r>
    </w:p>
    <w:p w14:paraId="7DB8C57C" w14:textId="77777777" w:rsidR="008A5924" w:rsidRPr="00184700" w:rsidRDefault="008A5924" w:rsidP="008A5924">
      <w:pPr>
        <w:pStyle w:val="Descripcin"/>
      </w:pPr>
    </w:p>
    <w:p w14:paraId="347D1CA9" w14:textId="2E4B5BD1" w:rsidR="008A5924" w:rsidRPr="000D31D5" w:rsidRDefault="008A5924" w:rsidP="008A5924">
      <w:pPr>
        <w:pStyle w:val="Descripcin"/>
        <w:keepNext/>
        <w:rPr>
          <w:color w:val="000000" w:themeColor="text1"/>
          <w:sz w:val="16"/>
        </w:rPr>
      </w:pPr>
      <w:bookmarkStart w:id="209" w:name="_Toc16242956"/>
      <w:r w:rsidRPr="000D31D5">
        <w:rPr>
          <w:color w:val="000000" w:themeColor="text1"/>
        </w:rPr>
        <w:t xml:space="preserve">Cuadro  </w:t>
      </w:r>
      <w:r w:rsidRPr="000D31D5">
        <w:rPr>
          <w:color w:val="000000" w:themeColor="text1"/>
        </w:rPr>
        <w:fldChar w:fldCharType="begin"/>
      </w:r>
      <w:r w:rsidRPr="000D31D5">
        <w:rPr>
          <w:color w:val="000000" w:themeColor="text1"/>
        </w:rPr>
        <w:instrText xml:space="preserve"> SEQ Cuadro_ \* ARABIC </w:instrText>
      </w:r>
      <w:r w:rsidRPr="000D31D5">
        <w:rPr>
          <w:color w:val="000000" w:themeColor="text1"/>
        </w:rPr>
        <w:fldChar w:fldCharType="separate"/>
      </w:r>
      <w:r w:rsidR="004B2A60">
        <w:rPr>
          <w:noProof/>
          <w:color w:val="000000" w:themeColor="text1"/>
        </w:rPr>
        <w:t>6</w:t>
      </w:r>
      <w:r w:rsidRPr="000D31D5">
        <w:rPr>
          <w:noProof/>
          <w:color w:val="000000" w:themeColor="text1"/>
        </w:rPr>
        <w:fldChar w:fldCharType="end"/>
      </w:r>
      <w:r w:rsidRPr="000D31D5">
        <w:rPr>
          <w:color w:val="000000" w:themeColor="text1"/>
        </w:rPr>
        <w:t>: Recaudación del Sector Hidrocarburos</w:t>
      </w:r>
      <w:r w:rsidRPr="000D31D5">
        <w:rPr>
          <w:color w:val="000000" w:themeColor="text1"/>
          <w:vertAlign w:val="superscript"/>
        </w:rPr>
        <w:t>1/</w:t>
      </w:r>
      <w:bookmarkEnd w:id="209"/>
    </w:p>
    <w:p w14:paraId="3EC1478D" w14:textId="77777777" w:rsidR="008A5924" w:rsidRPr="00184700" w:rsidRDefault="008A5924" w:rsidP="008A5924">
      <w:pPr>
        <w:keepNext/>
        <w:jc w:val="center"/>
        <w:rPr>
          <w:sz w:val="16"/>
        </w:rPr>
      </w:pPr>
      <w:r w:rsidRPr="00184700">
        <w:rPr>
          <w:sz w:val="16"/>
        </w:rPr>
        <w:t>Periodo 2010-2018</w:t>
      </w:r>
    </w:p>
    <w:p w14:paraId="17E2C2FE" w14:textId="77777777" w:rsidR="008A5924" w:rsidRDefault="008A5924" w:rsidP="008A5924">
      <w:pPr>
        <w:keepNext/>
        <w:jc w:val="center"/>
        <w:rPr>
          <w:sz w:val="16"/>
        </w:rPr>
      </w:pPr>
      <w:r w:rsidRPr="00184700">
        <w:rPr>
          <w:sz w:val="16"/>
        </w:rPr>
        <w:t>Cifras en millones de Quetzales</w:t>
      </w:r>
    </w:p>
    <w:p w14:paraId="715F4AC9" w14:textId="77777777" w:rsidR="009C111D" w:rsidRPr="00184700" w:rsidRDefault="009C111D" w:rsidP="008A5924">
      <w:pPr>
        <w:keepNext/>
        <w:jc w:val="center"/>
        <w:rPr>
          <w:sz w:val="16"/>
        </w:rPr>
      </w:pPr>
    </w:p>
    <w:tbl>
      <w:tblPr>
        <w:tblW w:w="8916" w:type="dxa"/>
        <w:jc w:val="center"/>
        <w:tblCellMar>
          <w:left w:w="70" w:type="dxa"/>
          <w:right w:w="70" w:type="dxa"/>
        </w:tblCellMar>
        <w:tblLook w:val="04A0" w:firstRow="1" w:lastRow="0" w:firstColumn="1" w:lastColumn="0" w:noHBand="0" w:noVBand="1"/>
      </w:tblPr>
      <w:tblGrid>
        <w:gridCol w:w="1950"/>
        <w:gridCol w:w="971"/>
        <w:gridCol w:w="728"/>
        <w:gridCol w:w="607"/>
        <w:gridCol w:w="728"/>
        <w:gridCol w:w="506"/>
        <w:gridCol w:w="586"/>
        <w:gridCol w:w="607"/>
        <w:gridCol w:w="485"/>
        <w:gridCol w:w="788"/>
        <w:gridCol w:w="960"/>
      </w:tblGrid>
      <w:tr w:rsidR="008A5924" w:rsidRPr="00184700" w14:paraId="70A9B40F" w14:textId="77777777" w:rsidTr="00D42129">
        <w:trPr>
          <w:trHeight w:val="295"/>
          <w:jc w:val="center"/>
        </w:trPr>
        <w:tc>
          <w:tcPr>
            <w:tcW w:w="1950" w:type="dxa"/>
            <w:tcBorders>
              <w:top w:val="single" w:sz="8" w:space="0" w:color="auto"/>
              <w:left w:val="single" w:sz="8" w:space="0" w:color="auto"/>
              <w:bottom w:val="single" w:sz="8" w:space="0" w:color="auto"/>
              <w:right w:val="single" w:sz="8" w:space="0" w:color="auto"/>
            </w:tcBorders>
            <w:shd w:val="clear" w:color="auto" w:fill="8DB3E2"/>
            <w:noWrap/>
            <w:vAlign w:val="center"/>
            <w:hideMark/>
          </w:tcPr>
          <w:p w14:paraId="6FC4E9EB" w14:textId="77777777" w:rsidR="008A5924" w:rsidRPr="00184700" w:rsidRDefault="008A5924" w:rsidP="008A5924">
            <w:pPr>
              <w:keepNext/>
              <w:jc w:val="center"/>
              <w:rPr>
                <w:b/>
                <w:bCs/>
                <w:sz w:val="14"/>
                <w:szCs w:val="14"/>
                <w:lang w:eastAsia="es-GT"/>
              </w:rPr>
            </w:pPr>
            <w:r w:rsidRPr="00184700">
              <w:rPr>
                <w:b/>
                <w:bCs/>
                <w:sz w:val="14"/>
                <w:szCs w:val="14"/>
                <w:lang w:eastAsia="es-GT"/>
              </w:rPr>
              <w:t>IMPUESTO</w:t>
            </w:r>
          </w:p>
        </w:tc>
        <w:tc>
          <w:tcPr>
            <w:tcW w:w="971" w:type="dxa"/>
            <w:tcBorders>
              <w:top w:val="single" w:sz="8" w:space="0" w:color="auto"/>
              <w:left w:val="nil"/>
              <w:bottom w:val="single" w:sz="8" w:space="0" w:color="auto"/>
              <w:right w:val="single" w:sz="8" w:space="0" w:color="auto"/>
            </w:tcBorders>
            <w:shd w:val="clear" w:color="auto" w:fill="8DB3E2"/>
            <w:noWrap/>
            <w:vAlign w:val="center"/>
            <w:hideMark/>
          </w:tcPr>
          <w:p w14:paraId="704EC199" w14:textId="77777777" w:rsidR="008A5924" w:rsidRPr="00184700" w:rsidRDefault="008A5924" w:rsidP="008A5924">
            <w:pPr>
              <w:keepNext/>
              <w:jc w:val="center"/>
              <w:rPr>
                <w:b/>
                <w:bCs/>
                <w:sz w:val="14"/>
                <w:szCs w:val="14"/>
                <w:lang w:eastAsia="es-GT"/>
              </w:rPr>
            </w:pPr>
            <w:r w:rsidRPr="00184700">
              <w:rPr>
                <w:b/>
                <w:bCs/>
                <w:sz w:val="14"/>
                <w:szCs w:val="14"/>
                <w:lang w:eastAsia="es-GT"/>
              </w:rPr>
              <w:t>2010</w:t>
            </w:r>
          </w:p>
        </w:tc>
        <w:tc>
          <w:tcPr>
            <w:tcW w:w="728" w:type="dxa"/>
            <w:tcBorders>
              <w:top w:val="single" w:sz="8" w:space="0" w:color="auto"/>
              <w:left w:val="nil"/>
              <w:bottom w:val="single" w:sz="8" w:space="0" w:color="auto"/>
              <w:right w:val="single" w:sz="8" w:space="0" w:color="auto"/>
            </w:tcBorders>
            <w:shd w:val="clear" w:color="auto" w:fill="8DB3E2"/>
            <w:noWrap/>
            <w:vAlign w:val="center"/>
            <w:hideMark/>
          </w:tcPr>
          <w:p w14:paraId="1865F3B6" w14:textId="77777777" w:rsidR="008A5924" w:rsidRPr="00184700" w:rsidRDefault="008A5924" w:rsidP="008A5924">
            <w:pPr>
              <w:keepNext/>
              <w:jc w:val="center"/>
              <w:rPr>
                <w:b/>
                <w:bCs/>
                <w:sz w:val="14"/>
                <w:szCs w:val="14"/>
                <w:lang w:eastAsia="es-GT"/>
              </w:rPr>
            </w:pPr>
            <w:r w:rsidRPr="00184700">
              <w:rPr>
                <w:b/>
                <w:bCs/>
                <w:sz w:val="14"/>
                <w:szCs w:val="14"/>
                <w:lang w:eastAsia="es-GT"/>
              </w:rPr>
              <w:t>2011</w:t>
            </w:r>
          </w:p>
        </w:tc>
        <w:tc>
          <w:tcPr>
            <w:tcW w:w="607" w:type="dxa"/>
            <w:tcBorders>
              <w:top w:val="single" w:sz="8" w:space="0" w:color="auto"/>
              <w:left w:val="nil"/>
              <w:bottom w:val="single" w:sz="8" w:space="0" w:color="auto"/>
              <w:right w:val="single" w:sz="8" w:space="0" w:color="auto"/>
            </w:tcBorders>
            <w:shd w:val="clear" w:color="auto" w:fill="8DB3E2"/>
            <w:noWrap/>
            <w:vAlign w:val="center"/>
            <w:hideMark/>
          </w:tcPr>
          <w:p w14:paraId="1A433A9A" w14:textId="77777777" w:rsidR="008A5924" w:rsidRPr="00184700" w:rsidRDefault="008A5924" w:rsidP="008A5924">
            <w:pPr>
              <w:keepNext/>
              <w:jc w:val="center"/>
              <w:rPr>
                <w:b/>
                <w:bCs/>
                <w:sz w:val="14"/>
                <w:szCs w:val="14"/>
                <w:lang w:eastAsia="es-GT"/>
              </w:rPr>
            </w:pPr>
            <w:r w:rsidRPr="00184700">
              <w:rPr>
                <w:b/>
                <w:bCs/>
                <w:sz w:val="14"/>
                <w:szCs w:val="14"/>
                <w:lang w:eastAsia="es-GT"/>
              </w:rPr>
              <w:t>2012</w:t>
            </w:r>
          </w:p>
        </w:tc>
        <w:tc>
          <w:tcPr>
            <w:tcW w:w="728" w:type="dxa"/>
            <w:tcBorders>
              <w:top w:val="single" w:sz="8" w:space="0" w:color="auto"/>
              <w:left w:val="nil"/>
              <w:bottom w:val="single" w:sz="8" w:space="0" w:color="auto"/>
              <w:right w:val="single" w:sz="8" w:space="0" w:color="auto"/>
            </w:tcBorders>
            <w:shd w:val="clear" w:color="auto" w:fill="8DB3E2"/>
            <w:noWrap/>
            <w:vAlign w:val="center"/>
            <w:hideMark/>
          </w:tcPr>
          <w:p w14:paraId="202BE33D" w14:textId="77777777" w:rsidR="008A5924" w:rsidRPr="00184700" w:rsidRDefault="008A5924" w:rsidP="008A5924">
            <w:pPr>
              <w:keepNext/>
              <w:jc w:val="center"/>
              <w:rPr>
                <w:b/>
                <w:bCs/>
                <w:sz w:val="14"/>
                <w:szCs w:val="14"/>
                <w:lang w:eastAsia="es-GT"/>
              </w:rPr>
            </w:pPr>
            <w:r w:rsidRPr="00184700">
              <w:rPr>
                <w:b/>
                <w:bCs/>
                <w:sz w:val="14"/>
                <w:szCs w:val="14"/>
                <w:lang w:eastAsia="es-GT"/>
              </w:rPr>
              <w:t>2013</w:t>
            </w:r>
          </w:p>
        </w:tc>
        <w:tc>
          <w:tcPr>
            <w:tcW w:w="506" w:type="dxa"/>
            <w:tcBorders>
              <w:top w:val="single" w:sz="8" w:space="0" w:color="auto"/>
              <w:left w:val="nil"/>
              <w:bottom w:val="single" w:sz="8" w:space="0" w:color="auto"/>
              <w:right w:val="single" w:sz="8" w:space="0" w:color="auto"/>
            </w:tcBorders>
            <w:shd w:val="clear" w:color="auto" w:fill="8DB3E2"/>
            <w:noWrap/>
            <w:vAlign w:val="center"/>
            <w:hideMark/>
          </w:tcPr>
          <w:p w14:paraId="4EB964F7" w14:textId="77777777" w:rsidR="008A5924" w:rsidRPr="00184700" w:rsidRDefault="008A5924" w:rsidP="008A5924">
            <w:pPr>
              <w:keepNext/>
              <w:jc w:val="center"/>
              <w:rPr>
                <w:b/>
                <w:bCs/>
                <w:sz w:val="14"/>
                <w:szCs w:val="14"/>
                <w:lang w:eastAsia="es-GT"/>
              </w:rPr>
            </w:pPr>
            <w:r w:rsidRPr="00184700">
              <w:rPr>
                <w:b/>
                <w:bCs/>
                <w:sz w:val="14"/>
                <w:szCs w:val="14"/>
                <w:lang w:eastAsia="es-GT"/>
              </w:rPr>
              <w:t>2014</w:t>
            </w:r>
          </w:p>
        </w:tc>
        <w:tc>
          <w:tcPr>
            <w:tcW w:w="586" w:type="dxa"/>
            <w:tcBorders>
              <w:top w:val="single" w:sz="8" w:space="0" w:color="auto"/>
              <w:left w:val="nil"/>
              <w:bottom w:val="single" w:sz="8" w:space="0" w:color="auto"/>
              <w:right w:val="single" w:sz="8" w:space="0" w:color="auto"/>
            </w:tcBorders>
            <w:shd w:val="clear" w:color="auto" w:fill="8DB3E2"/>
            <w:noWrap/>
            <w:vAlign w:val="center"/>
            <w:hideMark/>
          </w:tcPr>
          <w:p w14:paraId="39632E59" w14:textId="77777777" w:rsidR="008A5924" w:rsidRPr="00184700" w:rsidRDefault="008A5924" w:rsidP="008A5924">
            <w:pPr>
              <w:keepNext/>
              <w:jc w:val="center"/>
              <w:rPr>
                <w:b/>
                <w:bCs/>
                <w:sz w:val="14"/>
                <w:szCs w:val="14"/>
                <w:lang w:eastAsia="es-GT"/>
              </w:rPr>
            </w:pPr>
            <w:r w:rsidRPr="00184700">
              <w:rPr>
                <w:b/>
                <w:bCs/>
                <w:sz w:val="14"/>
                <w:szCs w:val="14"/>
                <w:lang w:eastAsia="es-GT"/>
              </w:rPr>
              <w:t>2015</w:t>
            </w:r>
          </w:p>
        </w:tc>
        <w:tc>
          <w:tcPr>
            <w:tcW w:w="607" w:type="dxa"/>
            <w:tcBorders>
              <w:top w:val="single" w:sz="8" w:space="0" w:color="auto"/>
              <w:left w:val="nil"/>
              <w:bottom w:val="single" w:sz="8" w:space="0" w:color="auto"/>
              <w:right w:val="single" w:sz="8" w:space="0" w:color="auto"/>
            </w:tcBorders>
            <w:shd w:val="clear" w:color="auto" w:fill="8DB3E2"/>
            <w:noWrap/>
            <w:vAlign w:val="center"/>
            <w:hideMark/>
          </w:tcPr>
          <w:p w14:paraId="2CF5E546" w14:textId="77777777" w:rsidR="008A5924" w:rsidRPr="00184700" w:rsidRDefault="008A5924" w:rsidP="008A5924">
            <w:pPr>
              <w:keepNext/>
              <w:jc w:val="center"/>
              <w:rPr>
                <w:b/>
                <w:bCs/>
                <w:sz w:val="14"/>
                <w:szCs w:val="14"/>
                <w:lang w:eastAsia="es-GT"/>
              </w:rPr>
            </w:pPr>
            <w:r w:rsidRPr="00184700">
              <w:rPr>
                <w:b/>
                <w:bCs/>
                <w:sz w:val="14"/>
                <w:szCs w:val="14"/>
                <w:lang w:eastAsia="es-GT"/>
              </w:rPr>
              <w:t>2016</w:t>
            </w:r>
          </w:p>
        </w:tc>
        <w:tc>
          <w:tcPr>
            <w:tcW w:w="485" w:type="dxa"/>
            <w:tcBorders>
              <w:top w:val="single" w:sz="8" w:space="0" w:color="auto"/>
              <w:left w:val="nil"/>
              <w:bottom w:val="single" w:sz="8" w:space="0" w:color="auto"/>
              <w:right w:val="single" w:sz="8" w:space="0" w:color="auto"/>
            </w:tcBorders>
            <w:shd w:val="clear" w:color="auto" w:fill="8DB3E2"/>
            <w:noWrap/>
            <w:vAlign w:val="center"/>
            <w:hideMark/>
          </w:tcPr>
          <w:p w14:paraId="70697935" w14:textId="77777777" w:rsidR="008A5924" w:rsidRPr="00184700" w:rsidRDefault="008A5924" w:rsidP="008A5924">
            <w:pPr>
              <w:keepNext/>
              <w:jc w:val="center"/>
              <w:rPr>
                <w:b/>
                <w:bCs/>
                <w:sz w:val="14"/>
                <w:szCs w:val="14"/>
                <w:lang w:eastAsia="es-GT"/>
              </w:rPr>
            </w:pPr>
            <w:r w:rsidRPr="00184700">
              <w:rPr>
                <w:b/>
                <w:bCs/>
                <w:sz w:val="14"/>
                <w:szCs w:val="14"/>
                <w:lang w:eastAsia="es-GT"/>
              </w:rPr>
              <w:t>2017</w:t>
            </w:r>
          </w:p>
        </w:tc>
        <w:tc>
          <w:tcPr>
            <w:tcW w:w="788" w:type="dxa"/>
            <w:tcBorders>
              <w:top w:val="single" w:sz="8" w:space="0" w:color="auto"/>
              <w:left w:val="nil"/>
              <w:bottom w:val="single" w:sz="8" w:space="0" w:color="auto"/>
              <w:right w:val="single" w:sz="8" w:space="0" w:color="auto"/>
            </w:tcBorders>
            <w:shd w:val="clear" w:color="auto" w:fill="8DB3E2"/>
            <w:noWrap/>
            <w:vAlign w:val="center"/>
            <w:hideMark/>
          </w:tcPr>
          <w:p w14:paraId="195BCABC" w14:textId="77777777" w:rsidR="008A5924" w:rsidRPr="00184700" w:rsidRDefault="008A5924" w:rsidP="008A5924">
            <w:pPr>
              <w:keepNext/>
              <w:jc w:val="center"/>
              <w:rPr>
                <w:b/>
                <w:bCs/>
                <w:sz w:val="14"/>
                <w:szCs w:val="14"/>
                <w:lang w:eastAsia="es-GT"/>
              </w:rPr>
            </w:pPr>
            <w:r w:rsidRPr="00184700">
              <w:rPr>
                <w:b/>
                <w:bCs/>
                <w:sz w:val="14"/>
                <w:szCs w:val="14"/>
                <w:lang w:eastAsia="es-GT"/>
              </w:rPr>
              <w:t>2018</w:t>
            </w:r>
          </w:p>
        </w:tc>
        <w:tc>
          <w:tcPr>
            <w:tcW w:w="960" w:type="dxa"/>
            <w:tcBorders>
              <w:top w:val="single" w:sz="8" w:space="0" w:color="auto"/>
              <w:left w:val="nil"/>
              <w:bottom w:val="single" w:sz="8" w:space="0" w:color="auto"/>
              <w:right w:val="single" w:sz="8" w:space="0" w:color="auto"/>
            </w:tcBorders>
            <w:shd w:val="clear" w:color="auto" w:fill="8DB3E2"/>
            <w:noWrap/>
            <w:vAlign w:val="center"/>
            <w:hideMark/>
          </w:tcPr>
          <w:p w14:paraId="717D5819" w14:textId="77777777" w:rsidR="008A5924" w:rsidRPr="00184700" w:rsidRDefault="008A5924" w:rsidP="008A5924">
            <w:pPr>
              <w:keepNext/>
              <w:jc w:val="center"/>
              <w:rPr>
                <w:b/>
                <w:bCs/>
                <w:sz w:val="14"/>
                <w:szCs w:val="14"/>
                <w:lang w:eastAsia="es-GT"/>
              </w:rPr>
            </w:pPr>
            <w:r w:rsidRPr="00184700">
              <w:rPr>
                <w:b/>
                <w:bCs/>
                <w:sz w:val="14"/>
                <w:szCs w:val="14"/>
                <w:lang w:eastAsia="es-GT"/>
              </w:rPr>
              <w:t>Acumulado</w:t>
            </w:r>
          </w:p>
        </w:tc>
      </w:tr>
      <w:tr w:rsidR="008A5924" w:rsidRPr="00184700" w14:paraId="27BFB2C8" w14:textId="77777777" w:rsidTr="00D42129">
        <w:trPr>
          <w:trHeight w:val="295"/>
          <w:jc w:val="center"/>
        </w:trPr>
        <w:tc>
          <w:tcPr>
            <w:tcW w:w="1950" w:type="dxa"/>
            <w:tcBorders>
              <w:top w:val="nil"/>
              <w:left w:val="single" w:sz="8" w:space="0" w:color="auto"/>
              <w:bottom w:val="single" w:sz="8" w:space="0" w:color="auto"/>
              <w:right w:val="single" w:sz="8" w:space="0" w:color="auto"/>
            </w:tcBorders>
            <w:shd w:val="clear" w:color="auto" w:fill="auto"/>
            <w:noWrap/>
            <w:vAlign w:val="center"/>
            <w:hideMark/>
          </w:tcPr>
          <w:p w14:paraId="396DA2C1" w14:textId="77777777" w:rsidR="008A5924" w:rsidRPr="00184700" w:rsidRDefault="008A5924" w:rsidP="008A5924">
            <w:pPr>
              <w:keepNext/>
              <w:rPr>
                <w:sz w:val="14"/>
                <w:szCs w:val="14"/>
                <w:lang w:eastAsia="es-GT"/>
              </w:rPr>
            </w:pPr>
            <w:r w:rsidRPr="00184700">
              <w:rPr>
                <w:sz w:val="14"/>
                <w:szCs w:val="14"/>
                <w:lang w:eastAsia="es-GT"/>
              </w:rPr>
              <w:t xml:space="preserve">Impuesto Sobre la Renta </w:t>
            </w:r>
            <w:r w:rsidRPr="00184700">
              <w:rPr>
                <w:sz w:val="14"/>
                <w:szCs w:val="14"/>
                <w:vertAlign w:val="superscript"/>
                <w:lang w:eastAsia="es-GT"/>
              </w:rPr>
              <w:t>/2</w:t>
            </w:r>
          </w:p>
        </w:tc>
        <w:tc>
          <w:tcPr>
            <w:tcW w:w="971" w:type="dxa"/>
            <w:tcBorders>
              <w:top w:val="nil"/>
              <w:left w:val="nil"/>
              <w:bottom w:val="single" w:sz="8" w:space="0" w:color="auto"/>
              <w:right w:val="single" w:sz="8" w:space="0" w:color="auto"/>
            </w:tcBorders>
            <w:shd w:val="clear" w:color="auto" w:fill="auto"/>
            <w:noWrap/>
            <w:vAlign w:val="center"/>
            <w:hideMark/>
          </w:tcPr>
          <w:p w14:paraId="3E0990F8" w14:textId="77777777" w:rsidR="008A5924" w:rsidRPr="00184700" w:rsidRDefault="008A5924" w:rsidP="008A5924">
            <w:pPr>
              <w:keepNext/>
              <w:jc w:val="center"/>
              <w:rPr>
                <w:sz w:val="14"/>
                <w:szCs w:val="14"/>
                <w:lang w:eastAsia="es-GT"/>
              </w:rPr>
            </w:pPr>
            <w:r w:rsidRPr="00184700">
              <w:rPr>
                <w:sz w:val="14"/>
                <w:szCs w:val="14"/>
                <w:lang w:eastAsia="es-GT"/>
              </w:rPr>
              <w:t>77.8</w:t>
            </w:r>
          </w:p>
        </w:tc>
        <w:tc>
          <w:tcPr>
            <w:tcW w:w="728" w:type="dxa"/>
            <w:tcBorders>
              <w:top w:val="nil"/>
              <w:left w:val="nil"/>
              <w:bottom w:val="single" w:sz="8" w:space="0" w:color="auto"/>
              <w:right w:val="single" w:sz="8" w:space="0" w:color="auto"/>
            </w:tcBorders>
            <w:shd w:val="clear" w:color="auto" w:fill="auto"/>
            <w:noWrap/>
            <w:vAlign w:val="center"/>
            <w:hideMark/>
          </w:tcPr>
          <w:p w14:paraId="100B3F2E" w14:textId="77777777" w:rsidR="008A5924" w:rsidRPr="00184700" w:rsidRDefault="008A5924" w:rsidP="008A5924">
            <w:pPr>
              <w:keepNext/>
              <w:jc w:val="center"/>
              <w:rPr>
                <w:sz w:val="14"/>
                <w:szCs w:val="14"/>
                <w:lang w:eastAsia="es-GT"/>
              </w:rPr>
            </w:pPr>
            <w:r w:rsidRPr="00184700">
              <w:rPr>
                <w:sz w:val="14"/>
                <w:szCs w:val="14"/>
                <w:lang w:eastAsia="es-GT"/>
              </w:rPr>
              <w:t>90.1</w:t>
            </w:r>
          </w:p>
        </w:tc>
        <w:tc>
          <w:tcPr>
            <w:tcW w:w="607" w:type="dxa"/>
            <w:tcBorders>
              <w:top w:val="nil"/>
              <w:left w:val="nil"/>
              <w:bottom w:val="single" w:sz="8" w:space="0" w:color="auto"/>
              <w:right w:val="single" w:sz="8" w:space="0" w:color="auto"/>
            </w:tcBorders>
            <w:shd w:val="clear" w:color="auto" w:fill="auto"/>
            <w:noWrap/>
            <w:vAlign w:val="center"/>
            <w:hideMark/>
          </w:tcPr>
          <w:p w14:paraId="1A838D52" w14:textId="77777777" w:rsidR="008A5924" w:rsidRPr="00184700" w:rsidRDefault="008A5924" w:rsidP="008A5924">
            <w:pPr>
              <w:keepNext/>
              <w:jc w:val="center"/>
              <w:rPr>
                <w:sz w:val="14"/>
                <w:szCs w:val="14"/>
                <w:lang w:eastAsia="es-GT"/>
              </w:rPr>
            </w:pPr>
            <w:r w:rsidRPr="00184700">
              <w:rPr>
                <w:sz w:val="14"/>
                <w:szCs w:val="14"/>
                <w:lang w:eastAsia="es-GT"/>
              </w:rPr>
              <w:t>88.3</w:t>
            </w:r>
          </w:p>
        </w:tc>
        <w:tc>
          <w:tcPr>
            <w:tcW w:w="728" w:type="dxa"/>
            <w:tcBorders>
              <w:top w:val="nil"/>
              <w:left w:val="nil"/>
              <w:bottom w:val="single" w:sz="8" w:space="0" w:color="auto"/>
              <w:right w:val="single" w:sz="8" w:space="0" w:color="auto"/>
            </w:tcBorders>
            <w:shd w:val="clear" w:color="auto" w:fill="auto"/>
            <w:noWrap/>
            <w:vAlign w:val="center"/>
            <w:hideMark/>
          </w:tcPr>
          <w:p w14:paraId="43D152D0" w14:textId="77777777" w:rsidR="008A5924" w:rsidRPr="00184700" w:rsidRDefault="008A5924" w:rsidP="008A5924">
            <w:pPr>
              <w:keepNext/>
              <w:jc w:val="center"/>
              <w:rPr>
                <w:sz w:val="14"/>
                <w:szCs w:val="14"/>
                <w:lang w:eastAsia="es-GT"/>
              </w:rPr>
            </w:pPr>
            <w:r w:rsidRPr="00184700">
              <w:rPr>
                <w:sz w:val="14"/>
                <w:szCs w:val="14"/>
                <w:lang w:eastAsia="es-GT"/>
              </w:rPr>
              <w:t>105.9</w:t>
            </w:r>
          </w:p>
        </w:tc>
        <w:tc>
          <w:tcPr>
            <w:tcW w:w="506" w:type="dxa"/>
            <w:tcBorders>
              <w:top w:val="nil"/>
              <w:left w:val="nil"/>
              <w:bottom w:val="single" w:sz="8" w:space="0" w:color="auto"/>
              <w:right w:val="single" w:sz="8" w:space="0" w:color="auto"/>
            </w:tcBorders>
            <w:shd w:val="clear" w:color="auto" w:fill="auto"/>
            <w:noWrap/>
            <w:vAlign w:val="center"/>
            <w:hideMark/>
          </w:tcPr>
          <w:p w14:paraId="5062CF1A" w14:textId="77777777" w:rsidR="008A5924" w:rsidRPr="00184700" w:rsidRDefault="008A5924" w:rsidP="008A5924">
            <w:pPr>
              <w:keepNext/>
              <w:jc w:val="center"/>
              <w:rPr>
                <w:sz w:val="14"/>
                <w:szCs w:val="14"/>
                <w:lang w:eastAsia="es-GT"/>
              </w:rPr>
            </w:pPr>
            <w:r w:rsidRPr="00184700">
              <w:rPr>
                <w:sz w:val="14"/>
                <w:szCs w:val="14"/>
                <w:lang w:eastAsia="es-GT"/>
              </w:rPr>
              <w:t>112.8</w:t>
            </w:r>
          </w:p>
        </w:tc>
        <w:tc>
          <w:tcPr>
            <w:tcW w:w="586" w:type="dxa"/>
            <w:tcBorders>
              <w:top w:val="nil"/>
              <w:left w:val="nil"/>
              <w:bottom w:val="single" w:sz="8" w:space="0" w:color="auto"/>
              <w:right w:val="single" w:sz="8" w:space="0" w:color="auto"/>
            </w:tcBorders>
            <w:shd w:val="clear" w:color="auto" w:fill="auto"/>
            <w:noWrap/>
            <w:vAlign w:val="center"/>
            <w:hideMark/>
          </w:tcPr>
          <w:p w14:paraId="79AFF49B" w14:textId="77777777" w:rsidR="008A5924" w:rsidRPr="00184700" w:rsidRDefault="008A5924" w:rsidP="008A5924">
            <w:pPr>
              <w:keepNext/>
              <w:jc w:val="center"/>
              <w:rPr>
                <w:sz w:val="14"/>
                <w:szCs w:val="14"/>
                <w:lang w:eastAsia="es-GT"/>
              </w:rPr>
            </w:pPr>
            <w:r w:rsidRPr="00184700">
              <w:rPr>
                <w:sz w:val="14"/>
                <w:szCs w:val="14"/>
                <w:lang w:eastAsia="es-GT"/>
              </w:rPr>
              <w:t>61.5</w:t>
            </w:r>
          </w:p>
        </w:tc>
        <w:tc>
          <w:tcPr>
            <w:tcW w:w="607" w:type="dxa"/>
            <w:tcBorders>
              <w:top w:val="nil"/>
              <w:left w:val="nil"/>
              <w:bottom w:val="single" w:sz="8" w:space="0" w:color="auto"/>
              <w:right w:val="single" w:sz="8" w:space="0" w:color="auto"/>
            </w:tcBorders>
            <w:shd w:val="clear" w:color="auto" w:fill="auto"/>
            <w:noWrap/>
            <w:vAlign w:val="center"/>
            <w:hideMark/>
          </w:tcPr>
          <w:p w14:paraId="6E47C82E" w14:textId="77777777" w:rsidR="008A5924" w:rsidRPr="00184700" w:rsidRDefault="008A5924" w:rsidP="008A5924">
            <w:pPr>
              <w:keepNext/>
              <w:jc w:val="center"/>
              <w:rPr>
                <w:sz w:val="14"/>
                <w:szCs w:val="14"/>
                <w:lang w:eastAsia="es-GT"/>
              </w:rPr>
            </w:pPr>
            <w:r w:rsidRPr="00184700">
              <w:rPr>
                <w:sz w:val="14"/>
                <w:szCs w:val="14"/>
                <w:lang w:eastAsia="es-GT"/>
              </w:rPr>
              <w:t>38.7</w:t>
            </w:r>
          </w:p>
        </w:tc>
        <w:tc>
          <w:tcPr>
            <w:tcW w:w="485" w:type="dxa"/>
            <w:tcBorders>
              <w:top w:val="nil"/>
              <w:left w:val="nil"/>
              <w:bottom w:val="single" w:sz="8" w:space="0" w:color="auto"/>
              <w:right w:val="single" w:sz="8" w:space="0" w:color="auto"/>
            </w:tcBorders>
            <w:shd w:val="clear" w:color="auto" w:fill="auto"/>
            <w:noWrap/>
            <w:vAlign w:val="center"/>
            <w:hideMark/>
          </w:tcPr>
          <w:p w14:paraId="52D77FE0" w14:textId="77777777" w:rsidR="008A5924" w:rsidRPr="00184700" w:rsidRDefault="008A5924" w:rsidP="008A5924">
            <w:pPr>
              <w:keepNext/>
              <w:jc w:val="center"/>
              <w:rPr>
                <w:sz w:val="14"/>
                <w:szCs w:val="14"/>
                <w:lang w:eastAsia="es-GT"/>
              </w:rPr>
            </w:pPr>
            <w:r w:rsidRPr="00184700">
              <w:rPr>
                <w:sz w:val="14"/>
                <w:szCs w:val="14"/>
                <w:lang w:eastAsia="es-GT"/>
              </w:rPr>
              <w:t>51.4</w:t>
            </w:r>
          </w:p>
        </w:tc>
        <w:tc>
          <w:tcPr>
            <w:tcW w:w="788" w:type="dxa"/>
            <w:tcBorders>
              <w:top w:val="nil"/>
              <w:left w:val="nil"/>
              <w:bottom w:val="single" w:sz="8" w:space="0" w:color="auto"/>
              <w:right w:val="single" w:sz="8" w:space="0" w:color="auto"/>
            </w:tcBorders>
            <w:shd w:val="clear" w:color="auto" w:fill="auto"/>
            <w:noWrap/>
            <w:vAlign w:val="center"/>
            <w:hideMark/>
          </w:tcPr>
          <w:p w14:paraId="30519542" w14:textId="77777777" w:rsidR="008A5924" w:rsidRPr="00184700" w:rsidRDefault="008A5924" w:rsidP="008A5924">
            <w:pPr>
              <w:keepNext/>
              <w:jc w:val="center"/>
              <w:rPr>
                <w:sz w:val="14"/>
                <w:szCs w:val="14"/>
                <w:lang w:eastAsia="es-GT"/>
              </w:rPr>
            </w:pPr>
            <w:r w:rsidRPr="00184700">
              <w:rPr>
                <w:sz w:val="14"/>
                <w:szCs w:val="14"/>
                <w:lang w:eastAsia="es-GT"/>
              </w:rPr>
              <w:t>72.6</w:t>
            </w:r>
          </w:p>
        </w:tc>
        <w:tc>
          <w:tcPr>
            <w:tcW w:w="960" w:type="dxa"/>
            <w:tcBorders>
              <w:top w:val="nil"/>
              <w:left w:val="nil"/>
              <w:bottom w:val="single" w:sz="8" w:space="0" w:color="auto"/>
              <w:right w:val="single" w:sz="8" w:space="0" w:color="auto"/>
            </w:tcBorders>
            <w:shd w:val="clear" w:color="auto" w:fill="auto"/>
            <w:noWrap/>
            <w:vAlign w:val="center"/>
            <w:hideMark/>
          </w:tcPr>
          <w:p w14:paraId="44D7D97F" w14:textId="77777777" w:rsidR="008A5924" w:rsidRPr="00184700" w:rsidRDefault="008A5924" w:rsidP="008A5924">
            <w:pPr>
              <w:keepNext/>
              <w:jc w:val="center"/>
              <w:rPr>
                <w:sz w:val="14"/>
                <w:szCs w:val="14"/>
                <w:lang w:eastAsia="es-GT"/>
              </w:rPr>
            </w:pPr>
            <w:r w:rsidRPr="00184700">
              <w:rPr>
                <w:sz w:val="14"/>
                <w:szCs w:val="14"/>
                <w:lang w:eastAsia="es-GT"/>
              </w:rPr>
              <w:t>699.1</w:t>
            </w:r>
          </w:p>
        </w:tc>
      </w:tr>
    </w:tbl>
    <w:p w14:paraId="003A6DBD" w14:textId="77777777" w:rsidR="008A5924" w:rsidRPr="00D42129" w:rsidRDefault="00D42129" w:rsidP="008A5924">
      <w:pPr>
        <w:rPr>
          <w:sz w:val="16"/>
          <w:lang w:val="es-MX"/>
        </w:rPr>
      </w:pPr>
      <w:r>
        <w:rPr>
          <w:sz w:val="16"/>
          <w:lang w:val="es-MX"/>
        </w:rPr>
        <w:t xml:space="preserve">             </w:t>
      </w:r>
      <w:r w:rsidR="008A5924" w:rsidRPr="00D42129">
        <w:rPr>
          <w:sz w:val="16"/>
          <w:lang w:val="es-MX"/>
        </w:rPr>
        <w:t xml:space="preserve">Fuente: Sistema de recaudación SAT.  </w:t>
      </w:r>
    </w:p>
    <w:tbl>
      <w:tblPr>
        <w:tblW w:w="8980" w:type="dxa"/>
        <w:jc w:val="center"/>
        <w:tblCellMar>
          <w:left w:w="70" w:type="dxa"/>
          <w:right w:w="70" w:type="dxa"/>
        </w:tblCellMar>
        <w:tblLook w:val="04A0" w:firstRow="1" w:lastRow="0" w:firstColumn="1" w:lastColumn="0" w:noHBand="0" w:noVBand="1"/>
      </w:tblPr>
      <w:tblGrid>
        <w:gridCol w:w="8980"/>
      </w:tblGrid>
      <w:tr w:rsidR="008A5924" w:rsidRPr="00D42129" w14:paraId="0F883886" w14:textId="77777777" w:rsidTr="00D42129">
        <w:trPr>
          <w:trHeight w:val="352"/>
          <w:jc w:val="center"/>
        </w:trPr>
        <w:tc>
          <w:tcPr>
            <w:tcW w:w="8980" w:type="dxa"/>
            <w:tcBorders>
              <w:top w:val="nil"/>
              <w:left w:val="nil"/>
              <w:bottom w:val="nil"/>
              <w:right w:val="nil"/>
            </w:tcBorders>
            <w:shd w:val="clear" w:color="auto" w:fill="auto"/>
            <w:vAlign w:val="center"/>
            <w:hideMark/>
          </w:tcPr>
          <w:p w14:paraId="5C909F49" w14:textId="77777777" w:rsidR="008A5924" w:rsidRPr="00D42129" w:rsidRDefault="008A5924" w:rsidP="008A5924">
            <w:pPr>
              <w:rPr>
                <w:sz w:val="16"/>
                <w:lang w:val="es-MX"/>
              </w:rPr>
            </w:pPr>
            <w:r w:rsidRPr="00D42129">
              <w:rPr>
                <w:sz w:val="16"/>
                <w:lang w:val="es-MX"/>
              </w:rPr>
              <w:t>1/ Los contribuyentes incluidos en cada sector corresponde al padrón de las empresas y/o titulares de licencias que obran en los registros del Ministerio de Energía y Minas.</w:t>
            </w:r>
          </w:p>
          <w:p w14:paraId="333B9321" w14:textId="77777777" w:rsidR="008A5924" w:rsidRPr="00D42129" w:rsidRDefault="008A5924" w:rsidP="008A5924">
            <w:pPr>
              <w:rPr>
                <w:sz w:val="16"/>
                <w:lang w:val="es-MX"/>
              </w:rPr>
            </w:pPr>
            <w:r w:rsidRPr="00D42129">
              <w:rPr>
                <w:sz w:val="16"/>
                <w:vertAlign w:val="superscript"/>
              </w:rPr>
              <w:t xml:space="preserve">/2 </w:t>
            </w:r>
            <w:r w:rsidRPr="00D42129">
              <w:rPr>
                <w:sz w:val="16"/>
                <w:lang w:val="es-MX"/>
              </w:rPr>
              <w:t>corresponde al pago de las obligaciones propias, excluye las retenciones a terceros.</w:t>
            </w:r>
          </w:p>
        </w:tc>
      </w:tr>
      <w:tr w:rsidR="008A5924" w:rsidRPr="00D42129" w14:paraId="625E6904" w14:textId="77777777" w:rsidTr="00D42129">
        <w:trPr>
          <w:trHeight w:val="225"/>
          <w:jc w:val="center"/>
        </w:trPr>
        <w:tc>
          <w:tcPr>
            <w:tcW w:w="8980" w:type="dxa"/>
            <w:tcBorders>
              <w:top w:val="nil"/>
              <w:left w:val="nil"/>
              <w:bottom w:val="nil"/>
              <w:right w:val="nil"/>
            </w:tcBorders>
            <w:shd w:val="clear" w:color="auto" w:fill="auto"/>
            <w:noWrap/>
            <w:vAlign w:val="bottom"/>
            <w:hideMark/>
          </w:tcPr>
          <w:p w14:paraId="77ED36DB" w14:textId="77777777" w:rsidR="008A5924" w:rsidRPr="00D42129" w:rsidRDefault="008A5924" w:rsidP="008A5924">
            <w:pPr>
              <w:rPr>
                <w:sz w:val="16"/>
                <w:lang w:val="es-MX"/>
              </w:rPr>
            </w:pPr>
            <w:r w:rsidRPr="00D42129">
              <w:rPr>
                <w:sz w:val="16"/>
                <w:lang w:val="es-MX"/>
              </w:rPr>
              <w:t>*Nota: información  de los años 2016 a 2018 aún pendientes de conciliar con EITI-Guatemala y puede variar según el padrón de contribuyentes proporcionado.</w:t>
            </w:r>
          </w:p>
        </w:tc>
      </w:tr>
    </w:tbl>
    <w:p w14:paraId="5AEFA93A" w14:textId="77777777" w:rsidR="008A5924" w:rsidRPr="00184700" w:rsidRDefault="008A5924" w:rsidP="008A5924">
      <w:pPr>
        <w:rPr>
          <w:sz w:val="16"/>
        </w:rPr>
      </w:pPr>
    </w:p>
    <w:p w14:paraId="373BE9B1" w14:textId="77777777" w:rsidR="008A5924" w:rsidRPr="000D31D5" w:rsidRDefault="008A5924" w:rsidP="008A5924">
      <w:pPr>
        <w:jc w:val="both"/>
        <w:rPr>
          <w:sz w:val="24"/>
          <w:szCs w:val="24"/>
        </w:rPr>
      </w:pPr>
      <w:r w:rsidRPr="000D31D5">
        <w:rPr>
          <w:sz w:val="24"/>
          <w:szCs w:val="24"/>
        </w:rPr>
        <w:t xml:space="preserve">En el caso de las obligaciones tributarias, de acuerdo con la información disponible en el portal de la Superintendencia de Administración Tributaria, y en los Informes de Conciliación de la Iniciativa EITI-GUA el Sector Hidrocarburos realizó pagos en concepto de Impuesto Sobre la Renta para el periodo 2010 al 2017 por un monto acumulado de Q626.3 millones. </w:t>
      </w:r>
    </w:p>
    <w:p w14:paraId="1080FA0E" w14:textId="77777777" w:rsidR="008A5924" w:rsidRPr="000D31D5" w:rsidRDefault="008A5924" w:rsidP="008A5924">
      <w:pPr>
        <w:jc w:val="both"/>
        <w:rPr>
          <w:sz w:val="24"/>
          <w:szCs w:val="24"/>
        </w:rPr>
      </w:pPr>
    </w:p>
    <w:p w14:paraId="3F059AE4" w14:textId="77777777" w:rsidR="008A5924" w:rsidRPr="000D31D5" w:rsidRDefault="008A5924" w:rsidP="008A5924">
      <w:pPr>
        <w:jc w:val="both"/>
        <w:rPr>
          <w:sz w:val="24"/>
          <w:szCs w:val="24"/>
        </w:rPr>
      </w:pPr>
      <w:r w:rsidRPr="000D31D5">
        <w:rPr>
          <w:sz w:val="24"/>
          <w:szCs w:val="24"/>
        </w:rPr>
        <w:t>Respecto de la recaudación por concepto de regalías petroleras e Hidrocarburos Compartibles; la mayor participación sectorial para el periodo se observó en el 2008, ejercicio en el cual, las regalías se ubicaron en el orden de los Q168.1 millones, mientras que la participación estatal fue por un monto de Q1,059.0 millones; repr</w:t>
      </w:r>
      <w:r w:rsidR="00985B91" w:rsidRPr="000D31D5">
        <w:rPr>
          <w:sz w:val="24"/>
          <w:szCs w:val="24"/>
        </w:rPr>
        <w:t>esentando en conjunto el 3.7 ciento</w:t>
      </w:r>
      <w:r w:rsidRPr="000D31D5">
        <w:rPr>
          <w:sz w:val="24"/>
          <w:szCs w:val="24"/>
        </w:rPr>
        <w:t xml:space="preserve"> de la recaudación total neta, el comportamiento estuvo relacionado con el incremento en los precios internacionales del crudo. </w:t>
      </w:r>
    </w:p>
    <w:p w14:paraId="5513F252" w14:textId="77777777" w:rsidR="008A5924" w:rsidRPr="00184700" w:rsidRDefault="008A5924" w:rsidP="008A5924">
      <w:pPr>
        <w:rPr>
          <w:sz w:val="16"/>
        </w:rPr>
      </w:pPr>
    </w:p>
    <w:p w14:paraId="7944174A" w14:textId="05DD7123" w:rsidR="008A5924" w:rsidRPr="000D31D5" w:rsidRDefault="008A5924" w:rsidP="008A5924">
      <w:pPr>
        <w:pStyle w:val="Descripcin"/>
        <w:keepNext/>
        <w:rPr>
          <w:color w:val="000000" w:themeColor="text1"/>
          <w:sz w:val="16"/>
        </w:rPr>
      </w:pPr>
      <w:bookmarkStart w:id="210" w:name="_Toc16242996"/>
      <w:r w:rsidRPr="000D31D5">
        <w:rPr>
          <w:color w:val="000000" w:themeColor="text1"/>
        </w:rPr>
        <w:t xml:space="preserve">Gráfico  </w:t>
      </w:r>
      <w:r w:rsidRPr="000D31D5">
        <w:rPr>
          <w:color w:val="000000" w:themeColor="text1"/>
        </w:rPr>
        <w:fldChar w:fldCharType="begin"/>
      </w:r>
      <w:r w:rsidRPr="000D31D5">
        <w:rPr>
          <w:color w:val="000000" w:themeColor="text1"/>
        </w:rPr>
        <w:instrText xml:space="preserve"> SEQ Gráfico_ \* ARABIC </w:instrText>
      </w:r>
      <w:r w:rsidRPr="000D31D5">
        <w:rPr>
          <w:color w:val="000000" w:themeColor="text1"/>
        </w:rPr>
        <w:fldChar w:fldCharType="separate"/>
      </w:r>
      <w:r w:rsidR="004B2A60">
        <w:rPr>
          <w:noProof/>
          <w:color w:val="000000" w:themeColor="text1"/>
        </w:rPr>
        <w:t>33</w:t>
      </w:r>
      <w:r w:rsidRPr="000D31D5">
        <w:rPr>
          <w:noProof/>
          <w:color w:val="000000" w:themeColor="text1"/>
        </w:rPr>
        <w:fldChar w:fldCharType="end"/>
      </w:r>
      <w:r w:rsidRPr="000D31D5">
        <w:rPr>
          <w:color w:val="000000" w:themeColor="text1"/>
        </w:rPr>
        <w:t>: Ingresos Fiscales: regalías y participación estatal en la producción petrolera</w:t>
      </w:r>
      <w:bookmarkEnd w:id="210"/>
    </w:p>
    <w:p w14:paraId="443E7A7A" w14:textId="77777777" w:rsidR="008A5924" w:rsidRDefault="008A5924" w:rsidP="008A5924">
      <w:pPr>
        <w:keepNext/>
        <w:autoSpaceDE w:val="0"/>
        <w:autoSpaceDN w:val="0"/>
        <w:adjustRightInd w:val="0"/>
        <w:jc w:val="center"/>
        <w:rPr>
          <w:sz w:val="16"/>
        </w:rPr>
      </w:pPr>
      <w:r w:rsidRPr="00184700">
        <w:rPr>
          <w:sz w:val="16"/>
        </w:rPr>
        <w:t>Porcentaje de participación en la Recaudación Tributaria Neta, Periodo 2004-2018</w:t>
      </w:r>
    </w:p>
    <w:p w14:paraId="2BED7942" w14:textId="77777777" w:rsidR="00056555" w:rsidRDefault="00056555" w:rsidP="008A5924">
      <w:pPr>
        <w:keepNext/>
        <w:autoSpaceDE w:val="0"/>
        <w:autoSpaceDN w:val="0"/>
        <w:adjustRightInd w:val="0"/>
        <w:jc w:val="center"/>
        <w:rPr>
          <w:sz w:val="16"/>
        </w:rPr>
      </w:pPr>
    </w:p>
    <w:p w14:paraId="505191C6" w14:textId="77777777" w:rsidR="009C111D" w:rsidRPr="00184700" w:rsidRDefault="009C111D" w:rsidP="008A5924">
      <w:pPr>
        <w:keepNext/>
        <w:autoSpaceDE w:val="0"/>
        <w:autoSpaceDN w:val="0"/>
        <w:adjustRightInd w:val="0"/>
        <w:jc w:val="center"/>
        <w:rPr>
          <w:sz w:val="16"/>
        </w:rPr>
      </w:pPr>
    </w:p>
    <w:p w14:paraId="645226A1" w14:textId="77777777" w:rsidR="008A5924" w:rsidRPr="00184700" w:rsidRDefault="008A5924" w:rsidP="008A5924">
      <w:pPr>
        <w:autoSpaceDE w:val="0"/>
        <w:autoSpaceDN w:val="0"/>
        <w:adjustRightInd w:val="0"/>
        <w:jc w:val="center"/>
        <w:rPr>
          <w:lang w:val="es-MX"/>
        </w:rPr>
      </w:pPr>
      <w:r w:rsidRPr="00184700">
        <w:rPr>
          <w:noProof/>
          <w:sz w:val="36"/>
          <w:lang w:val="es-GT" w:eastAsia="es-GT"/>
        </w:rPr>
        <w:drawing>
          <wp:inline distT="0" distB="0" distL="0" distR="0" wp14:anchorId="62BC088A" wp14:editId="62A07477">
            <wp:extent cx="5677469" cy="2879678"/>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A0D630" w14:textId="77777777" w:rsidR="008A5924" w:rsidRPr="00D42129" w:rsidRDefault="00D42129" w:rsidP="008A5924">
      <w:pPr>
        <w:rPr>
          <w:sz w:val="16"/>
          <w:lang w:val="es-MX"/>
        </w:rPr>
      </w:pPr>
      <w:r>
        <w:rPr>
          <w:sz w:val="16"/>
          <w:lang w:val="es-MX"/>
        </w:rPr>
        <w:t xml:space="preserve">                 </w:t>
      </w:r>
      <w:r w:rsidR="008A5924" w:rsidRPr="00D42129">
        <w:rPr>
          <w:sz w:val="16"/>
          <w:lang w:val="es-MX"/>
        </w:rPr>
        <w:t>Fuente: Sistema de contabilidad integrado –SICOIN- Ministerio de Finanzas Públicas.</w:t>
      </w:r>
    </w:p>
    <w:p w14:paraId="3B45D843" w14:textId="77777777" w:rsidR="008A5924" w:rsidRPr="00184700" w:rsidRDefault="008A5924" w:rsidP="008A5924">
      <w:pPr>
        <w:jc w:val="both"/>
      </w:pPr>
    </w:p>
    <w:p w14:paraId="0186609B" w14:textId="77777777" w:rsidR="008A5924" w:rsidRPr="000D31D5" w:rsidRDefault="008A5924" w:rsidP="008A5924">
      <w:pPr>
        <w:jc w:val="both"/>
        <w:rPr>
          <w:sz w:val="24"/>
          <w:szCs w:val="24"/>
        </w:rPr>
      </w:pPr>
      <w:r w:rsidRPr="000D31D5">
        <w:rPr>
          <w:sz w:val="24"/>
          <w:szCs w:val="24"/>
        </w:rPr>
        <w:t xml:space="preserve">En función del declive de la producción nacional y la disminución del precio a nivel internacional durante el periodo 2012 a 2016 se observó la mayor contracción en los ingresos </w:t>
      </w:r>
      <w:r w:rsidR="00570EFC" w:rsidRPr="000D31D5">
        <w:rPr>
          <w:sz w:val="24"/>
          <w:szCs w:val="24"/>
        </w:rPr>
        <w:t>Q101.7 millones (Q71.5 millones</w:t>
      </w:r>
      <w:r w:rsidRPr="000D31D5">
        <w:rPr>
          <w:sz w:val="24"/>
          <w:szCs w:val="24"/>
        </w:rPr>
        <w:t xml:space="preserve"> en regalías y Q30.2 millones en hidrocarburos compartibles</w:t>
      </w:r>
      <w:r w:rsidR="00985B91" w:rsidRPr="000D31D5">
        <w:rPr>
          <w:sz w:val="24"/>
          <w:szCs w:val="24"/>
        </w:rPr>
        <w:t>) que representan tan solo el 8 por ciento</w:t>
      </w:r>
      <w:r w:rsidRPr="000D31D5">
        <w:rPr>
          <w:sz w:val="24"/>
          <w:szCs w:val="24"/>
        </w:rPr>
        <w:t xml:space="preserve"> de la recaudación observada en 2016.</w:t>
      </w:r>
    </w:p>
    <w:p w14:paraId="1B34BAC1" w14:textId="77777777" w:rsidR="0072128E" w:rsidRDefault="0072128E" w:rsidP="008A5924">
      <w:pPr>
        <w:jc w:val="both"/>
        <w:rPr>
          <w:sz w:val="24"/>
          <w:szCs w:val="24"/>
        </w:rPr>
      </w:pPr>
    </w:p>
    <w:p w14:paraId="50ED4A8A" w14:textId="77777777" w:rsidR="008A5924" w:rsidRPr="000D31D5" w:rsidRDefault="008A5924" w:rsidP="008A5924">
      <w:pPr>
        <w:jc w:val="both"/>
        <w:rPr>
          <w:sz w:val="24"/>
          <w:szCs w:val="24"/>
        </w:rPr>
      </w:pPr>
      <w:r w:rsidRPr="000D31D5">
        <w:rPr>
          <w:sz w:val="24"/>
          <w:szCs w:val="24"/>
        </w:rPr>
        <w:t>De acuerdo con la Ley de Fonpetrol; de lo recaudado anualmente en concepto de regalías y participación estatal en l</w:t>
      </w:r>
      <w:r w:rsidR="00985B91" w:rsidRPr="000D31D5">
        <w:rPr>
          <w:sz w:val="24"/>
          <w:szCs w:val="24"/>
        </w:rPr>
        <w:t>as operaciones petroleras, el 5 por ciento</w:t>
      </w:r>
      <w:r w:rsidRPr="000D31D5">
        <w:rPr>
          <w:sz w:val="24"/>
          <w:szCs w:val="24"/>
        </w:rPr>
        <w:t xml:space="preserve"> debe distribuirse entre los Consejos Departamentales de Desarrollo del país, proporcionalmente al número de habitantes que establezca el Instituto Nacional de Estadística para cada departamento. Durante el periodo, en función a dicha distribución el CODEDE de Guatemala recibió durante el periodo un total del Q63.</w:t>
      </w:r>
      <w:r w:rsidR="00985B91" w:rsidRPr="000D31D5">
        <w:rPr>
          <w:sz w:val="24"/>
          <w:szCs w:val="24"/>
        </w:rPr>
        <w:t>0 millones equivalentes al 4.91 por ciento</w:t>
      </w:r>
      <w:r w:rsidRPr="000D31D5">
        <w:rPr>
          <w:sz w:val="24"/>
          <w:szCs w:val="24"/>
        </w:rPr>
        <w:t xml:space="preserve"> de los aportes. </w:t>
      </w:r>
    </w:p>
    <w:p w14:paraId="3A517FF7" w14:textId="77777777" w:rsidR="008A5924" w:rsidRPr="000D31D5" w:rsidRDefault="008A5924" w:rsidP="008A5924">
      <w:pPr>
        <w:jc w:val="both"/>
        <w:rPr>
          <w:sz w:val="24"/>
          <w:szCs w:val="24"/>
        </w:rPr>
      </w:pPr>
    </w:p>
    <w:p w14:paraId="63A6F135" w14:textId="77777777" w:rsidR="008A5924" w:rsidRPr="000D31D5" w:rsidRDefault="00985B91" w:rsidP="008A5924">
      <w:pPr>
        <w:jc w:val="both"/>
        <w:rPr>
          <w:sz w:val="24"/>
          <w:szCs w:val="24"/>
        </w:rPr>
      </w:pPr>
      <w:r w:rsidRPr="000D31D5">
        <w:rPr>
          <w:sz w:val="24"/>
          <w:szCs w:val="24"/>
        </w:rPr>
        <w:t>Otro 20 por ciento</w:t>
      </w:r>
      <w:r w:rsidR="008A5924" w:rsidRPr="000D31D5">
        <w:rPr>
          <w:sz w:val="24"/>
          <w:szCs w:val="24"/>
        </w:rPr>
        <w:t xml:space="preserve"> de lo recaudado, debe distribuirse entre los Consejos Departamentales de Desarrollo de los departamentos donde se lleven a cabo operaciones petroleras, en base al porcentaje de producción que se realice en cada departamento. </w:t>
      </w:r>
    </w:p>
    <w:p w14:paraId="16806D3A" w14:textId="77777777" w:rsidR="008A5924" w:rsidRPr="000D31D5" w:rsidRDefault="008A5924" w:rsidP="008A5924">
      <w:pPr>
        <w:jc w:val="both"/>
        <w:rPr>
          <w:sz w:val="24"/>
          <w:szCs w:val="24"/>
        </w:rPr>
      </w:pPr>
    </w:p>
    <w:p w14:paraId="57EAFDEB" w14:textId="77777777" w:rsidR="008A5924" w:rsidRPr="000D31D5" w:rsidRDefault="008A5924" w:rsidP="008A5924">
      <w:pPr>
        <w:jc w:val="both"/>
        <w:rPr>
          <w:sz w:val="24"/>
          <w:szCs w:val="24"/>
        </w:rPr>
      </w:pPr>
      <w:r w:rsidRPr="000D31D5">
        <w:rPr>
          <w:sz w:val="24"/>
          <w:szCs w:val="24"/>
        </w:rPr>
        <w:t>De acuerdo con lo establecido, durante el periodo 2010-2018 se transfirieron a favor de los Consejos Departamentales de Desarrollo Q.1,284.11 millones; el principal aporte se realizó al CODEDE de Petén con Q1,003.26</w:t>
      </w:r>
      <w:r w:rsidR="00985B91" w:rsidRPr="000D31D5">
        <w:rPr>
          <w:sz w:val="24"/>
          <w:szCs w:val="24"/>
        </w:rPr>
        <w:t xml:space="preserve"> millones equivalentes al 78.13 por ciento</w:t>
      </w:r>
      <w:r w:rsidRPr="000D31D5">
        <w:rPr>
          <w:sz w:val="24"/>
          <w:szCs w:val="24"/>
        </w:rPr>
        <w:t>; el CODEDE de Alta Verapaz, complementa las transferencias hacia los departamentos donde se desarrolla</w:t>
      </w:r>
      <w:r w:rsidR="00985B91" w:rsidRPr="000D31D5">
        <w:rPr>
          <w:sz w:val="24"/>
          <w:szCs w:val="24"/>
        </w:rPr>
        <w:t xml:space="preserve"> explotación petrolera con 1.43 por ciento</w:t>
      </w:r>
      <w:r w:rsidRPr="000D31D5">
        <w:rPr>
          <w:sz w:val="24"/>
          <w:szCs w:val="24"/>
        </w:rPr>
        <w:t xml:space="preserve"> equivalentes a Q 18.31 millones.</w:t>
      </w:r>
    </w:p>
    <w:p w14:paraId="6D1C14E2" w14:textId="77777777" w:rsidR="008A5924" w:rsidRPr="00184700" w:rsidRDefault="008A5924" w:rsidP="008A5924">
      <w:pPr>
        <w:jc w:val="center"/>
        <w:rPr>
          <w:sz w:val="16"/>
        </w:rPr>
      </w:pPr>
    </w:p>
    <w:p w14:paraId="695A0D3F" w14:textId="34FDFDF0" w:rsidR="008A5924" w:rsidRPr="00A07D95" w:rsidRDefault="008A5924" w:rsidP="008A5924">
      <w:pPr>
        <w:pStyle w:val="Descripcin"/>
        <w:keepNext/>
        <w:autoSpaceDE w:val="0"/>
        <w:autoSpaceDN w:val="0"/>
        <w:adjustRightInd w:val="0"/>
        <w:rPr>
          <w:color w:val="000000" w:themeColor="text1"/>
          <w:sz w:val="16"/>
        </w:rPr>
      </w:pPr>
      <w:bookmarkStart w:id="211" w:name="_Toc16242997"/>
      <w:r w:rsidRPr="00A07D95">
        <w:rPr>
          <w:color w:val="000000" w:themeColor="text1"/>
        </w:rPr>
        <w:t xml:space="preserve">Gráfico  </w:t>
      </w:r>
      <w:r w:rsidRPr="00A07D95">
        <w:rPr>
          <w:color w:val="000000" w:themeColor="text1"/>
        </w:rPr>
        <w:fldChar w:fldCharType="begin"/>
      </w:r>
      <w:r w:rsidRPr="00A07D95">
        <w:rPr>
          <w:color w:val="000000" w:themeColor="text1"/>
        </w:rPr>
        <w:instrText xml:space="preserve"> SEQ Gráfico_ \* ARABIC </w:instrText>
      </w:r>
      <w:r w:rsidRPr="00A07D95">
        <w:rPr>
          <w:color w:val="000000" w:themeColor="text1"/>
        </w:rPr>
        <w:fldChar w:fldCharType="separate"/>
      </w:r>
      <w:r w:rsidR="004B2A60">
        <w:rPr>
          <w:noProof/>
          <w:color w:val="000000" w:themeColor="text1"/>
        </w:rPr>
        <w:t>34</w:t>
      </w:r>
      <w:r w:rsidRPr="00A07D95">
        <w:rPr>
          <w:noProof/>
          <w:color w:val="000000" w:themeColor="text1"/>
        </w:rPr>
        <w:fldChar w:fldCharType="end"/>
      </w:r>
      <w:r w:rsidRPr="00A07D95">
        <w:rPr>
          <w:color w:val="000000" w:themeColor="text1"/>
        </w:rPr>
        <w:t>: Recursos transferidos a los Consejos Departamentales de Desarrollo</w:t>
      </w:r>
      <w:bookmarkEnd w:id="211"/>
      <w:r w:rsidRPr="00A07D95">
        <w:rPr>
          <w:color w:val="000000" w:themeColor="text1"/>
          <w:sz w:val="16"/>
        </w:rPr>
        <w:t xml:space="preserve"> </w:t>
      </w:r>
    </w:p>
    <w:p w14:paraId="3EBB2080" w14:textId="77777777" w:rsidR="008A5924" w:rsidRPr="00184700" w:rsidRDefault="008A5924" w:rsidP="008A5924">
      <w:pPr>
        <w:keepNext/>
        <w:autoSpaceDE w:val="0"/>
        <w:autoSpaceDN w:val="0"/>
        <w:adjustRightInd w:val="0"/>
        <w:jc w:val="center"/>
        <w:rPr>
          <w:sz w:val="16"/>
        </w:rPr>
      </w:pPr>
      <w:r w:rsidRPr="00184700">
        <w:rPr>
          <w:sz w:val="16"/>
        </w:rPr>
        <w:t>Participación de los ingresos procedentes de la explotación petrolera en función de FONPETROL, Periodo 2010-2018</w:t>
      </w:r>
    </w:p>
    <w:p w14:paraId="2BDA9695" w14:textId="77777777" w:rsidR="008A5924" w:rsidRDefault="008A5924" w:rsidP="008A5924">
      <w:pPr>
        <w:keepNext/>
        <w:autoSpaceDE w:val="0"/>
        <w:autoSpaceDN w:val="0"/>
        <w:adjustRightInd w:val="0"/>
        <w:jc w:val="center"/>
        <w:rPr>
          <w:sz w:val="16"/>
        </w:rPr>
      </w:pPr>
      <w:r w:rsidRPr="00184700">
        <w:rPr>
          <w:sz w:val="16"/>
        </w:rPr>
        <w:t>Cifras en millones de quetzales y porcentajes</w:t>
      </w:r>
    </w:p>
    <w:p w14:paraId="7BCFA1ED" w14:textId="77777777" w:rsidR="003648F1" w:rsidRPr="00184700" w:rsidRDefault="003648F1" w:rsidP="008A5924">
      <w:pPr>
        <w:keepNext/>
        <w:autoSpaceDE w:val="0"/>
        <w:autoSpaceDN w:val="0"/>
        <w:adjustRightInd w:val="0"/>
        <w:jc w:val="center"/>
        <w:rPr>
          <w:sz w:val="16"/>
        </w:rPr>
      </w:pPr>
    </w:p>
    <w:p w14:paraId="6783EC18" w14:textId="77777777" w:rsidR="008A5924" w:rsidRPr="00184700" w:rsidRDefault="008A5924" w:rsidP="008A5924">
      <w:pPr>
        <w:autoSpaceDE w:val="0"/>
        <w:autoSpaceDN w:val="0"/>
        <w:adjustRightInd w:val="0"/>
        <w:jc w:val="center"/>
        <w:rPr>
          <w:sz w:val="16"/>
        </w:rPr>
      </w:pPr>
      <w:r w:rsidRPr="00184700">
        <w:rPr>
          <w:noProof/>
          <w:sz w:val="16"/>
          <w:lang w:val="es-GT" w:eastAsia="es-GT"/>
        </w:rPr>
        <w:drawing>
          <wp:anchor distT="0" distB="0" distL="114300" distR="114300" simplePos="0" relativeHeight="251659264" behindDoc="0" locked="0" layoutInCell="1" allowOverlap="1" wp14:anchorId="40A0ED5F" wp14:editId="4CD70BDD">
            <wp:simplePos x="0" y="0"/>
            <wp:positionH relativeFrom="column">
              <wp:posOffset>1799520</wp:posOffset>
            </wp:positionH>
            <wp:positionV relativeFrom="paragraph">
              <wp:posOffset>389313</wp:posOffset>
            </wp:positionV>
            <wp:extent cx="3777838" cy="303410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7838" cy="3034105"/>
                    </a:xfrm>
                    <a:prstGeom prst="rect">
                      <a:avLst/>
                    </a:prstGeom>
                    <a:noFill/>
                  </pic:spPr>
                </pic:pic>
              </a:graphicData>
            </a:graphic>
            <wp14:sizeRelH relativeFrom="page">
              <wp14:pctWidth>0</wp14:pctWidth>
            </wp14:sizeRelH>
            <wp14:sizeRelV relativeFrom="page">
              <wp14:pctHeight>0</wp14:pctHeight>
            </wp14:sizeRelV>
          </wp:anchor>
        </w:drawing>
      </w:r>
      <w:r w:rsidRPr="00184700">
        <w:rPr>
          <w:noProof/>
          <w:lang w:val="es-GT" w:eastAsia="es-GT"/>
        </w:rPr>
        <w:drawing>
          <wp:inline distT="0" distB="0" distL="0" distR="0" wp14:anchorId="56E7BFA1" wp14:editId="13AF6220">
            <wp:extent cx="5533901" cy="3823854"/>
            <wp:effectExtent l="0" t="0" r="0" b="571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B053D3E" w14:textId="77777777" w:rsidR="008A5924" w:rsidRPr="00D42129" w:rsidRDefault="00D42129" w:rsidP="008A5924">
      <w:pPr>
        <w:rPr>
          <w:sz w:val="18"/>
          <w:lang w:val="es-MX"/>
        </w:rPr>
      </w:pPr>
      <w:r w:rsidRPr="00D36DD8">
        <w:rPr>
          <w:b/>
          <w:sz w:val="18"/>
          <w:lang w:val="es-MX"/>
        </w:rPr>
        <w:t xml:space="preserve">                         </w:t>
      </w:r>
      <w:r w:rsidR="008A5924" w:rsidRPr="00D36DD8">
        <w:rPr>
          <w:b/>
          <w:sz w:val="18"/>
          <w:lang w:val="es-MX"/>
        </w:rPr>
        <w:t>Fuente:</w:t>
      </w:r>
      <w:r w:rsidR="00D36DD8">
        <w:rPr>
          <w:sz w:val="18"/>
          <w:lang w:val="es-MX"/>
        </w:rPr>
        <w:t xml:space="preserve"> Sistema de C</w:t>
      </w:r>
      <w:r w:rsidR="008A5924" w:rsidRPr="00D42129">
        <w:rPr>
          <w:sz w:val="18"/>
          <w:lang w:val="es-MX"/>
        </w:rPr>
        <w:t>ont</w:t>
      </w:r>
      <w:r w:rsidR="00D36DD8">
        <w:rPr>
          <w:sz w:val="18"/>
          <w:lang w:val="es-MX"/>
        </w:rPr>
        <w:t>abilidad Integrada</w:t>
      </w:r>
      <w:r w:rsidR="008A5924" w:rsidRPr="00D42129">
        <w:rPr>
          <w:sz w:val="18"/>
          <w:lang w:val="es-MX"/>
        </w:rPr>
        <w:t xml:space="preserve"> –SICOIN- Ministerio de Finanzas Públicas.</w:t>
      </w:r>
    </w:p>
    <w:p w14:paraId="230B5C46" w14:textId="77777777" w:rsidR="008A5924" w:rsidRPr="00184700" w:rsidRDefault="008A5924" w:rsidP="008A5924">
      <w:pPr>
        <w:jc w:val="both"/>
      </w:pPr>
    </w:p>
    <w:p w14:paraId="05DFC0BA" w14:textId="77777777" w:rsidR="008A5924" w:rsidRPr="00A07D95" w:rsidRDefault="008A5924" w:rsidP="008A5924">
      <w:pPr>
        <w:jc w:val="both"/>
        <w:rPr>
          <w:sz w:val="24"/>
          <w:szCs w:val="24"/>
        </w:rPr>
      </w:pPr>
      <w:r w:rsidRPr="00A07D95">
        <w:rPr>
          <w:sz w:val="24"/>
          <w:szCs w:val="24"/>
        </w:rPr>
        <w:t>El reglamento de Ley de Fonpetrol establece que los recursos distribuidos, deberán ser destinados, al desarrollo del interior del país y al estudio y desarrollo de fuentes nuevas y renovables de energía, así como a infraestructura, desarrollo rural, turismo sostenible e inversión social. Sin embargo, de acuerdo con el Sistema de Contabilidad Integrada SICOIN, durante el periodo de análisis, las transferencias realizadas hacia los Consejos de Desarrollo, correspondientes a los recursos de FONPETROL, se dirigen en su totalidad hacia la finalidad Urbanización y Servicios comunitarios, concretamente a la función Desarrollo Comunitario, lo que no permite establecer el destino específico de las asignaciones y por ende el cumplimiento de la normativa.</w:t>
      </w:r>
    </w:p>
    <w:p w14:paraId="73F14422" w14:textId="77777777" w:rsidR="008A5924" w:rsidRPr="00A07D95" w:rsidRDefault="008A5924" w:rsidP="008A5924">
      <w:pPr>
        <w:jc w:val="both"/>
        <w:rPr>
          <w:sz w:val="24"/>
          <w:szCs w:val="24"/>
        </w:rPr>
      </w:pPr>
    </w:p>
    <w:p w14:paraId="09CFBEC5" w14:textId="77777777" w:rsidR="008A5924" w:rsidRPr="00A07D95" w:rsidRDefault="008A5924" w:rsidP="008A5924">
      <w:pPr>
        <w:jc w:val="both"/>
        <w:rPr>
          <w:sz w:val="24"/>
          <w:szCs w:val="24"/>
        </w:rPr>
      </w:pPr>
      <w:r w:rsidRPr="00A07D95">
        <w:rPr>
          <w:sz w:val="24"/>
          <w:szCs w:val="24"/>
        </w:rPr>
        <w:t>En función del Riesgo de Recursos Naturales para la actividad extractiva nacional de hidrocarburos, un aspecto relevante a considerar es el relacionado con la temporalidad de los ingresos en función del volumen actual de extracción y la duración promedio en años de las reservas remanentes</w:t>
      </w:r>
      <w:r w:rsidR="007210F6">
        <w:rPr>
          <w:rStyle w:val="Refdenotaalpie"/>
          <w:sz w:val="24"/>
          <w:szCs w:val="24"/>
        </w:rPr>
        <w:footnoteReference w:id="15"/>
      </w:r>
      <w:r w:rsidRPr="00A07D95">
        <w:rPr>
          <w:sz w:val="24"/>
          <w:szCs w:val="24"/>
        </w:rPr>
        <w:t xml:space="preserve"> estimadas para los campos petroleros. Así, en base a la información disponible, si el ritmo de extracción se mantiene constante y no se producen y oficialice información relativa a un incremento del stock por hallazgos de importantes de reservas comercialmente aprovechable, los ingresos provenientes de la actividad extractiva de hidrocarburos se verán considerablemente disminuidos en los próximos 25 años.</w:t>
      </w:r>
    </w:p>
    <w:p w14:paraId="2F81EEF5" w14:textId="7E60C30F" w:rsidR="008A5924" w:rsidRDefault="008A5924" w:rsidP="008A5924">
      <w:pPr>
        <w:pStyle w:val="Descripcin"/>
        <w:keepNext/>
        <w:rPr>
          <w:color w:val="000000" w:themeColor="text1"/>
        </w:rPr>
      </w:pPr>
      <w:bookmarkStart w:id="212" w:name="_Toc16242957"/>
      <w:r w:rsidRPr="00A07D95">
        <w:rPr>
          <w:color w:val="000000" w:themeColor="text1"/>
        </w:rPr>
        <w:t xml:space="preserve">Cuadro  </w:t>
      </w:r>
      <w:r w:rsidRPr="00A07D95">
        <w:rPr>
          <w:color w:val="000000" w:themeColor="text1"/>
        </w:rPr>
        <w:fldChar w:fldCharType="begin"/>
      </w:r>
      <w:r w:rsidRPr="00A07D95">
        <w:rPr>
          <w:color w:val="000000" w:themeColor="text1"/>
        </w:rPr>
        <w:instrText xml:space="preserve"> SEQ Cuadro_ \* ARABIC </w:instrText>
      </w:r>
      <w:r w:rsidRPr="00A07D95">
        <w:rPr>
          <w:color w:val="000000" w:themeColor="text1"/>
        </w:rPr>
        <w:fldChar w:fldCharType="separate"/>
      </w:r>
      <w:r w:rsidR="004B2A60">
        <w:rPr>
          <w:noProof/>
          <w:color w:val="000000" w:themeColor="text1"/>
        </w:rPr>
        <w:t>7</w:t>
      </w:r>
      <w:r w:rsidRPr="00A07D95">
        <w:rPr>
          <w:noProof/>
          <w:color w:val="000000" w:themeColor="text1"/>
        </w:rPr>
        <w:fldChar w:fldCharType="end"/>
      </w:r>
      <w:r w:rsidRPr="00A07D95">
        <w:rPr>
          <w:color w:val="000000" w:themeColor="text1"/>
        </w:rPr>
        <w:t>: Duración estimada en años de las Reservas de hidrocarburos</w:t>
      </w:r>
      <w:bookmarkEnd w:id="212"/>
    </w:p>
    <w:p w14:paraId="26B90BF1" w14:textId="77777777" w:rsidR="003C2F1C" w:rsidRPr="003C2F1C" w:rsidRDefault="003C2F1C" w:rsidP="003C2F1C">
      <w:pPr>
        <w:jc w:val="center"/>
      </w:pPr>
      <w:r>
        <w:t>En unidades</w:t>
      </w:r>
    </w:p>
    <w:p w14:paraId="240BD559" w14:textId="77777777" w:rsidR="008A5924" w:rsidRPr="00184700" w:rsidRDefault="008A5924" w:rsidP="008A5924">
      <w:pPr>
        <w:jc w:val="center"/>
      </w:pPr>
    </w:p>
    <w:tbl>
      <w:tblPr>
        <w:tblW w:w="8666" w:type="dxa"/>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7"/>
        <w:gridCol w:w="1191"/>
        <w:gridCol w:w="1289"/>
        <w:gridCol w:w="1170"/>
        <w:gridCol w:w="1135"/>
        <w:gridCol w:w="1107"/>
        <w:gridCol w:w="1107"/>
      </w:tblGrid>
      <w:tr w:rsidR="008A5924" w:rsidRPr="00184700" w14:paraId="04C9DCE2" w14:textId="77777777" w:rsidTr="00C5567B">
        <w:trPr>
          <w:trHeight w:val="831"/>
          <w:jc w:val="center"/>
        </w:trPr>
        <w:tc>
          <w:tcPr>
            <w:tcW w:w="1667" w:type="dxa"/>
            <w:tcBorders>
              <w:top w:val="single" w:sz="12" w:space="0" w:color="auto"/>
              <w:bottom w:val="single" w:sz="12" w:space="0" w:color="auto"/>
            </w:tcBorders>
            <w:shd w:val="clear" w:color="auto" w:fill="8DB3E2"/>
            <w:vAlign w:val="center"/>
            <w:hideMark/>
          </w:tcPr>
          <w:p w14:paraId="75048508" w14:textId="77777777" w:rsidR="008A5924" w:rsidRPr="00184700" w:rsidRDefault="008A5924" w:rsidP="008A5924">
            <w:pPr>
              <w:jc w:val="center"/>
              <w:rPr>
                <w:sz w:val="16"/>
                <w:lang w:eastAsia="es-GT"/>
              </w:rPr>
            </w:pPr>
            <w:r w:rsidRPr="00184700">
              <w:rPr>
                <w:sz w:val="16"/>
                <w:lang w:eastAsia="es-GT"/>
              </w:rPr>
              <w:t>Contrato</w:t>
            </w:r>
          </w:p>
        </w:tc>
        <w:tc>
          <w:tcPr>
            <w:tcW w:w="1191" w:type="dxa"/>
            <w:tcBorders>
              <w:top w:val="single" w:sz="12" w:space="0" w:color="auto"/>
              <w:bottom w:val="single" w:sz="12" w:space="0" w:color="auto"/>
            </w:tcBorders>
            <w:shd w:val="clear" w:color="auto" w:fill="8DB3E2"/>
            <w:vAlign w:val="center"/>
            <w:hideMark/>
          </w:tcPr>
          <w:p w14:paraId="49706B9B" w14:textId="77777777" w:rsidR="008A5924" w:rsidRPr="00184700" w:rsidRDefault="008A5924" w:rsidP="008A5924">
            <w:pPr>
              <w:jc w:val="center"/>
              <w:rPr>
                <w:sz w:val="16"/>
                <w:lang w:eastAsia="es-GT"/>
              </w:rPr>
            </w:pPr>
            <w:r w:rsidRPr="00184700">
              <w:rPr>
                <w:sz w:val="16"/>
                <w:lang w:eastAsia="es-GT"/>
              </w:rPr>
              <w:t xml:space="preserve">Campo  </w:t>
            </w:r>
          </w:p>
        </w:tc>
        <w:tc>
          <w:tcPr>
            <w:tcW w:w="1289" w:type="dxa"/>
            <w:tcBorders>
              <w:top w:val="single" w:sz="12" w:space="0" w:color="auto"/>
              <w:bottom w:val="single" w:sz="12" w:space="0" w:color="auto"/>
            </w:tcBorders>
            <w:shd w:val="clear" w:color="auto" w:fill="8DB3E2"/>
            <w:vAlign w:val="center"/>
            <w:hideMark/>
          </w:tcPr>
          <w:p w14:paraId="78DD0221" w14:textId="77777777" w:rsidR="008A5924" w:rsidRPr="00184700" w:rsidRDefault="008A5924" w:rsidP="008A5924">
            <w:pPr>
              <w:jc w:val="center"/>
              <w:rPr>
                <w:sz w:val="16"/>
                <w:lang w:eastAsia="es-GT"/>
              </w:rPr>
            </w:pPr>
            <w:r w:rsidRPr="00184700">
              <w:rPr>
                <w:sz w:val="16"/>
                <w:lang w:eastAsia="es-GT"/>
              </w:rPr>
              <w:t>Petróleo Original en Sitio      (Barriles)</w:t>
            </w:r>
          </w:p>
        </w:tc>
        <w:tc>
          <w:tcPr>
            <w:tcW w:w="1170" w:type="dxa"/>
            <w:tcBorders>
              <w:top w:val="single" w:sz="12" w:space="0" w:color="auto"/>
              <w:bottom w:val="single" w:sz="12" w:space="0" w:color="auto"/>
            </w:tcBorders>
            <w:shd w:val="clear" w:color="auto" w:fill="8DB3E2"/>
            <w:vAlign w:val="center"/>
            <w:hideMark/>
          </w:tcPr>
          <w:p w14:paraId="51A7B09C" w14:textId="77777777" w:rsidR="008A5924" w:rsidRPr="00184700" w:rsidRDefault="008A5924" w:rsidP="008A5924">
            <w:pPr>
              <w:jc w:val="center"/>
              <w:rPr>
                <w:sz w:val="16"/>
                <w:lang w:eastAsia="es-GT"/>
              </w:rPr>
            </w:pPr>
            <w:r w:rsidRPr="00184700">
              <w:rPr>
                <w:sz w:val="16"/>
                <w:lang w:eastAsia="es-GT"/>
              </w:rPr>
              <w:t>Total Producido (Barriles)</w:t>
            </w:r>
          </w:p>
        </w:tc>
        <w:tc>
          <w:tcPr>
            <w:tcW w:w="1135" w:type="dxa"/>
            <w:tcBorders>
              <w:top w:val="single" w:sz="12" w:space="0" w:color="auto"/>
              <w:bottom w:val="single" w:sz="12" w:space="0" w:color="auto"/>
            </w:tcBorders>
            <w:shd w:val="clear" w:color="auto" w:fill="8DB3E2"/>
            <w:vAlign w:val="center"/>
            <w:hideMark/>
          </w:tcPr>
          <w:p w14:paraId="292F3DFE" w14:textId="77777777" w:rsidR="008A5924" w:rsidRPr="00184700" w:rsidRDefault="008A5924" w:rsidP="008A5924">
            <w:pPr>
              <w:jc w:val="center"/>
              <w:rPr>
                <w:sz w:val="16"/>
                <w:lang w:eastAsia="es-GT"/>
              </w:rPr>
            </w:pPr>
            <w:r w:rsidRPr="00184700">
              <w:rPr>
                <w:sz w:val="16"/>
                <w:lang w:eastAsia="es-GT"/>
              </w:rPr>
              <w:t>Reservas Remanentes (Barriles)</w:t>
            </w:r>
          </w:p>
        </w:tc>
        <w:tc>
          <w:tcPr>
            <w:tcW w:w="1107" w:type="dxa"/>
            <w:tcBorders>
              <w:top w:val="single" w:sz="12" w:space="0" w:color="auto"/>
              <w:bottom w:val="single" w:sz="12" w:space="0" w:color="auto"/>
            </w:tcBorders>
            <w:shd w:val="clear" w:color="auto" w:fill="8DB3E2"/>
            <w:vAlign w:val="center"/>
            <w:hideMark/>
          </w:tcPr>
          <w:p w14:paraId="146A13A4" w14:textId="77777777" w:rsidR="008A5924" w:rsidRPr="00184700" w:rsidRDefault="008A5924" w:rsidP="008A5924">
            <w:pPr>
              <w:jc w:val="center"/>
              <w:rPr>
                <w:sz w:val="16"/>
                <w:lang w:eastAsia="es-GT"/>
              </w:rPr>
            </w:pPr>
            <w:r w:rsidRPr="00184700">
              <w:rPr>
                <w:sz w:val="16"/>
                <w:lang w:eastAsia="es-GT"/>
              </w:rPr>
              <w:t>Volumen de extracción anual  (Barriles)</w:t>
            </w:r>
          </w:p>
        </w:tc>
        <w:tc>
          <w:tcPr>
            <w:tcW w:w="1107" w:type="dxa"/>
            <w:tcBorders>
              <w:top w:val="single" w:sz="12" w:space="0" w:color="auto"/>
              <w:bottom w:val="single" w:sz="12" w:space="0" w:color="auto"/>
            </w:tcBorders>
            <w:shd w:val="clear" w:color="auto" w:fill="8DB3E2"/>
            <w:vAlign w:val="center"/>
            <w:hideMark/>
          </w:tcPr>
          <w:p w14:paraId="4480304D" w14:textId="77777777" w:rsidR="008A5924" w:rsidRPr="00184700" w:rsidRDefault="008A5924" w:rsidP="008A5924">
            <w:pPr>
              <w:jc w:val="center"/>
              <w:rPr>
                <w:sz w:val="16"/>
                <w:lang w:eastAsia="es-GT"/>
              </w:rPr>
            </w:pPr>
            <w:r w:rsidRPr="00184700">
              <w:rPr>
                <w:sz w:val="16"/>
                <w:lang w:eastAsia="es-GT"/>
              </w:rPr>
              <w:t>Duración estimada de Reservas      (años )</w:t>
            </w:r>
          </w:p>
        </w:tc>
      </w:tr>
      <w:tr w:rsidR="008A5924" w:rsidRPr="00184700" w14:paraId="12E917C7" w14:textId="77777777" w:rsidTr="00C5567B">
        <w:trPr>
          <w:trHeight w:val="269"/>
          <w:jc w:val="center"/>
        </w:trPr>
        <w:tc>
          <w:tcPr>
            <w:tcW w:w="1667" w:type="dxa"/>
            <w:tcBorders>
              <w:top w:val="single" w:sz="12" w:space="0" w:color="auto"/>
            </w:tcBorders>
            <w:shd w:val="clear" w:color="auto" w:fill="auto"/>
            <w:noWrap/>
            <w:vAlign w:val="center"/>
            <w:hideMark/>
          </w:tcPr>
          <w:p w14:paraId="4F2B7496" w14:textId="77777777" w:rsidR="008A5924" w:rsidRPr="00184700" w:rsidRDefault="008A5924" w:rsidP="008A5924">
            <w:pPr>
              <w:jc w:val="center"/>
              <w:rPr>
                <w:sz w:val="16"/>
                <w:lang w:eastAsia="es-GT"/>
              </w:rPr>
            </w:pPr>
            <w:r w:rsidRPr="00184700">
              <w:rPr>
                <w:sz w:val="16"/>
                <w:lang w:eastAsia="es-GT"/>
              </w:rPr>
              <w:t>Contrato 2-85</w:t>
            </w:r>
          </w:p>
        </w:tc>
        <w:tc>
          <w:tcPr>
            <w:tcW w:w="1191" w:type="dxa"/>
            <w:tcBorders>
              <w:top w:val="single" w:sz="12" w:space="0" w:color="auto"/>
            </w:tcBorders>
            <w:shd w:val="clear" w:color="auto" w:fill="auto"/>
            <w:noWrap/>
            <w:vAlign w:val="center"/>
            <w:hideMark/>
          </w:tcPr>
          <w:p w14:paraId="512477F5" w14:textId="77777777" w:rsidR="008A5924" w:rsidRPr="00184700" w:rsidRDefault="008A5924" w:rsidP="008A5924">
            <w:pPr>
              <w:jc w:val="center"/>
              <w:rPr>
                <w:sz w:val="16"/>
                <w:lang w:eastAsia="es-GT"/>
              </w:rPr>
            </w:pPr>
            <w:r w:rsidRPr="00184700">
              <w:rPr>
                <w:sz w:val="16"/>
                <w:lang w:eastAsia="es-GT"/>
              </w:rPr>
              <w:t>Xan</w:t>
            </w:r>
          </w:p>
        </w:tc>
        <w:tc>
          <w:tcPr>
            <w:tcW w:w="1289" w:type="dxa"/>
            <w:tcBorders>
              <w:top w:val="single" w:sz="12" w:space="0" w:color="auto"/>
            </w:tcBorders>
            <w:shd w:val="clear" w:color="auto" w:fill="auto"/>
            <w:noWrap/>
            <w:vAlign w:val="center"/>
            <w:hideMark/>
          </w:tcPr>
          <w:p w14:paraId="7F1AC732" w14:textId="77777777" w:rsidR="008A5924" w:rsidRPr="00184700" w:rsidRDefault="008A5924" w:rsidP="008A5924">
            <w:pPr>
              <w:jc w:val="right"/>
              <w:rPr>
                <w:sz w:val="16"/>
                <w:lang w:eastAsia="es-GT"/>
              </w:rPr>
            </w:pPr>
            <w:r w:rsidRPr="00184700">
              <w:rPr>
                <w:sz w:val="16"/>
                <w:lang w:eastAsia="es-GT"/>
              </w:rPr>
              <w:t>358,400,000.00</w:t>
            </w:r>
          </w:p>
        </w:tc>
        <w:tc>
          <w:tcPr>
            <w:tcW w:w="1170" w:type="dxa"/>
            <w:tcBorders>
              <w:top w:val="single" w:sz="12" w:space="0" w:color="auto"/>
            </w:tcBorders>
            <w:shd w:val="clear" w:color="auto" w:fill="auto"/>
            <w:noWrap/>
            <w:vAlign w:val="center"/>
            <w:hideMark/>
          </w:tcPr>
          <w:p w14:paraId="4158B729" w14:textId="77777777" w:rsidR="008A5924" w:rsidRPr="00184700" w:rsidRDefault="008A5924" w:rsidP="008A5924">
            <w:pPr>
              <w:jc w:val="right"/>
              <w:rPr>
                <w:sz w:val="16"/>
                <w:lang w:eastAsia="es-GT"/>
              </w:rPr>
            </w:pPr>
            <w:r w:rsidRPr="00184700">
              <w:rPr>
                <w:sz w:val="16"/>
                <w:lang w:eastAsia="es-GT"/>
              </w:rPr>
              <w:t>132,786,492.16</w:t>
            </w:r>
          </w:p>
        </w:tc>
        <w:tc>
          <w:tcPr>
            <w:tcW w:w="1135" w:type="dxa"/>
            <w:tcBorders>
              <w:top w:val="single" w:sz="12" w:space="0" w:color="auto"/>
            </w:tcBorders>
            <w:shd w:val="clear" w:color="auto" w:fill="auto"/>
            <w:noWrap/>
            <w:vAlign w:val="center"/>
            <w:hideMark/>
          </w:tcPr>
          <w:p w14:paraId="03776C40" w14:textId="77777777" w:rsidR="008A5924" w:rsidRPr="00184700" w:rsidRDefault="008A5924" w:rsidP="008A5924">
            <w:pPr>
              <w:jc w:val="right"/>
              <w:rPr>
                <w:sz w:val="16"/>
                <w:lang w:eastAsia="es-GT"/>
              </w:rPr>
            </w:pPr>
            <w:r w:rsidRPr="00184700">
              <w:rPr>
                <w:sz w:val="16"/>
                <w:lang w:eastAsia="es-GT"/>
              </w:rPr>
              <w:t>28,493,507.84</w:t>
            </w:r>
          </w:p>
        </w:tc>
        <w:tc>
          <w:tcPr>
            <w:tcW w:w="1107" w:type="dxa"/>
            <w:tcBorders>
              <w:top w:val="single" w:sz="12" w:space="0" w:color="auto"/>
            </w:tcBorders>
            <w:shd w:val="clear" w:color="auto" w:fill="auto"/>
            <w:noWrap/>
            <w:vAlign w:val="center"/>
            <w:hideMark/>
          </w:tcPr>
          <w:p w14:paraId="17808A40" w14:textId="77777777" w:rsidR="008A5924" w:rsidRPr="00184700" w:rsidRDefault="008A5924" w:rsidP="008A5924">
            <w:pPr>
              <w:jc w:val="right"/>
              <w:rPr>
                <w:sz w:val="16"/>
                <w:lang w:eastAsia="es-GT"/>
              </w:rPr>
            </w:pPr>
            <w:r w:rsidRPr="00184700">
              <w:rPr>
                <w:sz w:val="16"/>
                <w:lang w:eastAsia="es-GT"/>
              </w:rPr>
              <w:t>2,808,669.90</w:t>
            </w:r>
          </w:p>
        </w:tc>
        <w:tc>
          <w:tcPr>
            <w:tcW w:w="1107" w:type="dxa"/>
            <w:tcBorders>
              <w:top w:val="single" w:sz="12" w:space="0" w:color="auto"/>
            </w:tcBorders>
            <w:shd w:val="clear" w:color="auto" w:fill="auto"/>
            <w:noWrap/>
            <w:vAlign w:val="center"/>
            <w:hideMark/>
          </w:tcPr>
          <w:p w14:paraId="3944792A" w14:textId="77777777" w:rsidR="008A5924" w:rsidRPr="00184700" w:rsidRDefault="008A5924" w:rsidP="008A5924">
            <w:pPr>
              <w:jc w:val="right"/>
              <w:rPr>
                <w:sz w:val="16"/>
                <w:lang w:eastAsia="es-GT"/>
              </w:rPr>
            </w:pPr>
            <w:r w:rsidRPr="00184700">
              <w:rPr>
                <w:sz w:val="16"/>
                <w:lang w:eastAsia="es-GT"/>
              </w:rPr>
              <w:t>10.14</w:t>
            </w:r>
          </w:p>
        </w:tc>
      </w:tr>
      <w:tr w:rsidR="008A5924" w:rsidRPr="00184700" w14:paraId="3CA70804" w14:textId="77777777" w:rsidTr="00C5567B">
        <w:trPr>
          <w:trHeight w:val="283"/>
          <w:jc w:val="center"/>
        </w:trPr>
        <w:tc>
          <w:tcPr>
            <w:tcW w:w="1667" w:type="dxa"/>
            <w:vMerge w:val="restart"/>
            <w:shd w:val="clear" w:color="auto" w:fill="auto"/>
            <w:vAlign w:val="center"/>
            <w:hideMark/>
          </w:tcPr>
          <w:p w14:paraId="1341E6C4" w14:textId="77777777" w:rsidR="0008751B" w:rsidRDefault="008A5924" w:rsidP="008A5924">
            <w:pPr>
              <w:jc w:val="center"/>
              <w:rPr>
                <w:sz w:val="16"/>
                <w:lang w:eastAsia="es-GT"/>
              </w:rPr>
            </w:pPr>
            <w:r w:rsidRPr="00184700">
              <w:rPr>
                <w:sz w:val="16"/>
                <w:lang w:eastAsia="es-GT"/>
              </w:rPr>
              <w:t>Contrato 1-2006                           Contratos 1-2007 /</w:t>
            </w:r>
          </w:p>
          <w:p w14:paraId="623EACE4" w14:textId="77777777" w:rsidR="008A5924" w:rsidRPr="00184700" w:rsidRDefault="008A5924" w:rsidP="008A5924">
            <w:pPr>
              <w:jc w:val="center"/>
              <w:rPr>
                <w:sz w:val="16"/>
                <w:lang w:eastAsia="es-GT"/>
              </w:rPr>
            </w:pPr>
            <w:r w:rsidRPr="00184700">
              <w:rPr>
                <w:sz w:val="16"/>
                <w:lang w:eastAsia="es-GT"/>
              </w:rPr>
              <w:t xml:space="preserve"> 2-2009</w:t>
            </w:r>
          </w:p>
        </w:tc>
        <w:tc>
          <w:tcPr>
            <w:tcW w:w="1191" w:type="dxa"/>
            <w:shd w:val="clear" w:color="auto" w:fill="auto"/>
            <w:noWrap/>
            <w:vAlign w:val="center"/>
            <w:hideMark/>
          </w:tcPr>
          <w:p w14:paraId="197B8FCE" w14:textId="77777777" w:rsidR="008A5924" w:rsidRPr="00184700" w:rsidRDefault="008A5924" w:rsidP="008A5924">
            <w:pPr>
              <w:jc w:val="center"/>
              <w:rPr>
                <w:sz w:val="16"/>
                <w:lang w:eastAsia="es-GT"/>
              </w:rPr>
            </w:pPr>
            <w:r w:rsidRPr="00184700">
              <w:rPr>
                <w:sz w:val="16"/>
                <w:lang w:eastAsia="es-GT"/>
              </w:rPr>
              <w:t>Rubelsanto</w:t>
            </w:r>
          </w:p>
        </w:tc>
        <w:tc>
          <w:tcPr>
            <w:tcW w:w="1289" w:type="dxa"/>
            <w:shd w:val="clear" w:color="auto" w:fill="auto"/>
            <w:noWrap/>
            <w:vAlign w:val="center"/>
            <w:hideMark/>
          </w:tcPr>
          <w:p w14:paraId="344897AC" w14:textId="77777777" w:rsidR="008A5924" w:rsidRPr="00184700" w:rsidRDefault="008A5924" w:rsidP="008A5924">
            <w:pPr>
              <w:jc w:val="right"/>
              <w:rPr>
                <w:sz w:val="16"/>
                <w:lang w:eastAsia="es-GT"/>
              </w:rPr>
            </w:pPr>
            <w:r w:rsidRPr="00184700">
              <w:rPr>
                <w:sz w:val="16"/>
                <w:lang w:eastAsia="es-GT"/>
              </w:rPr>
              <w:t>145,629,700.00</w:t>
            </w:r>
          </w:p>
        </w:tc>
        <w:tc>
          <w:tcPr>
            <w:tcW w:w="1170" w:type="dxa"/>
            <w:shd w:val="clear" w:color="auto" w:fill="auto"/>
            <w:noWrap/>
            <w:vAlign w:val="center"/>
            <w:hideMark/>
          </w:tcPr>
          <w:p w14:paraId="5FEF600C" w14:textId="77777777" w:rsidR="008A5924" w:rsidRPr="00184700" w:rsidRDefault="008A5924" w:rsidP="008A5924">
            <w:pPr>
              <w:jc w:val="right"/>
              <w:rPr>
                <w:sz w:val="16"/>
                <w:lang w:eastAsia="es-GT"/>
              </w:rPr>
            </w:pPr>
            <w:r w:rsidRPr="00184700">
              <w:rPr>
                <w:sz w:val="16"/>
                <w:lang w:eastAsia="es-GT"/>
              </w:rPr>
              <w:t>10,210,502.36</w:t>
            </w:r>
          </w:p>
        </w:tc>
        <w:tc>
          <w:tcPr>
            <w:tcW w:w="1135" w:type="dxa"/>
            <w:shd w:val="clear" w:color="auto" w:fill="auto"/>
            <w:noWrap/>
            <w:vAlign w:val="center"/>
            <w:hideMark/>
          </w:tcPr>
          <w:p w14:paraId="7D449FE5" w14:textId="77777777" w:rsidR="008A5924" w:rsidRPr="00184700" w:rsidRDefault="008A5924" w:rsidP="008A5924">
            <w:pPr>
              <w:jc w:val="right"/>
              <w:rPr>
                <w:sz w:val="16"/>
                <w:lang w:eastAsia="es-GT"/>
              </w:rPr>
            </w:pPr>
            <w:r w:rsidRPr="00184700">
              <w:rPr>
                <w:sz w:val="16"/>
                <w:lang w:eastAsia="es-GT"/>
              </w:rPr>
              <w:t>18,915,437.64</w:t>
            </w:r>
          </w:p>
        </w:tc>
        <w:tc>
          <w:tcPr>
            <w:tcW w:w="1107" w:type="dxa"/>
            <w:vMerge w:val="restart"/>
            <w:shd w:val="clear" w:color="auto" w:fill="auto"/>
            <w:noWrap/>
            <w:vAlign w:val="center"/>
            <w:hideMark/>
          </w:tcPr>
          <w:p w14:paraId="4CB717D7" w14:textId="77777777" w:rsidR="008A5924" w:rsidRPr="00184700" w:rsidRDefault="008A5924" w:rsidP="008A5924">
            <w:pPr>
              <w:jc w:val="right"/>
              <w:rPr>
                <w:sz w:val="16"/>
                <w:lang w:eastAsia="es-GT"/>
              </w:rPr>
            </w:pPr>
            <w:r w:rsidRPr="00184700">
              <w:rPr>
                <w:sz w:val="16"/>
                <w:lang w:eastAsia="es-GT"/>
              </w:rPr>
              <w:t>456,077.22</w:t>
            </w:r>
          </w:p>
        </w:tc>
        <w:tc>
          <w:tcPr>
            <w:tcW w:w="1107" w:type="dxa"/>
            <w:vMerge w:val="restart"/>
            <w:shd w:val="clear" w:color="auto" w:fill="auto"/>
            <w:noWrap/>
            <w:vAlign w:val="center"/>
            <w:hideMark/>
          </w:tcPr>
          <w:p w14:paraId="271A727E" w14:textId="77777777" w:rsidR="008A5924" w:rsidRPr="00184700" w:rsidRDefault="008A5924" w:rsidP="008A5924">
            <w:pPr>
              <w:jc w:val="right"/>
              <w:rPr>
                <w:sz w:val="16"/>
                <w:lang w:eastAsia="es-GT"/>
              </w:rPr>
            </w:pPr>
            <w:r w:rsidRPr="00184700">
              <w:rPr>
                <w:sz w:val="16"/>
                <w:lang w:eastAsia="es-GT"/>
              </w:rPr>
              <w:t>85.45</w:t>
            </w:r>
          </w:p>
        </w:tc>
      </w:tr>
      <w:tr w:rsidR="008A5924" w:rsidRPr="00184700" w14:paraId="2AF0D7D6" w14:textId="77777777" w:rsidTr="00C5567B">
        <w:trPr>
          <w:trHeight w:val="283"/>
          <w:jc w:val="center"/>
        </w:trPr>
        <w:tc>
          <w:tcPr>
            <w:tcW w:w="1667" w:type="dxa"/>
            <w:vMerge/>
            <w:vAlign w:val="center"/>
            <w:hideMark/>
          </w:tcPr>
          <w:p w14:paraId="6EEB5CCA" w14:textId="77777777" w:rsidR="008A5924" w:rsidRPr="00184700" w:rsidRDefault="008A5924" w:rsidP="008A5924">
            <w:pPr>
              <w:jc w:val="center"/>
              <w:rPr>
                <w:sz w:val="16"/>
                <w:lang w:eastAsia="es-GT"/>
              </w:rPr>
            </w:pPr>
          </w:p>
        </w:tc>
        <w:tc>
          <w:tcPr>
            <w:tcW w:w="1191" w:type="dxa"/>
            <w:shd w:val="clear" w:color="auto" w:fill="auto"/>
            <w:noWrap/>
            <w:vAlign w:val="center"/>
            <w:hideMark/>
          </w:tcPr>
          <w:p w14:paraId="56539B55" w14:textId="77777777" w:rsidR="008A5924" w:rsidRPr="00184700" w:rsidRDefault="008A5924" w:rsidP="008A5924">
            <w:pPr>
              <w:jc w:val="center"/>
              <w:rPr>
                <w:sz w:val="16"/>
                <w:lang w:eastAsia="es-GT"/>
              </w:rPr>
            </w:pPr>
            <w:r w:rsidRPr="00184700">
              <w:rPr>
                <w:sz w:val="16"/>
                <w:lang w:eastAsia="es-GT"/>
              </w:rPr>
              <w:t>Chinaja Oeste</w:t>
            </w:r>
          </w:p>
        </w:tc>
        <w:tc>
          <w:tcPr>
            <w:tcW w:w="1289" w:type="dxa"/>
            <w:shd w:val="clear" w:color="auto" w:fill="auto"/>
            <w:noWrap/>
            <w:vAlign w:val="center"/>
            <w:hideMark/>
          </w:tcPr>
          <w:p w14:paraId="607ADFB9" w14:textId="77777777" w:rsidR="008A5924" w:rsidRPr="00184700" w:rsidRDefault="008A5924" w:rsidP="008A5924">
            <w:pPr>
              <w:jc w:val="right"/>
              <w:rPr>
                <w:sz w:val="16"/>
                <w:lang w:eastAsia="es-GT"/>
              </w:rPr>
            </w:pPr>
            <w:r w:rsidRPr="00184700">
              <w:rPr>
                <w:sz w:val="16"/>
                <w:lang w:eastAsia="es-GT"/>
              </w:rPr>
              <w:t>63,336,900.00</w:t>
            </w:r>
          </w:p>
        </w:tc>
        <w:tc>
          <w:tcPr>
            <w:tcW w:w="1170" w:type="dxa"/>
            <w:shd w:val="clear" w:color="auto" w:fill="auto"/>
            <w:noWrap/>
            <w:vAlign w:val="center"/>
            <w:hideMark/>
          </w:tcPr>
          <w:p w14:paraId="64E59FDC" w14:textId="77777777" w:rsidR="008A5924" w:rsidRPr="00184700" w:rsidRDefault="008A5924" w:rsidP="008A5924">
            <w:pPr>
              <w:jc w:val="right"/>
              <w:rPr>
                <w:sz w:val="16"/>
                <w:lang w:eastAsia="es-GT"/>
              </w:rPr>
            </w:pPr>
            <w:r w:rsidRPr="00184700">
              <w:rPr>
                <w:sz w:val="16"/>
                <w:lang w:eastAsia="es-GT"/>
              </w:rPr>
              <w:t>7,894,805.83</w:t>
            </w:r>
          </w:p>
        </w:tc>
        <w:tc>
          <w:tcPr>
            <w:tcW w:w="1135" w:type="dxa"/>
            <w:shd w:val="clear" w:color="auto" w:fill="auto"/>
            <w:noWrap/>
            <w:vAlign w:val="center"/>
            <w:hideMark/>
          </w:tcPr>
          <w:p w14:paraId="5832AB17" w14:textId="77777777" w:rsidR="008A5924" w:rsidRPr="00184700" w:rsidRDefault="008A5924" w:rsidP="008A5924">
            <w:pPr>
              <w:jc w:val="right"/>
              <w:rPr>
                <w:sz w:val="16"/>
                <w:lang w:eastAsia="es-GT"/>
              </w:rPr>
            </w:pPr>
            <w:r w:rsidRPr="00184700">
              <w:rPr>
                <w:sz w:val="16"/>
                <w:lang w:eastAsia="es-GT"/>
              </w:rPr>
              <w:t>4,772,574.17</w:t>
            </w:r>
          </w:p>
        </w:tc>
        <w:tc>
          <w:tcPr>
            <w:tcW w:w="1107" w:type="dxa"/>
            <w:vMerge/>
            <w:vAlign w:val="center"/>
            <w:hideMark/>
          </w:tcPr>
          <w:p w14:paraId="2ADA67F9" w14:textId="77777777" w:rsidR="008A5924" w:rsidRPr="00184700" w:rsidRDefault="008A5924" w:rsidP="008A5924">
            <w:pPr>
              <w:jc w:val="right"/>
              <w:rPr>
                <w:sz w:val="16"/>
                <w:lang w:eastAsia="es-GT"/>
              </w:rPr>
            </w:pPr>
          </w:p>
        </w:tc>
        <w:tc>
          <w:tcPr>
            <w:tcW w:w="1107" w:type="dxa"/>
            <w:vMerge/>
            <w:vAlign w:val="center"/>
            <w:hideMark/>
          </w:tcPr>
          <w:p w14:paraId="17D39466" w14:textId="77777777" w:rsidR="008A5924" w:rsidRPr="00184700" w:rsidRDefault="008A5924" w:rsidP="008A5924">
            <w:pPr>
              <w:jc w:val="right"/>
              <w:rPr>
                <w:sz w:val="16"/>
                <w:lang w:eastAsia="es-GT"/>
              </w:rPr>
            </w:pPr>
          </w:p>
        </w:tc>
      </w:tr>
      <w:tr w:rsidR="008A5924" w:rsidRPr="00184700" w14:paraId="1209C515" w14:textId="77777777" w:rsidTr="00C5567B">
        <w:trPr>
          <w:trHeight w:val="269"/>
          <w:jc w:val="center"/>
        </w:trPr>
        <w:tc>
          <w:tcPr>
            <w:tcW w:w="1667" w:type="dxa"/>
            <w:vMerge/>
            <w:vAlign w:val="center"/>
            <w:hideMark/>
          </w:tcPr>
          <w:p w14:paraId="7494EADB" w14:textId="77777777" w:rsidR="008A5924" w:rsidRPr="00184700" w:rsidRDefault="008A5924" w:rsidP="008A5924">
            <w:pPr>
              <w:jc w:val="center"/>
              <w:rPr>
                <w:sz w:val="16"/>
                <w:lang w:eastAsia="es-GT"/>
              </w:rPr>
            </w:pPr>
          </w:p>
        </w:tc>
        <w:tc>
          <w:tcPr>
            <w:tcW w:w="1191" w:type="dxa"/>
            <w:shd w:val="clear" w:color="auto" w:fill="auto"/>
            <w:noWrap/>
            <w:vAlign w:val="center"/>
            <w:hideMark/>
          </w:tcPr>
          <w:p w14:paraId="1002C3A8" w14:textId="77777777" w:rsidR="008A5924" w:rsidRPr="00184700" w:rsidRDefault="008A5924" w:rsidP="008A5924">
            <w:pPr>
              <w:jc w:val="center"/>
              <w:rPr>
                <w:sz w:val="16"/>
                <w:lang w:eastAsia="es-GT"/>
              </w:rPr>
            </w:pPr>
            <w:r w:rsidRPr="00184700">
              <w:rPr>
                <w:sz w:val="16"/>
                <w:lang w:eastAsia="es-GT"/>
              </w:rPr>
              <w:t>Caribe</w:t>
            </w:r>
          </w:p>
        </w:tc>
        <w:tc>
          <w:tcPr>
            <w:tcW w:w="1289" w:type="dxa"/>
            <w:shd w:val="clear" w:color="auto" w:fill="auto"/>
            <w:noWrap/>
            <w:vAlign w:val="center"/>
            <w:hideMark/>
          </w:tcPr>
          <w:p w14:paraId="5518AD51" w14:textId="77777777" w:rsidR="008A5924" w:rsidRPr="00184700" w:rsidRDefault="008A5924" w:rsidP="008A5924">
            <w:pPr>
              <w:jc w:val="right"/>
              <w:rPr>
                <w:sz w:val="16"/>
                <w:lang w:eastAsia="es-GT"/>
              </w:rPr>
            </w:pPr>
            <w:r w:rsidRPr="00184700">
              <w:rPr>
                <w:sz w:val="16"/>
                <w:lang w:eastAsia="es-GT"/>
              </w:rPr>
              <w:t>12,765,570.00</w:t>
            </w:r>
          </w:p>
        </w:tc>
        <w:tc>
          <w:tcPr>
            <w:tcW w:w="1170" w:type="dxa"/>
            <w:shd w:val="clear" w:color="auto" w:fill="auto"/>
            <w:noWrap/>
            <w:vAlign w:val="center"/>
            <w:hideMark/>
          </w:tcPr>
          <w:p w14:paraId="2EBDD97D" w14:textId="77777777" w:rsidR="008A5924" w:rsidRPr="00184700" w:rsidRDefault="008A5924" w:rsidP="008A5924">
            <w:pPr>
              <w:jc w:val="right"/>
              <w:rPr>
                <w:sz w:val="16"/>
                <w:lang w:eastAsia="es-GT"/>
              </w:rPr>
            </w:pPr>
            <w:r w:rsidRPr="00184700">
              <w:rPr>
                <w:sz w:val="16"/>
                <w:lang w:eastAsia="es-GT"/>
              </w:rPr>
              <w:t>899,780.29</w:t>
            </w:r>
          </w:p>
        </w:tc>
        <w:tc>
          <w:tcPr>
            <w:tcW w:w="1135" w:type="dxa"/>
            <w:shd w:val="clear" w:color="auto" w:fill="auto"/>
            <w:noWrap/>
            <w:vAlign w:val="center"/>
            <w:hideMark/>
          </w:tcPr>
          <w:p w14:paraId="444D5AD0" w14:textId="77777777" w:rsidR="008A5924" w:rsidRPr="00184700" w:rsidRDefault="008A5924" w:rsidP="008A5924">
            <w:pPr>
              <w:jc w:val="right"/>
              <w:rPr>
                <w:sz w:val="16"/>
                <w:lang w:eastAsia="es-GT"/>
              </w:rPr>
            </w:pPr>
            <w:r w:rsidRPr="00184700">
              <w:rPr>
                <w:sz w:val="16"/>
                <w:lang w:eastAsia="es-GT"/>
              </w:rPr>
              <w:t>1,653,333.71</w:t>
            </w:r>
          </w:p>
        </w:tc>
        <w:tc>
          <w:tcPr>
            <w:tcW w:w="1107" w:type="dxa"/>
            <w:vMerge/>
            <w:vAlign w:val="center"/>
            <w:hideMark/>
          </w:tcPr>
          <w:p w14:paraId="66A1C590" w14:textId="77777777" w:rsidR="008A5924" w:rsidRPr="00184700" w:rsidRDefault="008A5924" w:rsidP="008A5924">
            <w:pPr>
              <w:jc w:val="right"/>
              <w:rPr>
                <w:sz w:val="16"/>
                <w:lang w:eastAsia="es-GT"/>
              </w:rPr>
            </w:pPr>
          </w:p>
        </w:tc>
        <w:tc>
          <w:tcPr>
            <w:tcW w:w="1107" w:type="dxa"/>
            <w:vMerge/>
            <w:vAlign w:val="center"/>
            <w:hideMark/>
          </w:tcPr>
          <w:p w14:paraId="672503A5" w14:textId="77777777" w:rsidR="008A5924" w:rsidRPr="00184700" w:rsidRDefault="008A5924" w:rsidP="008A5924">
            <w:pPr>
              <w:jc w:val="right"/>
              <w:rPr>
                <w:sz w:val="16"/>
                <w:lang w:eastAsia="es-GT"/>
              </w:rPr>
            </w:pPr>
          </w:p>
        </w:tc>
      </w:tr>
      <w:tr w:rsidR="008A5924" w:rsidRPr="00184700" w14:paraId="6D1EFF3E" w14:textId="77777777" w:rsidTr="00C5567B">
        <w:trPr>
          <w:trHeight w:val="269"/>
          <w:jc w:val="center"/>
        </w:trPr>
        <w:tc>
          <w:tcPr>
            <w:tcW w:w="1667" w:type="dxa"/>
            <w:vMerge/>
            <w:vAlign w:val="center"/>
            <w:hideMark/>
          </w:tcPr>
          <w:p w14:paraId="1BDA7EF0" w14:textId="77777777" w:rsidR="008A5924" w:rsidRPr="00184700" w:rsidRDefault="008A5924" w:rsidP="008A5924">
            <w:pPr>
              <w:jc w:val="center"/>
              <w:rPr>
                <w:sz w:val="16"/>
                <w:lang w:eastAsia="es-GT"/>
              </w:rPr>
            </w:pPr>
          </w:p>
        </w:tc>
        <w:tc>
          <w:tcPr>
            <w:tcW w:w="1191" w:type="dxa"/>
            <w:shd w:val="clear" w:color="auto" w:fill="auto"/>
            <w:noWrap/>
            <w:vAlign w:val="center"/>
            <w:hideMark/>
          </w:tcPr>
          <w:p w14:paraId="28447B88" w14:textId="77777777" w:rsidR="008A5924" w:rsidRPr="00184700" w:rsidRDefault="008A5924" w:rsidP="008A5924">
            <w:pPr>
              <w:jc w:val="center"/>
              <w:rPr>
                <w:sz w:val="16"/>
                <w:lang w:eastAsia="es-GT"/>
              </w:rPr>
            </w:pPr>
            <w:r w:rsidRPr="00184700">
              <w:rPr>
                <w:sz w:val="16"/>
                <w:lang w:eastAsia="es-GT"/>
              </w:rPr>
              <w:t>Tierra Blanca</w:t>
            </w:r>
          </w:p>
        </w:tc>
        <w:tc>
          <w:tcPr>
            <w:tcW w:w="1289" w:type="dxa"/>
            <w:shd w:val="clear" w:color="auto" w:fill="auto"/>
            <w:noWrap/>
            <w:vAlign w:val="center"/>
            <w:hideMark/>
          </w:tcPr>
          <w:p w14:paraId="6643C8AD" w14:textId="77777777" w:rsidR="008A5924" w:rsidRPr="00184700" w:rsidRDefault="008A5924" w:rsidP="008A5924">
            <w:pPr>
              <w:jc w:val="right"/>
              <w:rPr>
                <w:sz w:val="16"/>
                <w:lang w:eastAsia="es-GT"/>
              </w:rPr>
            </w:pPr>
            <w:r w:rsidRPr="00184700">
              <w:rPr>
                <w:sz w:val="16"/>
                <w:lang w:eastAsia="es-GT"/>
              </w:rPr>
              <w:t>111,845,700.00</w:t>
            </w:r>
          </w:p>
        </w:tc>
        <w:tc>
          <w:tcPr>
            <w:tcW w:w="1170" w:type="dxa"/>
            <w:shd w:val="clear" w:color="auto" w:fill="auto"/>
            <w:noWrap/>
            <w:vAlign w:val="center"/>
            <w:hideMark/>
          </w:tcPr>
          <w:p w14:paraId="51767E7F" w14:textId="77777777" w:rsidR="008A5924" w:rsidRPr="00184700" w:rsidRDefault="008A5924" w:rsidP="008A5924">
            <w:pPr>
              <w:jc w:val="right"/>
              <w:rPr>
                <w:sz w:val="16"/>
                <w:lang w:eastAsia="es-GT"/>
              </w:rPr>
            </w:pPr>
            <w:r w:rsidRPr="00184700">
              <w:rPr>
                <w:sz w:val="16"/>
                <w:lang w:eastAsia="es-GT"/>
              </w:rPr>
              <w:t>8,740,600.84</w:t>
            </w:r>
          </w:p>
        </w:tc>
        <w:tc>
          <w:tcPr>
            <w:tcW w:w="1135" w:type="dxa"/>
            <w:shd w:val="clear" w:color="auto" w:fill="auto"/>
            <w:noWrap/>
            <w:vAlign w:val="center"/>
            <w:hideMark/>
          </w:tcPr>
          <w:p w14:paraId="49DFAC52" w14:textId="77777777" w:rsidR="008A5924" w:rsidRPr="00184700" w:rsidRDefault="008A5924" w:rsidP="008A5924">
            <w:pPr>
              <w:jc w:val="right"/>
              <w:rPr>
                <w:sz w:val="16"/>
                <w:lang w:eastAsia="es-GT"/>
              </w:rPr>
            </w:pPr>
            <w:r w:rsidRPr="00184700">
              <w:rPr>
                <w:sz w:val="16"/>
                <w:lang w:eastAsia="es-GT"/>
              </w:rPr>
              <w:t>13,628,539.16</w:t>
            </w:r>
          </w:p>
        </w:tc>
        <w:tc>
          <w:tcPr>
            <w:tcW w:w="1107" w:type="dxa"/>
            <w:vMerge/>
            <w:vAlign w:val="center"/>
            <w:hideMark/>
          </w:tcPr>
          <w:p w14:paraId="24E2ABFE" w14:textId="77777777" w:rsidR="008A5924" w:rsidRPr="00184700" w:rsidRDefault="008A5924" w:rsidP="008A5924">
            <w:pPr>
              <w:jc w:val="right"/>
              <w:rPr>
                <w:sz w:val="16"/>
                <w:lang w:eastAsia="es-GT"/>
              </w:rPr>
            </w:pPr>
          </w:p>
        </w:tc>
        <w:tc>
          <w:tcPr>
            <w:tcW w:w="1107" w:type="dxa"/>
            <w:vMerge/>
            <w:vAlign w:val="center"/>
            <w:hideMark/>
          </w:tcPr>
          <w:p w14:paraId="26ECFFD3" w14:textId="77777777" w:rsidR="008A5924" w:rsidRPr="00184700" w:rsidRDefault="008A5924" w:rsidP="008A5924">
            <w:pPr>
              <w:jc w:val="right"/>
              <w:rPr>
                <w:sz w:val="16"/>
                <w:lang w:eastAsia="es-GT"/>
              </w:rPr>
            </w:pPr>
          </w:p>
        </w:tc>
      </w:tr>
      <w:tr w:rsidR="008A5924" w:rsidRPr="00184700" w14:paraId="3C2E053E" w14:textId="77777777" w:rsidTr="00C5567B">
        <w:trPr>
          <w:trHeight w:val="269"/>
          <w:jc w:val="center"/>
        </w:trPr>
        <w:tc>
          <w:tcPr>
            <w:tcW w:w="1667" w:type="dxa"/>
            <w:vMerge w:val="restart"/>
            <w:shd w:val="clear" w:color="auto" w:fill="auto"/>
            <w:noWrap/>
            <w:vAlign w:val="center"/>
            <w:hideMark/>
          </w:tcPr>
          <w:p w14:paraId="5932D333" w14:textId="77777777" w:rsidR="008A5924" w:rsidRPr="00184700" w:rsidRDefault="008A5924" w:rsidP="008A5924">
            <w:pPr>
              <w:jc w:val="center"/>
              <w:rPr>
                <w:sz w:val="16"/>
                <w:lang w:eastAsia="es-GT"/>
              </w:rPr>
            </w:pPr>
            <w:r w:rsidRPr="00184700">
              <w:rPr>
                <w:sz w:val="16"/>
                <w:lang w:eastAsia="es-GT"/>
              </w:rPr>
              <w:t>Contrato 1-91</w:t>
            </w:r>
          </w:p>
        </w:tc>
        <w:tc>
          <w:tcPr>
            <w:tcW w:w="1191" w:type="dxa"/>
            <w:shd w:val="clear" w:color="auto" w:fill="auto"/>
            <w:noWrap/>
            <w:vAlign w:val="center"/>
            <w:hideMark/>
          </w:tcPr>
          <w:p w14:paraId="0DDD381A" w14:textId="77777777" w:rsidR="008A5924" w:rsidRPr="00184700" w:rsidRDefault="008A5924" w:rsidP="008A5924">
            <w:pPr>
              <w:jc w:val="center"/>
              <w:rPr>
                <w:sz w:val="16"/>
                <w:lang w:eastAsia="es-GT"/>
              </w:rPr>
            </w:pPr>
            <w:r w:rsidRPr="00184700">
              <w:rPr>
                <w:sz w:val="16"/>
                <w:lang w:eastAsia="es-GT"/>
              </w:rPr>
              <w:t>Chocop</w:t>
            </w:r>
          </w:p>
        </w:tc>
        <w:tc>
          <w:tcPr>
            <w:tcW w:w="1289" w:type="dxa"/>
            <w:shd w:val="clear" w:color="auto" w:fill="auto"/>
            <w:noWrap/>
            <w:vAlign w:val="center"/>
            <w:hideMark/>
          </w:tcPr>
          <w:p w14:paraId="7ABDF87C" w14:textId="77777777" w:rsidR="008A5924" w:rsidRPr="00184700" w:rsidRDefault="008A5924" w:rsidP="008A5924">
            <w:pPr>
              <w:jc w:val="right"/>
              <w:rPr>
                <w:sz w:val="16"/>
                <w:lang w:eastAsia="es-GT"/>
              </w:rPr>
            </w:pPr>
            <w:r w:rsidRPr="00184700">
              <w:rPr>
                <w:sz w:val="16"/>
                <w:lang w:eastAsia="es-GT"/>
              </w:rPr>
              <w:t>88,100,000.00</w:t>
            </w:r>
          </w:p>
        </w:tc>
        <w:tc>
          <w:tcPr>
            <w:tcW w:w="1170" w:type="dxa"/>
            <w:shd w:val="clear" w:color="auto" w:fill="auto"/>
            <w:noWrap/>
            <w:vAlign w:val="center"/>
            <w:hideMark/>
          </w:tcPr>
          <w:p w14:paraId="64F2B258" w14:textId="77777777" w:rsidR="008A5924" w:rsidRPr="00184700" w:rsidRDefault="008A5924" w:rsidP="008A5924">
            <w:pPr>
              <w:jc w:val="right"/>
              <w:rPr>
                <w:sz w:val="16"/>
                <w:lang w:eastAsia="es-GT"/>
              </w:rPr>
            </w:pPr>
            <w:r w:rsidRPr="00184700">
              <w:rPr>
                <w:sz w:val="16"/>
                <w:lang w:eastAsia="es-GT"/>
              </w:rPr>
              <w:t>994,949.59</w:t>
            </w:r>
          </w:p>
        </w:tc>
        <w:tc>
          <w:tcPr>
            <w:tcW w:w="1135" w:type="dxa"/>
            <w:shd w:val="clear" w:color="auto" w:fill="auto"/>
            <w:noWrap/>
            <w:vAlign w:val="center"/>
            <w:hideMark/>
          </w:tcPr>
          <w:p w14:paraId="4DB0B934" w14:textId="77777777" w:rsidR="008A5924" w:rsidRPr="00184700" w:rsidRDefault="008A5924" w:rsidP="008A5924">
            <w:pPr>
              <w:jc w:val="right"/>
              <w:rPr>
                <w:sz w:val="16"/>
                <w:lang w:eastAsia="es-GT"/>
              </w:rPr>
            </w:pPr>
            <w:r w:rsidRPr="00184700">
              <w:rPr>
                <w:sz w:val="16"/>
                <w:lang w:eastAsia="es-GT"/>
              </w:rPr>
              <w:t>11,062,050.41</w:t>
            </w:r>
          </w:p>
        </w:tc>
        <w:tc>
          <w:tcPr>
            <w:tcW w:w="1107" w:type="dxa"/>
            <w:vMerge w:val="restart"/>
            <w:shd w:val="clear" w:color="auto" w:fill="auto"/>
            <w:noWrap/>
            <w:vAlign w:val="center"/>
            <w:hideMark/>
          </w:tcPr>
          <w:p w14:paraId="0FBDD490" w14:textId="77777777" w:rsidR="008A5924" w:rsidRPr="00184700" w:rsidRDefault="008A5924" w:rsidP="008A5924">
            <w:pPr>
              <w:jc w:val="right"/>
              <w:rPr>
                <w:sz w:val="16"/>
                <w:lang w:eastAsia="es-GT"/>
              </w:rPr>
            </w:pPr>
            <w:r w:rsidRPr="00184700">
              <w:rPr>
                <w:sz w:val="16"/>
                <w:lang w:eastAsia="es-GT"/>
              </w:rPr>
              <w:t>17,811.86</w:t>
            </w:r>
          </w:p>
        </w:tc>
        <w:tc>
          <w:tcPr>
            <w:tcW w:w="1107" w:type="dxa"/>
            <w:vMerge w:val="restart"/>
            <w:shd w:val="clear" w:color="auto" w:fill="auto"/>
            <w:noWrap/>
            <w:vAlign w:val="center"/>
            <w:hideMark/>
          </w:tcPr>
          <w:p w14:paraId="00905588" w14:textId="77777777" w:rsidR="008A5924" w:rsidRPr="00184700" w:rsidRDefault="008A5924" w:rsidP="008A5924">
            <w:pPr>
              <w:jc w:val="right"/>
              <w:rPr>
                <w:sz w:val="16"/>
                <w:lang w:eastAsia="es-GT"/>
              </w:rPr>
            </w:pPr>
            <w:r w:rsidRPr="00184700">
              <w:rPr>
                <w:sz w:val="16"/>
                <w:lang w:eastAsia="es-GT"/>
              </w:rPr>
              <w:t>632.57</w:t>
            </w:r>
          </w:p>
        </w:tc>
      </w:tr>
      <w:tr w:rsidR="008A5924" w:rsidRPr="00184700" w14:paraId="79C5F3BE" w14:textId="77777777" w:rsidTr="00C5567B">
        <w:trPr>
          <w:trHeight w:val="269"/>
          <w:jc w:val="center"/>
        </w:trPr>
        <w:tc>
          <w:tcPr>
            <w:tcW w:w="1667" w:type="dxa"/>
            <w:vMerge/>
            <w:vAlign w:val="center"/>
            <w:hideMark/>
          </w:tcPr>
          <w:p w14:paraId="4C8BF643" w14:textId="77777777" w:rsidR="008A5924" w:rsidRPr="00184700" w:rsidRDefault="008A5924" w:rsidP="008A5924">
            <w:pPr>
              <w:jc w:val="center"/>
              <w:rPr>
                <w:sz w:val="16"/>
                <w:lang w:eastAsia="es-GT"/>
              </w:rPr>
            </w:pPr>
          </w:p>
        </w:tc>
        <w:tc>
          <w:tcPr>
            <w:tcW w:w="1191" w:type="dxa"/>
            <w:shd w:val="clear" w:color="auto" w:fill="auto"/>
            <w:noWrap/>
            <w:vAlign w:val="center"/>
            <w:hideMark/>
          </w:tcPr>
          <w:p w14:paraId="30734C5F" w14:textId="77777777" w:rsidR="008A5924" w:rsidRPr="00184700" w:rsidRDefault="008A5924" w:rsidP="008A5924">
            <w:pPr>
              <w:jc w:val="center"/>
              <w:rPr>
                <w:sz w:val="16"/>
                <w:lang w:eastAsia="es-GT"/>
              </w:rPr>
            </w:pPr>
            <w:r w:rsidRPr="00184700">
              <w:rPr>
                <w:sz w:val="16"/>
                <w:lang w:eastAsia="es-GT"/>
              </w:rPr>
              <w:t>Yalpemech</w:t>
            </w:r>
          </w:p>
        </w:tc>
        <w:tc>
          <w:tcPr>
            <w:tcW w:w="1289" w:type="dxa"/>
            <w:shd w:val="clear" w:color="auto" w:fill="auto"/>
            <w:noWrap/>
            <w:vAlign w:val="center"/>
            <w:hideMark/>
          </w:tcPr>
          <w:p w14:paraId="52459ECB" w14:textId="77777777" w:rsidR="008A5924" w:rsidRPr="00184700" w:rsidRDefault="008A5924" w:rsidP="008A5924">
            <w:pPr>
              <w:jc w:val="right"/>
              <w:rPr>
                <w:sz w:val="16"/>
                <w:lang w:eastAsia="es-GT"/>
              </w:rPr>
            </w:pPr>
            <w:r w:rsidRPr="00184700">
              <w:rPr>
                <w:sz w:val="16"/>
                <w:lang w:eastAsia="es-GT"/>
              </w:rPr>
              <w:t>2,634,000.00</w:t>
            </w:r>
          </w:p>
        </w:tc>
        <w:tc>
          <w:tcPr>
            <w:tcW w:w="1170" w:type="dxa"/>
            <w:shd w:val="clear" w:color="auto" w:fill="auto"/>
            <w:noWrap/>
            <w:vAlign w:val="center"/>
            <w:hideMark/>
          </w:tcPr>
          <w:p w14:paraId="53E9BA1F" w14:textId="77777777" w:rsidR="008A5924" w:rsidRPr="00184700" w:rsidRDefault="008A5924" w:rsidP="008A5924">
            <w:pPr>
              <w:jc w:val="right"/>
              <w:rPr>
                <w:sz w:val="16"/>
                <w:lang w:eastAsia="es-GT"/>
              </w:rPr>
            </w:pPr>
            <w:r w:rsidRPr="00184700">
              <w:rPr>
                <w:sz w:val="16"/>
                <w:lang w:eastAsia="es-GT"/>
              </w:rPr>
              <w:t>321,630.66</w:t>
            </w:r>
          </w:p>
        </w:tc>
        <w:tc>
          <w:tcPr>
            <w:tcW w:w="1135" w:type="dxa"/>
            <w:shd w:val="clear" w:color="auto" w:fill="auto"/>
            <w:noWrap/>
            <w:vAlign w:val="center"/>
            <w:hideMark/>
          </w:tcPr>
          <w:p w14:paraId="48961213" w14:textId="77777777" w:rsidR="008A5924" w:rsidRPr="00184700" w:rsidRDefault="008A5924" w:rsidP="008A5924">
            <w:pPr>
              <w:jc w:val="right"/>
              <w:rPr>
                <w:sz w:val="16"/>
                <w:lang w:eastAsia="es-GT"/>
              </w:rPr>
            </w:pPr>
            <w:r w:rsidRPr="00184700">
              <w:rPr>
                <w:sz w:val="16"/>
                <w:lang w:eastAsia="es-GT"/>
              </w:rPr>
              <w:t>205,169.34</w:t>
            </w:r>
          </w:p>
        </w:tc>
        <w:tc>
          <w:tcPr>
            <w:tcW w:w="1107" w:type="dxa"/>
            <w:vMerge/>
            <w:vAlign w:val="center"/>
            <w:hideMark/>
          </w:tcPr>
          <w:p w14:paraId="40404270" w14:textId="77777777" w:rsidR="008A5924" w:rsidRPr="00184700" w:rsidRDefault="008A5924" w:rsidP="008A5924">
            <w:pPr>
              <w:jc w:val="right"/>
              <w:rPr>
                <w:sz w:val="16"/>
                <w:lang w:eastAsia="es-GT"/>
              </w:rPr>
            </w:pPr>
          </w:p>
        </w:tc>
        <w:tc>
          <w:tcPr>
            <w:tcW w:w="1107" w:type="dxa"/>
            <w:vMerge/>
            <w:vAlign w:val="center"/>
            <w:hideMark/>
          </w:tcPr>
          <w:p w14:paraId="7C418CDD" w14:textId="77777777" w:rsidR="008A5924" w:rsidRPr="00184700" w:rsidRDefault="008A5924" w:rsidP="008A5924">
            <w:pPr>
              <w:jc w:val="right"/>
              <w:rPr>
                <w:sz w:val="16"/>
                <w:lang w:eastAsia="es-GT"/>
              </w:rPr>
            </w:pPr>
          </w:p>
        </w:tc>
      </w:tr>
      <w:tr w:rsidR="008A5924" w:rsidRPr="00184700" w14:paraId="0023B884" w14:textId="77777777" w:rsidTr="00C5567B">
        <w:trPr>
          <w:trHeight w:val="269"/>
          <w:jc w:val="center"/>
        </w:trPr>
        <w:tc>
          <w:tcPr>
            <w:tcW w:w="1667" w:type="dxa"/>
            <w:shd w:val="clear" w:color="auto" w:fill="auto"/>
            <w:noWrap/>
            <w:vAlign w:val="center"/>
            <w:hideMark/>
          </w:tcPr>
          <w:p w14:paraId="3A24AACC" w14:textId="77777777" w:rsidR="008A5924" w:rsidRPr="00184700" w:rsidRDefault="008A5924" w:rsidP="008A5924">
            <w:pPr>
              <w:jc w:val="center"/>
              <w:rPr>
                <w:sz w:val="16"/>
                <w:lang w:eastAsia="es-GT"/>
              </w:rPr>
            </w:pPr>
            <w:r w:rsidRPr="00184700">
              <w:rPr>
                <w:sz w:val="16"/>
                <w:lang w:eastAsia="es-GT"/>
              </w:rPr>
              <w:t>Contrato 1-2005</w:t>
            </w:r>
          </w:p>
        </w:tc>
        <w:tc>
          <w:tcPr>
            <w:tcW w:w="1191" w:type="dxa"/>
            <w:shd w:val="clear" w:color="auto" w:fill="auto"/>
            <w:noWrap/>
            <w:vAlign w:val="center"/>
            <w:hideMark/>
          </w:tcPr>
          <w:p w14:paraId="2BB927CE" w14:textId="77777777" w:rsidR="008A5924" w:rsidRPr="00184700" w:rsidRDefault="008A5924" w:rsidP="008A5924">
            <w:pPr>
              <w:jc w:val="center"/>
              <w:rPr>
                <w:sz w:val="16"/>
                <w:lang w:eastAsia="es-GT"/>
              </w:rPr>
            </w:pPr>
            <w:r w:rsidRPr="00184700">
              <w:rPr>
                <w:sz w:val="16"/>
                <w:lang w:eastAsia="es-GT"/>
              </w:rPr>
              <w:t>Atzam</w:t>
            </w:r>
          </w:p>
        </w:tc>
        <w:tc>
          <w:tcPr>
            <w:tcW w:w="1289" w:type="dxa"/>
            <w:shd w:val="clear" w:color="auto" w:fill="auto"/>
            <w:noWrap/>
            <w:vAlign w:val="center"/>
            <w:hideMark/>
          </w:tcPr>
          <w:p w14:paraId="7938DF8D" w14:textId="77777777" w:rsidR="008A5924" w:rsidRPr="00184700" w:rsidRDefault="008A5924" w:rsidP="008A5924">
            <w:pPr>
              <w:jc w:val="right"/>
              <w:rPr>
                <w:sz w:val="16"/>
                <w:lang w:eastAsia="es-GT"/>
              </w:rPr>
            </w:pPr>
            <w:r w:rsidRPr="00184700">
              <w:rPr>
                <w:sz w:val="16"/>
                <w:lang w:eastAsia="es-GT"/>
              </w:rPr>
              <w:t>8,004,738.00</w:t>
            </w:r>
          </w:p>
        </w:tc>
        <w:tc>
          <w:tcPr>
            <w:tcW w:w="1170" w:type="dxa"/>
            <w:shd w:val="clear" w:color="auto" w:fill="auto"/>
            <w:noWrap/>
            <w:vAlign w:val="center"/>
            <w:hideMark/>
          </w:tcPr>
          <w:p w14:paraId="15E51CA3" w14:textId="77777777" w:rsidR="008A5924" w:rsidRPr="00184700" w:rsidRDefault="008A5924" w:rsidP="008A5924">
            <w:pPr>
              <w:jc w:val="right"/>
              <w:rPr>
                <w:sz w:val="16"/>
                <w:lang w:eastAsia="es-GT"/>
              </w:rPr>
            </w:pPr>
            <w:r w:rsidRPr="00184700">
              <w:rPr>
                <w:sz w:val="16"/>
                <w:lang w:eastAsia="es-GT"/>
              </w:rPr>
              <w:t>420,031.39</w:t>
            </w:r>
          </w:p>
        </w:tc>
        <w:tc>
          <w:tcPr>
            <w:tcW w:w="1135" w:type="dxa"/>
            <w:shd w:val="clear" w:color="auto" w:fill="auto"/>
            <w:noWrap/>
            <w:vAlign w:val="center"/>
            <w:hideMark/>
          </w:tcPr>
          <w:p w14:paraId="118848CC" w14:textId="77777777" w:rsidR="008A5924" w:rsidRPr="00184700" w:rsidRDefault="008A5924" w:rsidP="008A5924">
            <w:pPr>
              <w:jc w:val="right"/>
              <w:rPr>
                <w:sz w:val="16"/>
                <w:lang w:eastAsia="es-GT"/>
              </w:rPr>
            </w:pPr>
            <w:r w:rsidRPr="00184700">
              <w:rPr>
                <w:sz w:val="16"/>
                <w:lang w:eastAsia="es-GT"/>
              </w:rPr>
              <w:t>2,484,706.61</w:t>
            </w:r>
          </w:p>
        </w:tc>
        <w:tc>
          <w:tcPr>
            <w:tcW w:w="1107" w:type="dxa"/>
            <w:shd w:val="clear" w:color="auto" w:fill="auto"/>
            <w:noWrap/>
            <w:vAlign w:val="center"/>
            <w:hideMark/>
          </w:tcPr>
          <w:p w14:paraId="345D7AB3" w14:textId="77777777" w:rsidR="008A5924" w:rsidRPr="00184700" w:rsidRDefault="008A5924" w:rsidP="008A5924">
            <w:pPr>
              <w:jc w:val="right"/>
              <w:rPr>
                <w:sz w:val="16"/>
                <w:lang w:eastAsia="es-GT"/>
              </w:rPr>
            </w:pPr>
            <w:r w:rsidRPr="00184700">
              <w:rPr>
                <w:sz w:val="16"/>
                <w:lang w:eastAsia="es-GT"/>
              </w:rPr>
              <w:t>80,874.69</w:t>
            </w:r>
          </w:p>
        </w:tc>
        <w:tc>
          <w:tcPr>
            <w:tcW w:w="1107" w:type="dxa"/>
            <w:shd w:val="clear" w:color="auto" w:fill="auto"/>
            <w:noWrap/>
            <w:vAlign w:val="center"/>
            <w:hideMark/>
          </w:tcPr>
          <w:p w14:paraId="0138EE89" w14:textId="77777777" w:rsidR="008A5924" w:rsidRPr="00184700" w:rsidRDefault="008A5924" w:rsidP="008A5924">
            <w:pPr>
              <w:jc w:val="right"/>
              <w:rPr>
                <w:sz w:val="16"/>
                <w:lang w:eastAsia="es-GT"/>
              </w:rPr>
            </w:pPr>
            <w:r w:rsidRPr="00184700">
              <w:rPr>
                <w:sz w:val="16"/>
                <w:lang w:eastAsia="es-GT"/>
              </w:rPr>
              <w:t>30.72</w:t>
            </w:r>
          </w:p>
        </w:tc>
      </w:tr>
      <w:tr w:rsidR="008A5924" w:rsidRPr="00184700" w14:paraId="433AC5AC" w14:textId="77777777" w:rsidTr="00C5567B">
        <w:trPr>
          <w:trHeight w:val="283"/>
          <w:jc w:val="center"/>
        </w:trPr>
        <w:tc>
          <w:tcPr>
            <w:tcW w:w="1667" w:type="dxa"/>
            <w:shd w:val="clear" w:color="auto" w:fill="auto"/>
            <w:noWrap/>
            <w:vAlign w:val="center"/>
            <w:hideMark/>
          </w:tcPr>
          <w:p w14:paraId="756A6303" w14:textId="77777777" w:rsidR="008A5924" w:rsidRPr="00184700" w:rsidRDefault="008A5924" w:rsidP="008A5924">
            <w:pPr>
              <w:jc w:val="center"/>
              <w:rPr>
                <w:sz w:val="16"/>
                <w:lang w:eastAsia="es-GT"/>
              </w:rPr>
            </w:pPr>
          </w:p>
        </w:tc>
        <w:tc>
          <w:tcPr>
            <w:tcW w:w="1191" w:type="dxa"/>
            <w:shd w:val="clear" w:color="auto" w:fill="auto"/>
            <w:vAlign w:val="center"/>
            <w:hideMark/>
          </w:tcPr>
          <w:p w14:paraId="0D65653C" w14:textId="77777777" w:rsidR="008A5924" w:rsidRPr="00184700" w:rsidRDefault="008A5924" w:rsidP="008A5924">
            <w:pPr>
              <w:jc w:val="center"/>
              <w:rPr>
                <w:sz w:val="16"/>
                <w:lang w:eastAsia="es-GT"/>
              </w:rPr>
            </w:pPr>
          </w:p>
        </w:tc>
        <w:tc>
          <w:tcPr>
            <w:tcW w:w="1289" w:type="dxa"/>
            <w:shd w:val="clear" w:color="auto" w:fill="auto"/>
            <w:noWrap/>
            <w:vAlign w:val="center"/>
            <w:hideMark/>
          </w:tcPr>
          <w:p w14:paraId="05E9759C" w14:textId="77777777" w:rsidR="008A5924" w:rsidRPr="00184700" w:rsidRDefault="008A5924" w:rsidP="008A5924">
            <w:pPr>
              <w:jc w:val="right"/>
              <w:rPr>
                <w:sz w:val="16"/>
                <w:lang w:eastAsia="es-GT"/>
              </w:rPr>
            </w:pPr>
            <w:r w:rsidRPr="00184700">
              <w:rPr>
                <w:sz w:val="16"/>
                <w:lang w:eastAsia="es-GT"/>
              </w:rPr>
              <w:t>790,716,608.00</w:t>
            </w:r>
          </w:p>
        </w:tc>
        <w:tc>
          <w:tcPr>
            <w:tcW w:w="1170" w:type="dxa"/>
            <w:shd w:val="clear" w:color="auto" w:fill="auto"/>
            <w:noWrap/>
            <w:vAlign w:val="center"/>
            <w:hideMark/>
          </w:tcPr>
          <w:p w14:paraId="685187BC" w14:textId="77777777" w:rsidR="008A5924" w:rsidRPr="00184700" w:rsidRDefault="008A5924" w:rsidP="008A5924">
            <w:pPr>
              <w:jc w:val="right"/>
              <w:rPr>
                <w:sz w:val="16"/>
                <w:lang w:eastAsia="es-GT"/>
              </w:rPr>
            </w:pPr>
            <w:r w:rsidRPr="00184700">
              <w:rPr>
                <w:sz w:val="16"/>
                <w:lang w:eastAsia="es-GT"/>
              </w:rPr>
              <w:t>162,268,793.12</w:t>
            </w:r>
          </w:p>
        </w:tc>
        <w:tc>
          <w:tcPr>
            <w:tcW w:w="1135" w:type="dxa"/>
            <w:shd w:val="clear" w:color="auto" w:fill="auto"/>
            <w:noWrap/>
            <w:vAlign w:val="center"/>
            <w:hideMark/>
          </w:tcPr>
          <w:p w14:paraId="1AD11BA1" w14:textId="77777777" w:rsidR="008A5924" w:rsidRPr="00184700" w:rsidRDefault="008A5924" w:rsidP="008A5924">
            <w:pPr>
              <w:jc w:val="right"/>
              <w:rPr>
                <w:sz w:val="16"/>
                <w:lang w:eastAsia="es-GT"/>
              </w:rPr>
            </w:pPr>
            <w:r w:rsidRPr="00184700">
              <w:rPr>
                <w:sz w:val="16"/>
                <w:lang w:eastAsia="es-GT"/>
              </w:rPr>
              <w:t>81,215,318.88</w:t>
            </w:r>
          </w:p>
        </w:tc>
        <w:tc>
          <w:tcPr>
            <w:tcW w:w="1107" w:type="dxa"/>
            <w:shd w:val="clear" w:color="auto" w:fill="auto"/>
            <w:noWrap/>
            <w:vAlign w:val="center"/>
            <w:hideMark/>
          </w:tcPr>
          <w:p w14:paraId="631DAB47" w14:textId="77777777" w:rsidR="008A5924" w:rsidRPr="00184700" w:rsidRDefault="008A5924" w:rsidP="008A5924">
            <w:pPr>
              <w:jc w:val="right"/>
              <w:rPr>
                <w:sz w:val="16"/>
                <w:lang w:eastAsia="es-GT"/>
              </w:rPr>
            </w:pPr>
            <w:r w:rsidRPr="00184700">
              <w:rPr>
                <w:sz w:val="16"/>
                <w:lang w:eastAsia="es-GT"/>
              </w:rPr>
              <w:t>3,363,433.67</w:t>
            </w:r>
          </w:p>
        </w:tc>
        <w:tc>
          <w:tcPr>
            <w:tcW w:w="1107" w:type="dxa"/>
            <w:shd w:val="clear" w:color="auto" w:fill="auto"/>
            <w:noWrap/>
            <w:vAlign w:val="center"/>
            <w:hideMark/>
          </w:tcPr>
          <w:p w14:paraId="0440C10D" w14:textId="77777777" w:rsidR="008A5924" w:rsidRPr="00184700" w:rsidRDefault="008A5924" w:rsidP="008A5924">
            <w:pPr>
              <w:jc w:val="right"/>
              <w:rPr>
                <w:sz w:val="16"/>
                <w:lang w:eastAsia="es-GT"/>
              </w:rPr>
            </w:pPr>
            <w:r w:rsidRPr="00184700">
              <w:rPr>
                <w:sz w:val="16"/>
                <w:lang w:eastAsia="es-GT"/>
              </w:rPr>
              <w:t>24.15</w:t>
            </w:r>
          </w:p>
        </w:tc>
      </w:tr>
    </w:tbl>
    <w:p w14:paraId="40BE28EF" w14:textId="77777777" w:rsidR="008A5924" w:rsidRPr="001203DD" w:rsidRDefault="00C5567B" w:rsidP="008A5924">
      <w:pPr>
        <w:rPr>
          <w:sz w:val="16"/>
          <w:szCs w:val="16"/>
          <w:lang w:val="es-MX"/>
        </w:rPr>
      </w:pPr>
      <w:r>
        <w:rPr>
          <w:sz w:val="18"/>
          <w:lang w:val="es-MX"/>
        </w:rPr>
        <w:t xml:space="preserve">              </w:t>
      </w:r>
      <w:r w:rsidR="001203DD">
        <w:rPr>
          <w:sz w:val="18"/>
          <w:lang w:val="es-MX"/>
        </w:rPr>
        <w:t xml:space="preserve"> </w:t>
      </w:r>
      <w:r w:rsidR="008A5924" w:rsidRPr="001203DD">
        <w:rPr>
          <w:sz w:val="16"/>
          <w:szCs w:val="16"/>
          <w:lang w:val="es-MX"/>
        </w:rPr>
        <w:t xml:space="preserve">Fuente: Cifras Ministerio de Energía y Minas. Revista Hidrocarburos. </w:t>
      </w:r>
    </w:p>
    <w:p w14:paraId="5A351D4F" w14:textId="77777777" w:rsidR="008A5924" w:rsidRPr="001203DD" w:rsidRDefault="00C5567B" w:rsidP="001203DD">
      <w:pPr>
        <w:ind w:left="113" w:hanging="113"/>
        <w:rPr>
          <w:sz w:val="16"/>
          <w:szCs w:val="16"/>
          <w:lang w:val="es-MX"/>
        </w:rPr>
      </w:pPr>
      <w:r w:rsidRPr="001203DD">
        <w:rPr>
          <w:sz w:val="16"/>
          <w:szCs w:val="16"/>
        </w:rPr>
        <w:t xml:space="preserve">             </w:t>
      </w:r>
      <w:r w:rsidR="001203DD">
        <w:rPr>
          <w:sz w:val="16"/>
          <w:szCs w:val="16"/>
        </w:rPr>
        <w:t xml:space="preserve">    </w:t>
      </w:r>
      <w:r w:rsidR="008A5924" w:rsidRPr="001203DD">
        <w:rPr>
          <w:sz w:val="16"/>
          <w:szCs w:val="16"/>
        </w:rPr>
        <w:t xml:space="preserve">Disponible en el link: </w:t>
      </w:r>
      <w:hyperlink r:id="rId47" w:history="1">
        <w:r w:rsidR="008A5924" w:rsidRPr="001203DD">
          <w:rPr>
            <w:rStyle w:val="Hipervnculo"/>
            <w:sz w:val="16"/>
            <w:szCs w:val="16"/>
          </w:rPr>
          <w:t>http://www.mem.gob.gt/wp-content/uploads/2019/03/2018-Revista-Hidrocarburos-04T.pdf</w:t>
        </w:r>
      </w:hyperlink>
    </w:p>
    <w:p w14:paraId="42B23A4A" w14:textId="77777777" w:rsidR="008A5924" w:rsidRPr="001203DD" w:rsidRDefault="008A5924" w:rsidP="008A5924">
      <w:pPr>
        <w:jc w:val="both"/>
        <w:rPr>
          <w:sz w:val="16"/>
          <w:szCs w:val="16"/>
        </w:rPr>
      </w:pPr>
    </w:p>
    <w:p w14:paraId="4A72F383" w14:textId="77777777" w:rsidR="008A5924" w:rsidRPr="00A07D95" w:rsidRDefault="008A5924" w:rsidP="00DD6292">
      <w:pPr>
        <w:pStyle w:val="Ttulo3"/>
        <w:widowControl/>
        <w:numPr>
          <w:ilvl w:val="2"/>
          <w:numId w:val="5"/>
        </w:numPr>
        <w:spacing w:before="240" w:after="60"/>
        <w:ind w:left="1701" w:hanging="981"/>
        <w:jc w:val="both"/>
        <w:rPr>
          <w:sz w:val="24"/>
          <w:szCs w:val="24"/>
        </w:rPr>
      </w:pPr>
      <w:bookmarkStart w:id="213" w:name="_Toc16519913"/>
      <w:r w:rsidRPr="00A07D95">
        <w:rPr>
          <w:sz w:val="24"/>
          <w:szCs w:val="24"/>
        </w:rPr>
        <w:t>Actividad minera en Guatemala</w:t>
      </w:r>
      <w:bookmarkEnd w:id="213"/>
      <w:r w:rsidRPr="00A07D95">
        <w:rPr>
          <w:sz w:val="24"/>
          <w:szCs w:val="24"/>
        </w:rPr>
        <w:t xml:space="preserve"> </w:t>
      </w:r>
    </w:p>
    <w:p w14:paraId="36F4BF22" w14:textId="77777777" w:rsidR="008A5924" w:rsidRPr="00A07D95" w:rsidRDefault="008A5924" w:rsidP="008A5924">
      <w:pPr>
        <w:autoSpaceDE w:val="0"/>
        <w:autoSpaceDN w:val="0"/>
        <w:adjustRightInd w:val="0"/>
        <w:jc w:val="both"/>
        <w:rPr>
          <w:sz w:val="24"/>
          <w:szCs w:val="24"/>
          <w:lang w:val="es-MX"/>
        </w:rPr>
      </w:pPr>
    </w:p>
    <w:p w14:paraId="66554D52" w14:textId="77777777" w:rsidR="008A5924" w:rsidRPr="00A07D95" w:rsidRDefault="008A5924" w:rsidP="008A5924">
      <w:pPr>
        <w:autoSpaceDE w:val="0"/>
        <w:autoSpaceDN w:val="0"/>
        <w:adjustRightInd w:val="0"/>
        <w:jc w:val="both"/>
        <w:rPr>
          <w:sz w:val="24"/>
          <w:szCs w:val="24"/>
          <w:lang w:val="es-MX"/>
        </w:rPr>
      </w:pPr>
      <w:r w:rsidRPr="00A07D95">
        <w:rPr>
          <w:sz w:val="24"/>
          <w:szCs w:val="24"/>
          <w:lang w:val="es-MX"/>
        </w:rPr>
        <w:t>Durante el periodo de 1960 a 1980, se registraron en el país, algunas inversiones privadas en las industrias extractivas, entre las que destacaron las realizadas por el consorcio canadiense-estadounidense “Exploraciones y Explotaciones Mineras de Izabal (Exmibal)” para la explotación de níquel, la cual después de cinco años de exploración, obtuvo una concesión de explotación del gobierno y construyó una planta de extracción en Izabal (EITI, 2011).</w:t>
      </w:r>
    </w:p>
    <w:p w14:paraId="7184380D" w14:textId="77777777" w:rsidR="008A5924" w:rsidRPr="00A07D95" w:rsidRDefault="008A5924" w:rsidP="008A5924">
      <w:pPr>
        <w:autoSpaceDE w:val="0"/>
        <w:autoSpaceDN w:val="0"/>
        <w:adjustRightInd w:val="0"/>
        <w:jc w:val="both"/>
        <w:rPr>
          <w:sz w:val="24"/>
          <w:szCs w:val="24"/>
          <w:lang w:val="es-MX"/>
        </w:rPr>
      </w:pPr>
      <w:r w:rsidRPr="00A07D95">
        <w:rPr>
          <w:sz w:val="24"/>
          <w:szCs w:val="24"/>
          <w:lang w:val="es-MX"/>
        </w:rPr>
        <w:t xml:space="preserve">En 1997 se emite Decreto Número 48-97 del Congreso de la República de Guatemala, (Ley de Minería) y en el 2001, el Acuerdo Gubernativo 176-2001 (Reglamento); normativa que regula lo relativo a las actividades de reconocimiento, exploración, explotación y las operaciones mineras, en general. </w:t>
      </w:r>
    </w:p>
    <w:p w14:paraId="78672ED3" w14:textId="77777777" w:rsidR="008A5924" w:rsidRPr="00A07D95" w:rsidRDefault="008A5924" w:rsidP="008A5924">
      <w:pPr>
        <w:autoSpaceDE w:val="0"/>
        <w:autoSpaceDN w:val="0"/>
        <w:adjustRightInd w:val="0"/>
        <w:jc w:val="both"/>
        <w:rPr>
          <w:sz w:val="24"/>
          <w:szCs w:val="24"/>
          <w:lang w:val="es-MX"/>
        </w:rPr>
      </w:pPr>
    </w:p>
    <w:p w14:paraId="297C4845" w14:textId="77777777" w:rsidR="008A5924" w:rsidRPr="00A07D95" w:rsidRDefault="008A5924" w:rsidP="008A5924">
      <w:pPr>
        <w:autoSpaceDE w:val="0"/>
        <w:autoSpaceDN w:val="0"/>
        <w:adjustRightInd w:val="0"/>
        <w:jc w:val="both"/>
        <w:rPr>
          <w:sz w:val="24"/>
          <w:szCs w:val="24"/>
          <w:lang w:val="es-MX"/>
        </w:rPr>
      </w:pPr>
      <w:r w:rsidRPr="00A07D95">
        <w:rPr>
          <w:sz w:val="24"/>
          <w:szCs w:val="24"/>
          <w:lang w:val="es-MX"/>
        </w:rPr>
        <w:t>Durante la Década de los Noventas no se realizaron inversiones fuertes en el sector minero exportable, no es sino, hasta el descubrimiento de la Mina Marlin de la empresa canadiense Francisco Gold, Corp; que en el 2002 la empresa canadiense Glamis Gold mediante una fusión adquirió la totalidad de la participación de la mina. En el 2003, el Ministerio de Energía y Minas emitió la licencia de explotación, para el desarrollo y operación del Proyecto Marlin I. El Proyecto entró en la fase de construcción durante el segundo trimestre de 2004 y concluyó en 2005 año a partir del cual inició la extracción de oro y plata en el Departamento de San Marcos, en el altiplano occidental del país.</w:t>
      </w:r>
    </w:p>
    <w:p w14:paraId="1FED3D09" w14:textId="77777777" w:rsidR="008A5924" w:rsidRPr="00A07D95" w:rsidRDefault="008A5924" w:rsidP="008A5924">
      <w:pPr>
        <w:jc w:val="both"/>
        <w:rPr>
          <w:sz w:val="24"/>
          <w:szCs w:val="24"/>
          <w:lang w:val="es-MX"/>
        </w:rPr>
      </w:pPr>
    </w:p>
    <w:p w14:paraId="6B4B3E0F" w14:textId="77777777" w:rsidR="008A5924" w:rsidRPr="00A07D95" w:rsidRDefault="008A5924" w:rsidP="008A5924">
      <w:pPr>
        <w:jc w:val="both"/>
        <w:rPr>
          <w:sz w:val="24"/>
          <w:szCs w:val="24"/>
          <w:lang w:val="es-MX"/>
        </w:rPr>
      </w:pPr>
      <w:r w:rsidRPr="00A07D95">
        <w:rPr>
          <w:sz w:val="24"/>
          <w:szCs w:val="24"/>
          <w:lang w:val="es-MX"/>
        </w:rPr>
        <w:t>A partir del 2005 como resultado de la producción de la mina Marlin, la minería metálica comienza a ser el principal componente de la producción miner</w:t>
      </w:r>
      <w:r w:rsidR="00570EFC" w:rsidRPr="00A07D95">
        <w:rPr>
          <w:sz w:val="24"/>
          <w:szCs w:val="24"/>
          <w:lang w:val="es-MX"/>
        </w:rPr>
        <w:t>a nacional, alcanzando el 73.6 por ciento</w:t>
      </w:r>
      <w:r w:rsidRPr="00A07D95">
        <w:rPr>
          <w:sz w:val="24"/>
          <w:szCs w:val="24"/>
          <w:lang w:val="es-MX"/>
        </w:rPr>
        <w:t xml:space="preserve"> de las ventas de productos mineros con Q102.3 millones. (MEM, 2006). La operación de la mina alcanza su punto máximo en 2011 con una producción en el orden de Q7,110.</w:t>
      </w:r>
      <w:r w:rsidR="00570EFC" w:rsidRPr="00A07D95">
        <w:rPr>
          <w:sz w:val="24"/>
          <w:szCs w:val="24"/>
          <w:lang w:val="es-MX"/>
        </w:rPr>
        <w:t>0 millones equivalentes al 97.5 por ciento</w:t>
      </w:r>
      <w:r w:rsidRPr="00A07D95">
        <w:rPr>
          <w:sz w:val="24"/>
          <w:szCs w:val="24"/>
          <w:lang w:val="es-MX"/>
        </w:rPr>
        <w:t xml:space="preserve"> de los ingresos de la actividad minera nacional (EITI, 2018).</w:t>
      </w:r>
    </w:p>
    <w:p w14:paraId="4098C3B4" w14:textId="77777777" w:rsidR="008A5924" w:rsidRPr="00A07D95" w:rsidRDefault="008A5924" w:rsidP="008A5924">
      <w:pPr>
        <w:rPr>
          <w:sz w:val="24"/>
          <w:szCs w:val="24"/>
          <w:lang w:val="es-MX"/>
        </w:rPr>
      </w:pPr>
    </w:p>
    <w:p w14:paraId="3F98ACC7" w14:textId="3AAE1721" w:rsidR="008A5924" w:rsidRPr="00A07D95" w:rsidRDefault="008A5924" w:rsidP="008A5924">
      <w:pPr>
        <w:pStyle w:val="Descripcin"/>
        <w:keepNext/>
        <w:rPr>
          <w:color w:val="000000" w:themeColor="text1"/>
          <w:sz w:val="16"/>
          <w:lang w:val="es-MX"/>
        </w:rPr>
      </w:pPr>
      <w:bookmarkStart w:id="214" w:name="_Toc16242998"/>
      <w:r w:rsidRPr="00A07D95">
        <w:rPr>
          <w:color w:val="000000" w:themeColor="text1"/>
        </w:rPr>
        <w:t xml:space="preserve">Gráfico  </w:t>
      </w:r>
      <w:r w:rsidRPr="00A07D95">
        <w:rPr>
          <w:color w:val="000000" w:themeColor="text1"/>
        </w:rPr>
        <w:fldChar w:fldCharType="begin"/>
      </w:r>
      <w:r w:rsidRPr="00A07D95">
        <w:rPr>
          <w:color w:val="000000" w:themeColor="text1"/>
        </w:rPr>
        <w:instrText xml:space="preserve"> SEQ Gráfico_ \* ARABIC </w:instrText>
      </w:r>
      <w:r w:rsidRPr="00A07D95">
        <w:rPr>
          <w:color w:val="000000" w:themeColor="text1"/>
        </w:rPr>
        <w:fldChar w:fldCharType="separate"/>
      </w:r>
      <w:r w:rsidR="004B2A60">
        <w:rPr>
          <w:noProof/>
          <w:color w:val="000000" w:themeColor="text1"/>
        </w:rPr>
        <w:t>35</w:t>
      </w:r>
      <w:r w:rsidRPr="00A07D95">
        <w:rPr>
          <w:noProof/>
          <w:color w:val="000000" w:themeColor="text1"/>
        </w:rPr>
        <w:fldChar w:fldCharType="end"/>
      </w:r>
      <w:r w:rsidRPr="00A07D95">
        <w:rPr>
          <w:color w:val="000000" w:themeColor="text1"/>
        </w:rPr>
        <w:t>: Producción Minera en Guatemala</w:t>
      </w:r>
      <w:bookmarkEnd w:id="214"/>
    </w:p>
    <w:p w14:paraId="5F2926B5" w14:textId="77777777" w:rsidR="008A5924" w:rsidRDefault="008A5924" w:rsidP="008A5924">
      <w:pPr>
        <w:keepNext/>
        <w:jc w:val="center"/>
        <w:rPr>
          <w:sz w:val="16"/>
          <w:lang w:val="es-MX"/>
        </w:rPr>
      </w:pPr>
      <w:r w:rsidRPr="00184700">
        <w:rPr>
          <w:sz w:val="16"/>
          <w:lang w:val="es-MX"/>
        </w:rPr>
        <w:t>Periodo 2000 – 2018</w:t>
      </w:r>
    </w:p>
    <w:p w14:paraId="48BED47B" w14:textId="77777777" w:rsidR="00056555" w:rsidRPr="00184700" w:rsidRDefault="00056555" w:rsidP="008A5924">
      <w:pPr>
        <w:keepNext/>
        <w:jc w:val="center"/>
        <w:rPr>
          <w:lang w:val="es-MX"/>
        </w:rPr>
      </w:pPr>
    </w:p>
    <w:p w14:paraId="5BEA4DA5" w14:textId="77777777" w:rsidR="008A5924" w:rsidRPr="00184700" w:rsidRDefault="008A5924" w:rsidP="008A5924">
      <w:pPr>
        <w:jc w:val="center"/>
        <w:rPr>
          <w:sz w:val="12"/>
          <w:lang w:val="es-MX"/>
        </w:rPr>
      </w:pPr>
      <w:r w:rsidRPr="00184700">
        <w:rPr>
          <w:noProof/>
          <w:lang w:val="es-GT" w:eastAsia="es-GT"/>
        </w:rPr>
        <w:drawing>
          <wp:inline distT="0" distB="0" distL="0" distR="0" wp14:anchorId="4A5428E9" wp14:editId="19B250D5">
            <wp:extent cx="5676181" cy="3433313"/>
            <wp:effectExtent l="0" t="0" r="1270" b="0"/>
            <wp:docPr id="35" name="Gráfico 3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B1A069" w14:textId="77777777" w:rsidR="008A5924" w:rsidRPr="00184700" w:rsidRDefault="00C5567B" w:rsidP="008A5924">
      <w:pPr>
        <w:rPr>
          <w:sz w:val="12"/>
          <w:lang w:val="es-MX"/>
        </w:rPr>
      </w:pPr>
      <w:r>
        <w:rPr>
          <w:sz w:val="16"/>
          <w:lang w:val="es-MX"/>
        </w:rPr>
        <w:t xml:space="preserve">                  </w:t>
      </w:r>
      <w:r w:rsidR="008A5924" w:rsidRPr="00C5567B">
        <w:rPr>
          <w:sz w:val="16"/>
          <w:lang w:val="es-MX"/>
        </w:rPr>
        <w:t>Fuente: Cifras Ministerio de Energía y Minas</w:t>
      </w:r>
      <w:r w:rsidR="008A5924" w:rsidRPr="00184700">
        <w:rPr>
          <w:sz w:val="12"/>
          <w:lang w:val="es-MX"/>
        </w:rPr>
        <w:t>.</w:t>
      </w:r>
    </w:p>
    <w:p w14:paraId="2763C472" w14:textId="77777777" w:rsidR="008A5924" w:rsidRPr="00184700" w:rsidRDefault="008A5924" w:rsidP="008A5924">
      <w:pPr>
        <w:rPr>
          <w:lang w:val="es-MX"/>
        </w:rPr>
      </w:pPr>
    </w:p>
    <w:p w14:paraId="39741D42" w14:textId="77777777" w:rsidR="008A5924" w:rsidRPr="00A07D95" w:rsidRDefault="008A5924" w:rsidP="008A5924">
      <w:pPr>
        <w:jc w:val="both"/>
        <w:rPr>
          <w:sz w:val="24"/>
          <w:szCs w:val="24"/>
          <w:lang w:val="es-MX"/>
        </w:rPr>
      </w:pPr>
      <w:r w:rsidRPr="00A07D95">
        <w:rPr>
          <w:sz w:val="24"/>
          <w:szCs w:val="24"/>
          <w:lang w:val="es-MX"/>
        </w:rPr>
        <w:t xml:space="preserve">Para el 2012, se evidencia una caída en la producción, la cual está relacionada con el cese de la explotación a cielo abierto y el inicio de las operaciones subterráneas de la mina Marlin. </w:t>
      </w:r>
    </w:p>
    <w:p w14:paraId="369350A2" w14:textId="77777777" w:rsidR="008A5924" w:rsidRPr="00A07D95" w:rsidRDefault="008A5924" w:rsidP="008A5924">
      <w:pPr>
        <w:jc w:val="both"/>
        <w:rPr>
          <w:sz w:val="24"/>
          <w:szCs w:val="24"/>
          <w:lang w:val="es-MX"/>
        </w:rPr>
      </w:pPr>
    </w:p>
    <w:p w14:paraId="4C8920A8" w14:textId="77777777" w:rsidR="008A5924" w:rsidRPr="00A07D95" w:rsidRDefault="008A5924" w:rsidP="008A5924">
      <w:pPr>
        <w:jc w:val="both"/>
        <w:rPr>
          <w:sz w:val="24"/>
          <w:szCs w:val="24"/>
          <w:lang w:val="es-MX"/>
        </w:rPr>
      </w:pPr>
      <w:r w:rsidRPr="00A07D95">
        <w:rPr>
          <w:sz w:val="24"/>
          <w:szCs w:val="24"/>
          <w:lang w:val="es-MX"/>
        </w:rPr>
        <w:t>En el 2013 se observa un incremento importante derivado del inicio de las operaciones del Proyecto Minero el Escobal (extracción de: oro, plata, zinc y plomo) ubicado en el Muni</w:t>
      </w:r>
      <w:r w:rsidR="00F86A68">
        <w:rPr>
          <w:sz w:val="24"/>
          <w:szCs w:val="24"/>
          <w:lang w:val="es-MX"/>
        </w:rPr>
        <w:t xml:space="preserve">cipio de San Rafael las Flores, </w:t>
      </w:r>
      <w:r w:rsidRPr="00A07D95">
        <w:rPr>
          <w:sz w:val="24"/>
          <w:szCs w:val="24"/>
          <w:lang w:val="es-MX"/>
        </w:rPr>
        <w:t xml:space="preserve">Departamento de Santa Rosa. La producción de este proyecto, contribuyó a estabilizar la producción de minerales metálicos ubicándola en </w:t>
      </w:r>
      <w:r w:rsidR="00570EFC" w:rsidRPr="00A07D95">
        <w:rPr>
          <w:sz w:val="24"/>
          <w:szCs w:val="24"/>
          <w:lang w:val="es-MX"/>
        </w:rPr>
        <w:t>Q3, 926.4 millones, un 11.4 por ciento menor a la estimada en 2012</w:t>
      </w:r>
      <w:r w:rsidRPr="00A07D95">
        <w:rPr>
          <w:sz w:val="24"/>
          <w:szCs w:val="24"/>
          <w:lang w:val="es-MX"/>
        </w:rPr>
        <w:t xml:space="preserve"> (MEM, 2014). </w:t>
      </w:r>
    </w:p>
    <w:p w14:paraId="43B6A3A6" w14:textId="77777777" w:rsidR="008A5924" w:rsidRPr="00A07D95" w:rsidRDefault="008A5924" w:rsidP="008A5924">
      <w:pPr>
        <w:jc w:val="both"/>
        <w:rPr>
          <w:sz w:val="24"/>
          <w:szCs w:val="24"/>
          <w:lang w:val="es-MX"/>
        </w:rPr>
      </w:pPr>
    </w:p>
    <w:p w14:paraId="50B0F03E" w14:textId="77777777" w:rsidR="008A5924" w:rsidRPr="00A07D95" w:rsidRDefault="008A5924" w:rsidP="008A5924">
      <w:pPr>
        <w:jc w:val="both"/>
        <w:rPr>
          <w:sz w:val="24"/>
          <w:szCs w:val="24"/>
          <w:lang w:val="es-MX"/>
        </w:rPr>
      </w:pPr>
      <w:r w:rsidRPr="00A07D95">
        <w:rPr>
          <w:sz w:val="24"/>
          <w:szCs w:val="24"/>
          <w:lang w:val="es-MX"/>
        </w:rPr>
        <w:t>Durante el 2014, la producción se ubicó en Q5,751.7 millones, por el inicio de las actividades de las minas Fénix en El Estor, Izabal; el Proyecto Minero Cerro Colorado, ubicado en el municipio de Gualán, Zacapa y el Proyecto de Extracción Minera Sechol, en el municipio de Senahú, Alta Verapaz. Lo anterior, in</w:t>
      </w:r>
      <w:r w:rsidR="00570EFC" w:rsidRPr="00A07D95">
        <w:rPr>
          <w:sz w:val="24"/>
          <w:szCs w:val="24"/>
          <w:lang w:val="es-MX"/>
        </w:rPr>
        <w:t>fluyó en un incremento del 46.5 por ciento</w:t>
      </w:r>
      <w:r w:rsidRPr="00A07D95">
        <w:rPr>
          <w:sz w:val="24"/>
          <w:szCs w:val="24"/>
          <w:lang w:val="es-MX"/>
        </w:rPr>
        <w:t xml:space="preserve"> respecto del 2013 (MEM, 2015).</w:t>
      </w:r>
    </w:p>
    <w:p w14:paraId="2EFD6BAB" w14:textId="77777777" w:rsidR="008A5924" w:rsidRPr="00A07D95" w:rsidRDefault="008A5924" w:rsidP="008A5924">
      <w:pPr>
        <w:jc w:val="both"/>
        <w:rPr>
          <w:sz w:val="24"/>
          <w:szCs w:val="24"/>
          <w:lang w:val="es-MX"/>
        </w:rPr>
      </w:pPr>
    </w:p>
    <w:p w14:paraId="4B183D3C" w14:textId="77777777" w:rsidR="008A5924" w:rsidRPr="00A07D95" w:rsidRDefault="008A5924" w:rsidP="008A5924">
      <w:pPr>
        <w:jc w:val="both"/>
        <w:rPr>
          <w:sz w:val="24"/>
          <w:szCs w:val="24"/>
          <w:lang w:val="es-MX"/>
        </w:rPr>
      </w:pPr>
      <w:r w:rsidRPr="00A07D95">
        <w:rPr>
          <w:sz w:val="24"/>
          <w:szCs w:val="24"/>
          <w:lang w:val="es-MX"/>
        </w:rPr>
        <w:t>A partir de 2015, derivado la disminución de las exportaciones de oro y plata, se observa una nueva reducción, la cual se acentúa en 2017 asociada, a la suspensión provisional de la mina el Escobal por parte de la Corte de Constitucionalidad.</w:t>
      </w:r>
    </w:p>
    <w:p w14:paraId="7BF216E3" w14:textId="77777777" w:rsidR="008A5924" w:rsidRPr="00A07D95" w:rsidRDefault="008A5924" w:rsidP="008A5924">
      <w:pPr>
        <w:jc w:val="both"/>
        <w:rPr>
          <w:sz w:val="24"/>
          <w:szCs w:val="24"/>
          <w:lang w:val="es-MX"/>
        </w:rPr>
      </w:pPr>
    </w:p>
    <w:p w14:paraId="1164F87B" w14:textId="77777777" w:rsidR="008A5924" w:rsidRPr="00A07D95" w:rsidRDefault="008A5924" w:rsidP="008A5924">
      <w:pPr>
        <w:jc w:val="both"/>
        <w:rPr>
          <w:sz w:val="24"/>
          <w:szCs w:val="24"/>
          <w:lang w:val="es-MX"/>
        </w:rPr>
      </w:pPr>
      <w:r w:rsidRPr="00A07D95">
        <w:rPr>
          <w:sz w:val="24"/>
          <w:szCs w:val="24"/>
          <w:lang w:val="es-MX"/>
        </w:rPr>
        <w:t>Para el 2016, inicia el cierre técnico de la mina Marlin, aun cuando la producción de las minas Escobal, Fenix, Sechol y Cerro Colorado, compensaron parcialmente dicha baja</w:t>
      </w:r>
      <w:r w:rsidR="00570EFC" w:rsidRPr="00A07D95">
        <w:rPr>
          <w:sz w:val="24"/>
          <w:szCs w:val="24"/>
          <w:lang w:val="es-MX"/>
        </w:rPr>
        <w:t>, la producción se ubicó en Q5,</w:t>
      </w:r>
      <w:r w:rsidRPr="00A07D95">
        <w:rPr>
          <w:sz w:val="24"/>
          <w:szCs w:val="24"/>
          <w:lang w:val="es-MX"/>
        </w:rPr>
        <w:t>614.7 millones lo que re</w:t>
      </w:r>
      <w:r w:rsidR="00570EFC" w:rsidRPr="00A07D95">
        <w:rPr>
          <w:sz w:val="24"/>
          <w:szCs w:val="24"/>
          <w:lang w:val="es-MX"/>
        </w:rPr>
        <w:t>presentó una disminución de 1.6 por ciento</w:t>
      </w:r>
      <w:r w:rsidRPr="00A07D95">
        <w:rPr>
          <w:sz w:val="24"/>
          <w:szCs w:val="24"/>
          <w:lang w:val="es-MX"/>
        </w:rPr>
        <w:t xml:space="preserve"> respecto del 2015.</w:t>
      </w:r>
    </w:p>
    <w:p w14:paraId="699D3D74" w14:textId="77777777" w:rsidR="008A5924" w:rsidRDefault="008A5924" w:rsidP="008A5924">
      <w:pPr>
        <w:jc w:val="both"/>
        <w:rPr>
          <w:sz w:val="24"/>
          <w:szCs w:val="24"/>
          <w:lang w:val="es-MX"/>
        </w:rPr>
      </w:pPr>
    </w:p>
    <w:p w14:paraId="504B82E0" w14:textId="77777777" w:rsidR="0026523E" w:rsidRPr="00A07D95" w:rsidRDefault="0026523E" w:rsidP="008A5924">
      <w:pPr>
        <w:jc w:val="both"/>
        <w:rPr>
          <w:sz w:val="24"/>
          <w:szCs w:val="24"/>
          <w:lang w:val="es-MX"/>
        </w:rPr>
      </w:pPr>
    </w:p>
    <w:p w14:paraId="7BE8AF40" w14:textId="77777777" w:rsidR="008A5924" w:rsidRPr="00A07D95" w:rsidRDefault="008A5924" w:rsidP="008A5924">
      <w:pPr>
        <w:jc w:val="both"/>
        <w:rPr>
          <w:sz w:val="24"/>
          <w:szCs w:val="24"/>
          <w:lang w:val="es-MX"/>
        </w:rPr>
      </w:pPr>
      <w:r w:rsidRPr="00A07D95">
        <w:rPr>
          <w:sz w:val="24"/>
          <w:szCs w:val="24"/>
          <w:lang w:val="es-MX"/>
        </w:rPr>
        <w:t>Desde julio de 2017 debido a la suspensión temporal de la licencia de explotación del proyecto El Escobal, la participación de la minería metálica alcanza el punto más bajo de la serie. En adición, para 2018 la extracción y exportación de mena de níquel registró una contracción asociada a conflictos de tipo social que afrontan las empresas mineras y a una disminución en la demanda externa de este mineral (BANGUAT, 2019).</w:t>
      </w:r>
    </w:p>
    <w:p w14:paraId="28982F53" w14:textId="77777777" w:rsidR="008A5924" w:rsidRPr="00A07D95" w:rsidRDefault="008A5924" w:rsidP="008A5924">
      <w:pPr>
        <w:jc w:val="both"/>
        <w:rPr>
          <w:sz w:val="24"/>
          <w:szCs w:val="24"/>
          <w:lang w:val="es-MX"/>
        </w:rPr>
      </w:pPr>
    </w:p>
    <w:p w14:paraId="715C4D67" w14:textId="77777777" w:rsidR="008A5924" w:rsidRPr="00A07D95" w:rsidRDefault="008A5924" w:rsidP="008A5924">
      <w:pPr>
        <w:jc w:val="both"/>
        <w:rPr>
          <w:sz w:val="24"/>
          <w:szCs w:val="24"/>
          <w:lang w:val="es-MX"/>
        </w:rPr>
      </w:pPr>
      <w:r w:rsidRPr="00A07D95">
        <w:rPr>
          <w:sz w:val="24"/>
          <w:szCs w:val="24"/>
          <w:lang w:val="es-MX"/>
        </w:rPr>
        <w:t>Derivado del comportamiento irregular de la producción, para el periodo de 2010 a 2017 el aporte a la recaudación tributaria del sector minero se estima en Q2,326.1 millones, destaca el Impuesto Sobre la Renta con un aporte acumulado d</w:t>
      </w:r>
      <w:r w:rsidR="00570EFC" w:rsidRPr="00A07D95">
        <w:rPr>
          <w:sz w:val="24"/>
          <w:szCs w:val="24"/>
          <w:lang w:val="es-MX"/>
        </w:rPr>
        <w:t>e Q1,918.2 que representa el 82 por ciento</w:t>
      </w:r>
      <w:r w:rsidRPr="00A07D95">
        <w:rPr>
          <w:sz w:val="24"/>
          <w:szCs w:val="24"/>
          <w:lang w:val="es-MX"/>
        </w:rPr>
        <w:t xml:space="preserve"> de lo recaudado por la actividad en ese periodo.</w:t>
      </w:r>
    </w:p>
    <w:p w14:paraId="7D1268D7" w14:textId="77777777" w:rsidR="008A5924" w:rsidRPr="00184700" w:rsidRDefault="008A5924" w:rsidP="008A5924">
      <w:pPr>
        <w:rPr>
          <w:lang w:val="es-MX"/>
        </w:rPr>
      </w:pPr>
    </w:p>
    <w:p w14:paraId="464D0D32" w14:textId="77777777" w:rsidR="008A5924" w:rsidRPr="00A07D95" w:rsidRDefault="008A5924" w:rsidP="00DD6292">
      <w:pPr>
        <w:pStyle w:val="Ttulo3"/>
        <w:widowControl/>
        <w:numPr>
          <w:ilvl w:val="2"/>
          <w:numId w:val="5"/>
        </w:numPr>
        <w:spacing w:before="240" w:after="60"/>
        <w:ind w:left="1701" w:hanging="981"/>
        <w:jc w:val="both"/>
        <w:rPr>
          <w:sz w:val="24"/>
          <w:szCs w:val="24"/>
        </w:rPr>
      </w:pPr>
      <w:bookmarkStart w:id="215" w:name="_Toc16519914"/>
      <w:r w:rsidRPr="00A07D95">
        <w:rPr>
          <w:sz w:val="24"/>
          <w:szCs w:val="24"/>
        </w:rPr>
        <w:t>Importancia fiscal de la actividad minera en Guatemala</w:t>
      </w:r>
      <w:bookmarkEnd w:id="215"/>
    </w:p>
    <w:p w14:paraId="15001234" w14:textId="77777777" w:rsidR="008A5924" w:rsidRPr="00A07D95" w:rsidRDefault="008A5924" w:rsidP="00DD6292">
      <w:pPr>
        <w:pStyle w:val="Ttulo4"/>
        <w:widowControl/>
        <w:numPr>
          <w:ilvl w:val="3"/>
          <w:numId w:val="5"/>
        </w:numPr>
        <w:spacing w:before="240" w:after="60"/>
        <w:jc w:val="both"/>
        <w:rPr>
          <w:sz w:val="24"/>
          <w:szCs w:val="24"/>
        </w:rPr>
      </w:pPr>
      <w:bookmarkStart w:id="216" w:name="_Toc16519915"/>
      <w:r w:rsidRPr="00A07D95">
        <w:rPr>
          <w:sz w:val="24"/>
          <w:szCs w:val="24"/>
        </w:rPr>
        <w:t>Aportes a la Administración Central</w:t>
      </w:r>
      <w:bookmarkEnd w:id="216"/>
      <w:r w:rsidRPr="00A07D95">
        <w:rPr>
          <w:sz w:val="24"/>
          <w:szCs w:val="24"/>
        </w:rPr>
        <w:t xml:space="preserve"> </w:t>
      </w:r>
    </w:p>
    <w:p w14:paraId="3EC722F7" w14:textId="77777777" w:rsidR="008A5924" w:rsidRPr="00A07D95" w:rsidRDefault="008A5924" w:rsidP="008A5924">
      <w:pPr>
        <w:jc w:val="both"/>
        <w:rPr>
          <w:sz w:val="24"/>
          <w:szCs w:val="24"/>
          <w:lang w:val="es-MX"/>
        </w:rPr>
      </w:pPr>
    </w:p>
    <w:p w14:paraId="789541E8" w14:textId="77777777" w:rsidR="008A5924" w:rsidRPr="00A07D95" w:rsidRDefault="008A5924" w:rsidP="008A5924">
      <w:pPr>
        <w:jc w:val="both"/>
        <w:rPr>
          <w:sz w:val="24"/>
          <w:szCs w:val="24"/>
          <w:lang w:val="es-MX"/>
        </w:rPr>
      </w:pPr>
      <w:r w:rsidRPr="00A07D95">
        <w:rPr>
          <w:sz w:val="24"/>
          <w:szCs w:val="24"/>
          <w:lang w:val="es-MX"/>
        </w:rPr>
        <w:t>Las empresas dedicadas a la extracción minera en el país son contribuyentes afectos a los impuestos administrados por la SAT que les son aplicables. Durante el periodo 2010 a 2018, se registran ingresos acumulados por concepto Impuesto Sobre la Renta por Q1,942.9</w:t>
      </w:r>
      <w:r w:rsidR="00570EFC" w:rsidRPr="00A07D95">
        <w:rPr>
          <w:sz w:val="24"/>
          <w:szCs w:val="24"/>
          <w:lang w:val="es-MX"/>
        </w:rPr>
        <w:t xml:space="preserve"> millones correspondiente al 82 por ciento</w:t>
      </w:r>
      <w:r w:rsidRPr="00A07D95">
        <w:rPr>
          <w:sz w:val="24"/>
          <w:szCs w:val="24"/>
          <w:lang w:val="es-MX"/>
        </w:rPr>
        <w:t xml:space="preserve"> de lo recaudado, mientras que el Impuesto sobre Timbres y Papel Sellado recaudó un acumulado de Q290.9 millones (12%).</w:t>
      </w:r>
    </w:p>
    <w:p w14:paraId="110E5BDE" w14:textId="77777777" w:rsidR="008A5924" w:rsidRPr="00184700" w:rsidRDefault="008A5924" w:rsidP="008A5924">
      <w:pPr>
        <w:jc w:val="both"/>
        <w:rPr>
          <w:lang w:val="es-MX"/>
        </w:rPr>
      </w:pPr>
    </w:p>
    <w:p w14:paraId="6EE70D6A" w14:textId="5110BA1C" w:rsidR="008A5924" w:rsidRPr="00A07D95" w:rsidRDefault="008A5924" w:rsidP="008A5924">
      <w:pPr>
        <w:pStyle w:val="Descripcin"/>
        <w:rPr>
          <w:color w:val="000000" w:themeColor="text1"/>
          <w:sz w:val="16"/>
        </w:rPr>
      </w:pPr>
      <w:bookmarkStart w:id="217" w:name="_Toc16242958"/>
      <w:r w:rsidRPr="00A07D95">
        <w:rPr>
          <w:color w:val="000000" w:themeColor="text1"/>
        </w:rPr>
        <w:t xml:space="preserve">Cuadro  </w:t>
      </w:r>
      <w:r w:rsidRPr="00A07D95">
        <w:rPr>
          <w:color w:val="000000" w:themeColor="text1"/>
        </w:rPr>
        <w:fldChar w:fldCharType="begin"/>
      </w:r>
      <w:r w:rsidRPr="00A07D95">
        <w:rPr>
          <w:color w:val="000000" w:themeColor="text1"/>
        </w:rPr>
        <w:instrText xml:space="preserve"> SEQ Cuadro_ \* ARABIC </w:instrText>
      </w:r>
      <w:r w:rsidRPr="00A07D95">
        <w:rPr>
          <w:color w:val="000000" w:themeColor="text1"/>
        </w:rPr>
        <w:fldChar w:fldCharType="separate"/>
      </w:r>
      <w:r w:rsidR="004B2A60">
        <w:rPr>
          <w:noProof/>
          <w:color w:val="000000" w:themeColor="text1"/>
        </w:rPr>
        <w:t>8</w:t>
      </w:r>
      <w:r w:rsidRPr="00A07D95">
        <w:rPr>
          <w:noProof/>
          <w:color w:val="000000" w:themeColor="text1"/>
        </w:rPr>
        <w:fldChar w:fldCharType="end"/>
      </w:r>
      <w:r w:rsidRPr="00A07D95">
        <w:rPr>
          <w:color w:val="000000" w:themeColor="text1"/>
        </w:rPr>
        <w:t>: Recaudación del Sector Minería</w:t>
      </w:r>
      <w:r w:rsidRPr="00A07D95">
        <w:rPr>
          <w:color w:val="000000" w:themeColor="text1"/>
          <w:sz w:val="16"/>
          <w:vertAlign w:val="superscript"/>
        </w:rPr>
        <w:t>1/</w:t>
      </w:r>
      <w:bookmarkEnd w:id="217"/>
    </w:p>
    <w:p w14:paraId="30FA9D6F" w14:textId="77777777" w:rsidR="008A5924" w:rsidRPr="00184700" w:rsidRDefault="008A5924" w:rsidP="008A5924">
      <w:pPr>
        <w:jc w:val="center"/>
        <w:rPr>
          <w:sz w:val="16"/>
        </w:rPr>
      </w:pPr>
      <w:r w:rsidRPr="00184700">
        <w:rPr>
          <w:sz w:val="16"/>
        </w:rPr>
        <w:t>Periodo 2010-2018</w:t>
      </w:r>
    </w:p>
    <w:p w14:paraId="197683F8" w14:textId="77777777" w:rsidR="008A5924" w:rsidRPr="00184700" w:rsidRDefault="008A5924" w:rsidP="008A5924">
      <w:pPr>
        <w:jc w:val="center"/>
        <w:rPr>
          <w:sz w:val="16"/>
        </w:rPr>
      </w:pPr>
      <w:r w:rsidRPr="00184700">
        <w:rPr>
          <w:sz w:val="16"/>
        </w:rPr>
        <w:t>Cifras en millones de Quetzales</w:t>
      </w:r>
    </w:p>
    <w:p w14:paraId="72B16FFF" w14:textId="77777777" w:rsidR="008A5924" w:rsidRPr="00184700" w:rsidRDefault="008A5924" w:rsidP="008A5924">
      <w:pPr>
        <w:jc w:val="center"/>
        <w:rPr>
          <w:sz w:val="16"/>
        </w:rPr>
      </w:pPr>
    </w:p>
    <w:p w14:paraId="1C227E9A" w14:textId="77777777" w:rsidR="008A5924" w:rsidRPr="00184700" w:rsidRDefault="008A5924" w:rsidP="00DD6292">
      <w:pPr>
        <w:pStyle w:val="Prrafodelista"/>
        <w:widowControl/>
        <w:numPr>
          <w:ilvl w:val="0"/>
          <w:numId w:val="14"/>
        </w:numPr>
        <w:spacing w:after="200" w:line="276" w:lineRule="auto"/>
        <w:jc w:val="both"/>
        <w:rPr>
          <w:b/>
          <w:vanish/>
          <w:lang w:val="es-MX"/>
        </w:rPr>
      </w:pPr>
    </w:p>
    <w:p w14:paraId="725FA240" w14:textId="77777777" w:rsidR="008A5924" w:rsidRPr="00184700" w:rsidRDefault="008A5924" w:rsidP="00DD6292">
      <w:pPr>
        <w:pStyle w:val="Prrafodelista"/>
        <w:widowControl/>
        <w:numPr>
          <w:ilvl w:val="0"/>
          <w:numId w:val="14"/>
        </w:numPr>
        <w:spacing w:after="200" w:line="276" w:lineRule="auto"/>
        <w:jc w:val="both"/>
        <w:rPr>
          <w:b/>
          <w:vanish/>
          <w:lang w:val="es-MX"/>
        </w:rPr>
      </w:pPr>
    </w:p>
    <w:p w14:paraId="59E055F4" w14:textId="77777777" w:rsidR="008A5924" w:rsidRPr="00184700" w:rsidRDefault="008A5924" w:rsidP="00DD6292">
      <w:pPr>
        <w:pStyle w:val="Prrafodelista"/>
        <w:widowControl/>
        <w:numPr>
          <w:ilvl w:val="1"/>
          <w:numId w:val="14"/>
        </w:numPr>
        <w:spacing w:after="200" w:line="276" w:lineRule="auto"/>
        <w:jc w:val="both"/>
        <w:rPr>
          <w:b/>
          <w:vanish/>
          <w:lang w:val="es-MX"/>
        </w:rPr>
      </w:pPr>
    </w:p>
    <w:tbl>
      <w:tblPr>
        <w:tblW w:w="9017" w:type="dxa"/>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066"/>
        <w:gridCol w:w="672"/>
        <w:gridCol w:w="672"/>
        <w:gridCol w:w="672"/>
        <w:gridCol w:w="672"/>
        <w:gridCol w:w="672"/>
        <w:gridCol w:w="672"/>
        <w:gridCol w:w="672"/>
        <w:gridCol w:w="672"/>
        <w:gridCol w:w="672"/>
        <w:gridCol w:w="903"/>
      </w:tblGrid>
      <w:tr w:rsidR="008A5924" w:rsidRPr="00184700" w14:paraId="48F8471A" w14:textId="77777777" w:rsidTr="009E2A5D">
        <w:trPr>
          <w:trHeight w:val="314"/>
          <w:jc w:val="center"/>
        </w:trPr>
        <w:tc>
          <w:tcPr>
            <w:tcW w:w="2066" w:type="dxa"/>
            <w:shd w:val="clear" w:color="auto" w:fill="8DB3E2"/>
            <w:noWrap/>
            <w:vAlign w:val="center"/>
            <w:hideMark/>
          </w:tcPr>
          <w:p w14:paraId="0E4E5047" w14:textId="77777777" w:rsidR="008A5924" w:rsidRPr="00184700" w:rsidRDefault="008A5924" w:rsidP="008A5924">
            <w:pPr>
              <w:jc w:val="center"/>
              <w:rPr>
                <w:b/>
                <w:bCs/>
                <w:sz w:val="14"/>
                <w:szCs w:val="16"/>
                <w:lang w:eastAsia="es-GT"/>
              </w:rPr>
            </w:pPr>
            <w:r w:rsidRPr="00184700">
              <w:rPr>
                <w:b/>
                <w:bCs/>
                <w:sz w:val="14"/>
                <w:szCs w:val="16"/>
                <w:lang w:eastAsia="es-GT"/>
              </w:rPr>
              <w:t>IMPUESTO</w:t>
            </w:r>
          </w:p>
        </w:tc>
        <w:tc>
          <w:tcPr>
            <w:tcW w:w="672" w:type="dxa"/>
            <w:shd w:val="clear" w:color="auto" w:fill="8DB3E2"/>
            <w:noWrap/>
            <w:vAlign w:val="center"/>
            <w:hideMark/>
          </w:tcPr>
          <w:p w14:paraId="6D6A7713" w14:textId="77777777" w:rsidR="008A5924" w:rsidRPr="00184700" w:rsidRDefault="008A5924" w:rsidP="008A5924">
            <w:pPr>
              <w:jc w:val="center"/>
              <w:rPr>
                <w:b/>
                <w:bCs/>
                <w:sz w:val="14"/>
                <w:szCs w:val="16"/>
                <w:lang w:eastAsia="es-GT"/>
              </w:rPr>
            </w:pPr>
            <w:r w:rsidRPr="00184700">
              <w:rPr>
                <w:b/>
                <w:bCs/>
                <w:sz w:val="14"/>
                <w:szCs w:val="16"/>
                <w:lang w:eastAsia="es-GT"/>
              </w:rPr>
              <w:t>2010</w:t>
            </w:r>
          </w:p>
        </w:tc>
        <w:tc>
          <w:tcPr>
            <w:tcW w:w="672" w:type="dxa"/>
            <w:shd w:val="clear" w:color="000000" w:fill="8DB3E2"/>
            <w:noWrap/>
            <w:vAlign w:val="center"/>
            <w:hideMark/>
          </w:tcPr>
          <w:p w14:paraId="28671874" w14:textId="77777777" w:rsidR="008A5924" w:rsidRPr="00184700" w:rsidRDefault="008A5924" w:rsidP="008A5924">
            <w:pPr>
              <w:jc w:val="center"/>
              <w:rPr>
                <w:b/>
                <w:bCs/>
                <w:sz w:val="14"/>
                <w:szCs w:val="16"/>
                <w:lang w:eastAsia="es-GT"/>
              </w:rPr>
            </w:pPr>
            <w:r w:rsidRPr="00184700">
              <w:rPr>
                <w:b/>
                <w:bCs/>
                <w:sz w:val="14"/>
                <w:szCs w:val="16"/>
                <w:lang w:eastAsia="es-GT"/>
              </w:rPr>
              <w:t>2011</w:t>
            </w:r>
          </w:p>
        </w:tc>
        <w:tc>
          <w:tcPr>
            <w:tcW w:w="672" w:type="dxa"/>
            <w:shd w:val="clear" w:color="000000" w:fill="8DB3E2"/>
            <w:noWrap/>
            <w:vAlign w:val="center"/>
            <w:hideMark/>
          </w:tcPr>
          <w:p w14:paraId="1621DA0F" w14:textId="77777777" w:rsidR="008A5924" w:rsidRPr="00184700" w:rsidRDefault="008A5924" w:rsidP="008A5924">
            <w:pPr>
              <w:jc w:val="center"/>
              <w:rPr>
                <w:b/>
                <w:bCs/>
                <w:sz w:val="14"/>
                <w:szCs w:val="16"/>
                <w:lang w:eastAsia="es-GT"/>
              </w:rPr>
            </w:pPr>
            <w:r w:rsidRPr="00184700">
              <w:rPr>
                <w:b/>
                <w:bCs/>
                <w:sz w:val="14"/>
                <w:szCs w:val="16"/>
                <w:lang w:eastAsia="es-GT"/>
              </w:rPr>
              <w:t>2012</w:t>
            </w:r>
          </w:p>
        </w:tc>
        <w:tc>
          <w:tcPr>
            <w:tcW w:w="672" w:type="dxa"/>
            <w:shd w:val="clear" w:color="000000" w:fill="8DB3E2"/>
            <w:noWrap/>
            <w:vAlign w:val="center"/>
            <w:hideMark/>
          </w:tcPr>
          <w:p w14:paraId="2BB7229B" w14:textId="77777777" w:rsidR="008A5924" w:rsidRPr="00184700" w:rsidRDefault="008A5924" w:rsidP="008A5924">
            <w:pPr>
              <w:jc w:val="center"/>
              <w:rPr>
                <w:b/>
                <w:bCs/>
                <w:sz w:val="14"/>
                <w:szCs w:val="16"/>
                <w:lang w:eastAsia="es-GT"/>
              </w:rPr>
            </w:pPr>
            <w:r w:rsidRPr="00184700">
              <w:rPr>
                <w:b/>
                <w:bCs/>
                <w:sz w:val="14"/>
                <w:szCs w:val="16"/>
                <w:lang w:eastAsia="es-GT"/>
              </w:rPr>
              <w:t>2013</w:t>
            </w:r>
          </w:p>
        </w:tc>
        <w:tc>
          <w:tcPr>
            <w:tcW w:w="672" w:type="dxa"/>
            <w:shd w:val="clear" w:color="000000" w:fill="8DB3E2"/>
            <w:noWrap/>
            <w:vAlign w:val="center"/>
            <w:hideMark/>
          </w:tcPr>
          <w:p w14:paraId="2BB74DC8" w14:textId="77777777" w:rsidR="008A5924" w:rsidRPr="00184700" w:rsidRDefault="008A5924" w:rsidP="008A5924">
            <w:pPr>
              <w:jc w:val="center"/>
              <w:rPr>
                <w:b/>
                <w:bCs/>
                <w:sz w:val="14"/>
                <w:szCs w:val="16"/>
                <w:lang w:eastAsia="es-GT"/>
              </w:rPr>
            </w:pPr>
            <w:r w:rsidRPr="00184700">
              <w:rPr>
                <w:b/>
                <w:bCs/>
                <w:sz w:val="14"/>
                <w:szCs w:val="16"/>
                <w:lang w:eastAsia="es-GT"/>
              </w:rPr>
              <w:t>2014</w:t>
            </w:r>
          </w:p>
        </w:tc>
        <w:tc>
          <w:tcPr>
            <w:tcW w:w="672" w:type="dxa"/>
            <w:shd w:val="clear" w:color="000000" w:fill="8DB3E2"/>
            <w:noWrap/>
            <w:vAlign w:val="center"/>
            <w:hideMark/>
          </w:tcPr>
          <w:p w14:paraId="322FB159" w14:textId="77777777" w:rsidR="008A5924" w:rsidRPr="00184700" w:rsidRDefault="008A5924" w:rsidP="008A5924">
            <w:pPr>
              <w:jc w:val="center"/>
              <w:rPr>
                <w:b/>
                <w:bCs/>
                <w:sz w:val="14"/>
                <w:szCs w:val="16"/>
                <w:lang w:eastAsia="es-GT"/>
              </w:rPr>
            </w:pPr>
            <w:r w:rsidRPr="00184700">
              <w:rPr>
                <w:b/>
                <w:bCs/>
                <w:sz w:val="14"/>
                <w:szCs w:val="16"/>
                <w:lang w:eastAsia="es-GT"/>
              </w:rPr>
              <w:t>2015</w:t>
            </w:r>
          </w:p>
        </w:tc>
        <w:tc>
          <w:tcPr>
            <w:tcW w:w="672" w:type="dxa"/>
            <w:shd w:val="clear" w:color="000000" w:fill="8DB3E2"/>
            <w:noWrap/>
            <w:vAlign w:val="center"/>
            <w:hideMark/>
          </w:tcPr>
          <w:p w14:paraId="6AB365F1" w14:textId="77777777" w:rsidR="008A5924" w:rsidRPr="00184700" w:rsidRDefault="008A5924" w:rsidP="008A5924">
            <w:pPr>
              <w:jc w:val="center"/>
              <w:rPr>
                <w:b/>
                <w:bCs/>
                <w:sz w:val="14"/>
                <w:szCs w:val="16"/>
                <w:lang w:eastAsia="es-GT"/>
              </w:rPr>
            </w:pPr>
            <w:r w:rsidRPr="00184700">
              <w:rPr>
                <w:b/>
                <w:bCs/>
                <w:sz w:val="14"/>
                <w:szCs w:val="16"/>
                <w:lang w:eastAsia="es-GT"/>
              </w:rPr>
              <w:t>2016</w:t>
            </w:r>
          </w:p>
        </w:tc>
        <w:tc>
          <w:tcPr>
            <w:tcW w:w="672" w:type="dxa"/>
            <w:shd w:val="clear" w:color="000000" w:fill="8DB3E2"/>
            <w:noWrap/>
            <w:vAlign w:val="center"/>
            <w:hideMark/>
          </w:tcPr>
          <w:p w14:paraId="7F5ABABE" w14:textId="77777777" w:rsidR="008A5924" w:rsidRPr="00184700" w:rsidRDefault="008A5924" w:rsidP="008A5924">
            <w:pPr>
              <w:jc w:val="center"/>
              <w:rPr>
                <w:b/>
                <w:bCs/>
                <w:sz w:val="14"/>
                <w:szCs w:val="16"/>
                <w:lang w:eastAsia="es-GT"/>
              </w:rPr>
            </w:pPr>
            <w:r w:rsidRPr="00184700">
              <w:rPr>
                <w:b/>
                <w:bCs/>
                <w:sz w:val="14"/>
                <w:szCs w:val="16"/>
                <w:lang w:eastAsia="es-GT"/>
              </w:rPr>
              <w:t>2017</w:t>
            </w:r>
          </w:p>
        </w:tc>
        <w:tc>
          <w:tcPr>
            <w:tcW w:w="672" w:type="dxa"/>
            <w:shd w:val="clear" w:color="000000" w:fill="8DB3E2"/>
            <w:noWrap/>
            <w:vAlign w:val="center"/>
            <w:hideMark/>
          </w:tcPr>
          <w:p w14:paraId="56BB1650" w14:textId="77777777" w:rsidR="008A5924" w:rsidRPr="00184700" w:rsidRDefault="008A5924" w:rsidP="008A5924">
            <w:pPr>
              <w:jc w:val="center"/>
              <w:rPr>
                <w:b/>
                <w:bCs/>
                <w:sz w:val="14"/>
                <w:szCs w:val="16"/>
                <w:lang w:eastAsia="es-GT"/>
              </w:rPr>
            </w:pPr>
            <w:r w:rsidRPr="00184700">
              <w:rPr>
                <w:b/>
                <w:bCs/>
                <w:sz w:val="14"/>
                <w:szCs w:val="16"/>
                <w:lang w:eastAsia="es-GT"/>
              </w:rPr>
              <w:t>2018</w:t>
            </w:r>
          </w:p>
        </w:tc>
        <w:tc>
          <w:tcPr>
            <w:tcW w:w="903" w:type="dxa"/>
            <w:shd w:val="clear" w:color="000000" w:fill="8DB3E2"/>
            <w:noWrap/>
            <w:vAlign w:val="center"/>
            <w:hideMark/>
          </w:tcPr>
          <w:p w14:paraId="6253EEAD" w14:textId="77777777" w:rsidR="008A5924" w:rsidRPr="00184700" w:rsidRDefault="008A5924" w:rsidP="008A5924">
            <w:pPr>
              <w:jc w:val="center"/>
              <w:rPr>
                <w:b/>
                <w:bCs/>
                <w:sz w:val="14"/>
                <w:szCs w:val="16"/>
                <w:lang w:eastAsia="es-GT"/>
              </w:rPr>
            </w:pPr>
            <w:r w:rsidRPr="00184700">
              <w:rPr>
                <w:b/>
                <w:bCs/>
                <w:sz w:val="14"/>
                <w:szCs w:val="16"/>
                <w:lang w:eastAsia="es-GT"/>
              </w:rPr>
              <w:t>Acumulado</w:t>
            </w:r>
          </w:p>
        </w:tc>
      </w:tr>
      <w:tr w:rsidR="008A5924" w:rsidRPr="00184700" w14:paraId="49097535" w14:textId="77777777" w:rsidTr="009E2A5D">
        <w:trPr>
          <w:trHeight w:val="314"/>
          <w:jc w:val="center"/>
        </w:trPr>
        <w:tc>
          <w:tcPr>
            <w:tcW w:w="2066" w:type="dxa"/>
            <w:shd w:val="clear" w:color="auto" w:fill="auto"/>
            <w:noWrap/>
            <w:vAlign w:val="center"/>
            <w:hideMark/>
          </w:tcPr>
          <w:p w14:paraId="77CC8BA1" w14:textId="77777777" w:rsidR="008A5924" w:rsidRPr="00184700" w:rsidRDefault="008A5924" w:rsidP="008A5924">
            <w:pPr>
              <w:rPr>
                <w:sz w:val="14"/>
                <w:szCs w:val="16"/>
                <w:lang w:eastAsia="es-GT"/>
              </w:rPr>
            </w:pPr>
            <w:r w:rsidRPr="00184700">
              <w:rPr>
                <w:sz w:val="14"/>
                <w:szCs w:val="16"/>
                <w:lang w:eastAsia="es-GT"/>
              </w:rPr>
              <w:t xml:space="preserve">Impuesto Sobre la Renta </w:t>
            </w:r>
            <w:r w:rsidRPr="00184700">
              <w:rPr>
                <w:sz w:val="14"/>
                <w:szCs w:val="16"/>
                <w:vertAlign w:val="superscript"/>
                <w:lang w:eastAsia="es-GT"/>
              </w:rPr>
              <w:t>/2</w:t>
            </w:r>
          </w:p>
        </w:tc>
        <w:tc>
          <w:tcPr>
            <w:tcW w:w="672" w:type="dxa"/>
            <w:shd w:val="clear" w:color="auto" w:fill="auto"/>
            <w:noWrap/>
            <w:vAlign w:val="center"/>
            <w:hideMark/>
          </w:tcPr>
          <w:p w14:paraId="7D15A1DC" w14:textId="77777777" w:rsidR="008A5924" w:rsidRPr="00184700" w:rsidRDefault="008A5924" w:rsidP="008A5924">
            <w:pPr>
              <w:jc w:val="right"/>
              <w:rPr>
                <w:sz w:val="14"/>
                <w:szCs w:val="16"/>
                <w:lang w:eastAsia="es-GT"/>
              </w:rPr>
            </w:pPr>
            <w:r w:rsidRPr="00184700">
              <w:rPr>
                <w:sz w:val="14"/>
                <w:szCs w:val="16"/>
                <w:lang w:eastAsia="es-GT"/>
              </w:rPr>
              <w:t>199.7</w:t>
            </w:r>
          </w:p>
        </w:tc>
        <w:tc>
          <w:tcPr>
            <w:tcW w:w="672" w:type="dxa"/>
            <w:shd w:val="clear" w:color="auto" w:fill="auto"/>
            <w:noWrap/>
            <w:vAlign w:val="center"/>
            <w:hideMark/>
          </w:tcPr>
          <w:p w14:paraId="41EF7739" w14:textId="77777777" w:rsidR="008A5924" w:rsidRPr="00184700" w:rsidRDefault="008A5924" w:rsidP="008A5924">
            <w:pPr>
              <w:jc w:val="right"/>
              <w:rPr>
                <w:sz w:val="14"/>
                <w:szCs w:val="16"/>
                <w:lang w:eastAsia="es-GT"/>
              </w:rPr>
            </w:pPr>
            <w:r w:rsidRPr="00184700">
              <w:rPr>
                <w:sz w:val="14"/>
                <w:szCs w:val="16"/>
                <w:lang w:eastAsia="es-GT"/>
              </w:rPr>
              <w:t>376.1</w:t>
            </w:r>
          </w:p>
        </w:tc>
        <w:tc>
          <w:tcPr>
            <w:tcW w:w="672" w:type="dxa"/>
            <w:shd w:val="clear" w:color="auto" w:fill="auto"/>
            <w:noWrap/>
            <w:vAlign w:val="center"/>
            <w:hideMark/>
          </w:tcPr>
          <w:p w14:paraId="1ABD9AC1" w14:textId="77777777" w:rsidR="008A5924" w:rsidRPr="00184700" w:rsidRDefault="008A5924" w:rsidP="008A5924">
            <w:pPr>
              <w:jc w:val="right"/>
              <w:rPr>
                <w:sz w:val="14"/>
                <w:szCs w:val="16"/>
                <w:lang w:eastAsia="es-GT"/>
              </w:rPr>
            </w:pPr>
            <w:r w:rsidRPr="00184700">
              <w:rPr>
                <w:sz w:val="14"/>
                <w:szCs w:val="16"/>
                <w:lang w:eastAsia="es-GT"/>
              </w:rPr>
              <w:t>239.0</w:t>
            </w:r>
          </w:p>
        </w:tc>
        <w:tc>
          <w:tcPr>
            <w:tcW w:w="672" w:type="dxa"/>
            <w:shd w:val="clear" w:color="auto" w:fill="auto"/>
            <w:noWrap/>
            <w:vAlign w:val="center"/>
            <w:hideMark/>
          </w:tcPr>
          <w:p w14:paraId="76E697CE" w14:textId="77777777" w:rsidR="008A5924" w:rsidRPr="00184700" w:rsidRDefault="008A5924" w:rsidP="008A5924">
            <w:pPr>
              <w:jc w:val="right"/>
              <w:rPr>
                <w:sz w:val="14"/>
                <w:szCs w:val="16"/>
                <w:lang w:eastAsia="es-GT"/>
              </w:rPr>
            </w:pPr>
            <w:r w:rsidRPr="00184700">
              <w:rPr>
                <w:sz w:val="14"/>
                <w:szCs w:val="16"/>
                <w:lang w:eastAsia="es-GT"/>
              </w:rPr>
              <w:t>239.1</w:t>
            </w:r>
          </w:p>
        </w:tc>
        <w:tc>
          <w:tcPr>
            <w:tcW w:w="672" w:type="dxa"/>
            <w:shd w:val="clear" w:color="auto" w:fill="auto"/>
            <w:noWrap/>
            <w:vAlign w:val="center"/>
            <w:hideMark/>
          </w:tcPr>
          <w:p w14:paraId="075AB4CC" w14:textId="77777777" w:rsidR="008A5924" w:rsidRPr="00184700" w:rsidRDefault="008A5924" w:rsidP="008A5924">
            <w:pPr>
              <w:jc w:val="right"/>
              <w:rPr>
                <w:sz w:val="14"/>
                <w:szCs w:val="16"/>
                <w:lang w:eastAsia="es-GT"/>
              </w:rPr>
            </w:pPr>
            <w:r w:rsidRPr="00184700">
              <w:rPr>
                <w:sz w:val="14"/>
                <w:szCs w:val="16"/>
                <w:lang w:eastAsia="es-GT"/>
              </w:rPr>
              <w:t>329.5</w:t>
            </w:r>
          </w:p>
        </w:tc>
        <w:tc>
          <w:tcPr>
            <w:tcW w:w="672" w:type="dxa"/>
            <w:shd w:val="clear" w:color="auto" w:fill="auto"/>
            <w:noWrap/>
            <w:vAlign w:val="center"/>
            <w:hideMark/>
          </w:tcPr>
          <w:p w14:paraId="3DD6AC6F" w14:textId="77777777" w:rsidR="008A5924" w:rsidRPr="00184700" w:rsidRDefault="008A5924" w:rsidP="008A5924">
            <w:pPr>
              <w:jc w:val="right"/>
              <w:rPr>
                <w:sz w:val="14"/>
                <w:szCs w:val="16"/>
                <w:lang w:eastAsia="es-GT"/>
              </w:rPr>
            </w:pPr>
            <w:r w:rsidRPr="00184700">
              <w:rPr>
                <w:sz w:val="14"/>
                <w:szCs w:val="16"/>
                <w:lang w:eastAsia="es-GT"/>
              </w:rPr>
              <w:t>252.2</w:t>
            </w:r>
          </w:p>
        </w:tc>
        <w:tc>
          <w:tcPr>
            <w:tcW w:w="672" w:type="dxa"/>
            <w:shd w:val="clear" w:color="auto" w:fill="auto"/>
            <w:noWrap/>
            <w:vAlign w:val="center"/>
            <w:hideMark/>
          </w:tcPr>
          <w:p w14:paraId="6FA1EC3F" w14:textId="77777777" w:rsidR="008A5924" w:rsidRPr="00184700" w:rsidRDefault="008A5924" w:rsidP="008A5924">
            <w:pPr>
              <w:jc w:val="right"/>
              <w:rPr>
                <w:sz w:val="14"/>
                <w:szCs w:val="16"/>
                <w:lang w:eastAsia="es-GT"/>
              </w:rPr>
            </w:pPr>
            <w:r w:rsidRPr="00184700">
              <w:rPr>
                <w:sz w:val="14"/>
                <w:szCs w:val="16"/>
                <w:lang w:eastAsia="es-GT"/>
              </w:rPr>
              <w:t>189.6</w:t>
            </w:r>
          </w:p>
        </w:tc>
        <w:tc>
          <w:tcPr>
            <w:tcW w:w="672" w:type="dxa"/>
            <w:shd w:val="clear" w:color="auto" w:fill="auto"/>
            <w:noWrap/>
            <w:vAlign w:val="center"/>
            <w:hideMark/>
          </w:tcPr>
          <w:p w14:paraId="31F1297E" w14:textId="77777777" w:rsidR="008A5924" w:rsidRPr="00184700" w:rsidRDefault="008A5924" w:rsidP="008A5924">
            <w:pPr>
              <w:jc w:val="right"/>
              <w:rPr>
                <w:sz w:val="14"/>
                <w:szCs w:val="16"/>
                <w:lang w:eastAsia="es-GT"/>
              </w:rPr>
            </w:pPr>
            <w:r w:rsidRPr="00184700">
              <w:rPr>
                <w:sz w:val="14"/>
                <w:szCs w:val="16"/>
                <w:lang w:eastAsia="es-GT"/>
              </w:rPr>
              <w:t>113.0</w:t>
            </w:r>
          </w:p>
        </w:tc>
        <w:tc>
          <w:tcPr>
            <w:tcW w:w="672" w:type="dxa"/>
            <w:shd w:val="clear" w:color="auto" w:fill="auto"/>
            <w:noWrap/>
            <w:vAlign w:val="center"/>
            <w:hideMark/>
          </w:tcPr>
          <w:p w14:paraId="0BD1A350" w14:textId="77777777" w:rsidR="008A5924" w:rsidRPr="00184700" w:rsidRDefault="008A5924" w:rsidP="008A5924">
            <w:pPr>
              <w:jc w:val="right"/>
              <w:rPr>
                <w:sz w:val="14"/>
                <w:szCs w:val="16"/>
                <w:lang w:eastAsia="es-GT"/>
              </w:rPr>
            </w:pPr>
            <w:r w:rsidRPr="00184700">
              <w:rPr>
                <w:sz w:val="14"/>
                <w:szCs w:val="16"/>
                <w:lang w:eastAsia="es-GT"/>
              </w:rPr>
              <w:t>4.6</w:t>
            </w:r>
          </w:p>
        </w:tc>
        <w:tc>
          <w:tcPr>
            <w:tcW w:w="903" w:type="dxa"/>
            <w:shd w:val="clear" w:color="auto" w:fill="auto"/>
            <w:noWrap/>
            <w:vAlign w:val="center"/>
            <w:hideMark/>
          </w:tcPr>
          <w:p w14:paraId="0472F40E" w14:textId="77777777" w:rsidR="008A5924" w:rsidRPr="00184700" w:rsidRDefault="008A5924" w:rsidP="008A5924">
            <w:pPr>
              <w:jc w:val="right"/>
              <w:rPr>
                <w:sz w:val="14"/>
                <w:szCs w:val="16"/>
                <w:lang w:eastAsia="es-GT"/>
              </w:rPr>
            </w:pPr>
            <w:r w:rsidRPr="00184700">
              <w:rPr>
                <w:sz w:val="14"/>
                <w:szCs w:val="16"/>
                <w:lang w:eastAsia="es-GT"/>
              </w:rPr>
              <w:t>1,942.9</w:t>
            </w:r>
          </w:p>
        </w:tc>
      </w:tr>
      <w:tr w:rsidR="008A5924" w:rsidRPr="00184700" w14:paraId="7CFA24DC" w14:textId="77777777" w:rsidTr="009E2A5D">
        <w:trPr>
          <w:trHeight w:val="314"/>
          <w:jc w:val="center"/>
        </w:trPr>
        <w:tc>
          <w:tcPr>
            <w:tcW w:w="2066" w:type="dxa"/>
            <w:shd w:val="clear" w:color="auto" w:fill="auto"/>
            <w:noWrap/>
            <w:vAlign w:val="center"/>
            <w:hideMark/>
          </w:tcPr>
          <w:p w14:paraId="0AE24DF8" w14:textId="77777777" w:rsidR="008A5924" w:rsidRPr="00184700" w:rsidRDefault="008A5924" w:rsidP="008A5924">
            <w:pPr>
              <w:rPr>
                <w:sz w:val="14"/>
                <w:szCs w:val="16"/>
                <w:lang w:eastAsia="es-GT"/>
              </w:rPr>
            </w:pPr>
            <w:r w:rsidRPr="00184700">
              <w:rPr>
                <w:sz w:val="14"/>
                <w:szCs w:val="16"/>
                <w:lang w:eastAsia="es-GT"/>
              </w:rPr>
              <w:t>Impuesto de Solidaridad</w:t>
            </w:r>
          </w:p>
        </w:tc>
        <w:tc>
          <w:tcPr>
            <w:tcW w:w="672" w:type="dxa"/>
            <w:shd w:val="clear" w:color="auto" w:fill="auto"/>
            <w:noWrap/>
            <w:vAlign w:val="center"/>
            <w:hideMark/>
          </w:tcPr>
          <w:p w14:paraId="26D5E329" w14:textId="77777777" w:rsidR="008A5924" w:rsidRPr="00184700" w:rsidRDefault="008A5924" w:rsidP="008A5924">
            <w:pPr>
              <w:jc w:val="right"/>
              <w:rPr>
                <w:sz w:val="14"/>
                <w:szCs w:val="16"/>
                <w:lang w:eastAsia="es-GT"/>
              </w:rPr>
            </w:pPr>
            <w:r w:rsidRPr="00184700">
              <w:rPr>
                <w:sz w:val="14"/>
                <w:szCs w:val="16"/>
                <w:lang w:eastAsia="es-GT"/>
              </w:rPr>
              <w:t>0.1</w:t>
            </w:r>
          </w:p>
        </w:tc>
        <w:tc>
          <w:tcPr>
            <w:tcW w:w="672" w:type="dxa"/>
            <w:shd w:val="clear" w:color="auto" w:fill="auto"/>
            <w:noWrap/>
            <w:vAlign w:val="center"/>
            <w:hideMark/>
          </w:tcPr>
          <w:p w14:paraId="76785AFB" w14:textId="77777777" w:rsidR="008A5924" w:rsidRPr="00184700" w:rsidRDefault="008A5924" w:rsidP="008A5924">
            <w:pPr>
              <w:jc w:val="right"/>
              <w:rPr>
                <w:sz w:val="14"/>
                <w:szCs w:val="16"/>
                <w:lang w:eastAsia="es-GT"/>
              </w:rPr>
            </w:pPr>
            <w:r w:rsidRPr="00184700">
              <w:rPr>
                <w:sz w:val="14"/>
                <w:szCs w:val="16"/>
                <w:lang w:eastAsia="es-GT"/>
              </w:rPr>
              <w:t>0.1</w:t>
            </w:r>
          </w:p>
        </w:tc>
        <w:tc>
          <w:tcPr>
            <w:tcW w:w="672" w:type="dxa"/>
            <w:shd w:val="clear" w:color="auto" w:fill="auto"/>
            <w:noWrap/>
            <w:vAlign w:val="center"/>
            <w:hideMark/>
          </w:tcPr>
          <w:p w14:paraId="02474D24" w14:textId="77777777" w:rsidR="008A5924" w:rsidRPr="00184700" w:rsidRDefault="008A5924" w:rsidP="008A5924">
            <w:pPr>
              <w:jc w:val="right"/>
              <w:rPr>
                <w:sz w:val="14"/>
                <w:szCs w:val="16"/>
                <w:lang w:eastAsia="es-GT"/>
              </w:rPr>
            </w:pPr>
            <w:r w:rsidRPr="00184700">
              <w:rPr>
                <w:sz w:val="14"/>
                <w:szCs w:val="16"/>
                <w:lang w:eastAsia="es-GT"/>
              </w:rPr>
              <w:t>5.0</w:t>
            </w:r>
          </w:p>
        </w:tc>
        <w:tc>
          <w:tcPr>
            <w:tcW w:w="672" w:type="dxa"/>
            <w:shd w:val="clear" w:color="auto" w:fill="auto"/>
            <w:noWrap/>
            <w:vAlign w:val="center"/>
            <w:hideMark/>
          </w:tcPr>
          <w:p w14:paraId="04671E98" w14:textId="77777777" w:rsidR="008A5924" w:rsidRPr="00184700" w:rsidRDefault="008A5924" w:rsidP="008A5924">
            <w:pPr>
              <w:jc w:val="right"/>
              <w:rPr>
                <w:sz w:val="14"/>
                <w:szCs w:val="16"/>
                <w:lang w:eastAsia="es-GT"/>
              </w:rPr>
            </w:pPr>
            <w:r w:rsidRPr="00184700">
              <w:rPr>
                <w:sz w:val="14"/>
                <w:szCs w:val="16"/>
                <w:lang w:eastAsia="es-GT"/>
              </w:rPr>
              <w:t>6.6</w:t>
            </w:r>
          </w:p>
        </w:tc>
        <w:tc>
          <w:tcPr>
            <w:tcW w:w="672" w:type="dxa"/>
            <w:shd w:val="clear" w:color="auto" w:fill="auto"/>
            <w:noWrap/>
            <w:vAlign w:val="center"/>
            <w:hideMark/>
          </w:tcPr>
          <w:p w14:paraId="030D6FC3" w14:textId="77777777" w:rsidR="008A5924" w:rsidRPr="00184700" w:rsidRDefault="008A5924" w:rsidP="008A5924">
            <w:pPr>
              <w:jc w:val="right"/>
              <w:rPr>
                <w:sz w:val="14"/>
                <w:szCs w:val="16"/>
                <w:lang w:eastAsia="es-GT"/>
              </w:rPr>
            </w:pPr>
            <w:r w:rsidRPr="00184700">
              <w:rPr>
                <w:sz w:val="14"/>
                <w:szCs w:val="16"/>
                <w:lang w:eastAsia="es-GT"/>
              </w:rPr>
              <w:t>38.5</w:t>
            </w:r>
          </w:p>
        </w:tc>
        <w:tc>
          <w:tcPr>
            <w:tcW w:w="672" w:type="dxa"/>
            <w:shd w:val="clear" w:color="auto" w:fill="auto"/>
            <w:noWrap/>
            <w:vAlign w:val="center"/>
            <w:hideMark/>
          </w:tcPr>
          <w:p w14:paraId="35853B56" w14:textId="77777777" w:rsidR="008A5924" w:rsidRPr="00184700" w:rsidRDefault="008A5924" w:rsidP="008A5924">
            <w:pPr>
              <w:jc w:val="right"/>
              <w:rPr>
                <w:sz w:val="14"/>
                <w:szCs w:val="16"/>
                <w:lang w:eastAsia="es-GT"/>
              </w:rPr>
            </w:pPr>
            <w:r w:rsidRPr="00184700">
              <w:rPr>
                <w:sz w:val="14"/>
                <w:szCs w:val="16"/>
                <w:lang w:eastAsia="es-GT"/>
              </w:rPr>
              <w:t>53.8</w:t>
            </w:r>
          </w:p>
        </w:tc>
        <w:tc>
          <w:tcPr>
            <w:tcW w:w="672" w:type="dxa"/>
            <w:shd w:val="clear" w:color="auto" w:fill="auto"/>
            <w:noWrap/>
            <w:vAlign w:val="center"/>
            <w:hideMark/>
          </w:tcPr>
          <w:p w14:paraId="534222F8" w14:textId="77777777" w:rsidR="008A5924" w:rsidRPr="00184700" w:rsidRDefault="008A5924" w:rsidP="008A5924">
            <w:pPr>
              <w:jc w:val="right"/>
              <w:rPr>
                <w:sz w:val="14"/>
                <w:szCs w:val="16"/>
                <w:lang w:eastAsia="es-GT"/>
              </w:rPr>
            </w:pPr>
            <w:r w:rsidRPr="00184700">
              <w:rPr>
                <w:sz w:val="14"/>
                <w:szCs w:val="16"/>
                <w:lang w:eastAsia="es-GT"/>
              </w:rPr>
              <w:t>25.6</w:t>
            </w:r>
          </w:p>
        </w:tc>
        <w:tc>
          <w:tcPr>
            <w:tcW w:w="672" w:type="dxa"/>
            <w:shd w:val="clear" w:color="auto" w:fill="auto"/>
            <w:noWrap/>
            <w:vAlign w:val="center"/>
            <w:hideMark/>
          </w:tcPr>
          <w:p w14:paraId="2B446E0B" w14:textId="77777777" w:rsidR="008A5924" w:rsidRPr="00184700" w:rsidRDefault="008A5924" w:rsidP="008A5924">
            <w:pPr>
              <w:jc w:val="right"/>
              <w:rPr>
                <w:sz w:val="14"/>
                <w:szCs w:val="16"/>
                <w:lang w:eastAsia="es-GT"/>
              </w:rPr>
            </w:pPr>
            <w:r w:rsidRPr="00184700">
              <w:rPr>
                <w:sz w:val="14"/>
                <w:szCs w:val="16"/>
                <w:lang w:eastAsia="es-GT"/>
              </w:rPr>
              <w:t>7.5</w:t>
            </w:r>
          </w:p>
        </w:tc>
        <w:tc>
          <w:tcPr>
            <w:tcW w:w="672" w:type="dxa"/>
            <w:shd w:val="clear" w:color="auto" w:fill="auto"/>
            <w:noWrap/>
            <w:vAlign w:val="center"/>
            <w:hideMark/>
          </w:tcPr>
          <w:p w14:paraId="7B3E6FB0" w14:textId="77777777" w:rsidR="008A5924" w:rsidRPr="00184700" w:rsidRDefault="008A5924" w:rsidP="008A5924">
            <w:pPr>
              <w:jc w:val="right"/>
              <w:rPr>
                <w:sz w:val="14"/>
                <w:szCs w:val="16"/>
                <w:lang w:eastAsia="es-GT"/>
              </w:rPr>
            </w:pPr>
            <w:r w:rsidRPr="00184700">
              <w:rPr>
                <w:sz w:val="14"/>
                <w:szCs w:val="16"/>
                <w:lang w:eastAsia="es-GT"/>
              </w:rPr>
              <w:t>2.1</w:t>
            </w:r>
          </w:p>
        </w:tc>
        <w:tc>
          <w:tcPr>
            <w:tcW w:w="903" w:type="dxa"/>
            <w:shd w:val="clear" w:color="auto" w:fill="auto"/>
            <w:noWrap/>
            <w:vAlign w:val="center"/>
            <w:hideMark/>
          </w:tcPr>
          <w:p w14:paraId="254FAF05" w14:textId="77777777" w:rsidR="008A5924" w:rsidRPr="00184700" w:rsidRDefault="008A5924" w:rsidP="008A5924">
            <w:pPr>
              <w:jc w:val="right"/>
              <w:rPr>
                <w:sz w:val="14"/>
                <w:szCs w:val="16"/>
                <w:lang w:eastAsia="es-GT"/>
              </w:rPr>
            </w:pPr>
            <w:r w:rsidRPr="00184700">
              <w:rPr>
                <w:sz w:val="14"/>
                <w:szCs w:val="16"/>
                <w:lang w:eastAsia="es-GT"/>
              </w:rPr>
              <w:t>139.3</w:t>
            </w:r>
          </w:p>
        </w:tc>
      </w:tr>
      <w:tr w:rsidR="008A5924" w:rsidRPr="00184700" w14:paraId="3FBB5BC5" w14:textId="77777777" w:rsidTr="009E2A5D">
        <w:trPr>
          <w:trHeight w:val="314"/>
          <w:jc w:val="center"/>
        </w:trPr>
        <w:tc>
          <w:tcPr>
            <w:tcW w:w="2066" w:type="dxa"/>
            <w:shd w:val="clear" w:color="auto" w:fill="auto"/>
            <w:noWrap/>
            <w:vAlign w:val="center"/>
            <w:hideMark/>
          </w:tcPr>
          <w:p w14:paraId="23650828" w14:textId="77777777" w:rsidR="008A5924" w:rsidRPr="00184700" w:rsidRDefault="008A5924" w:rsidP="008A5924">
            <w:pPr>
              <w:rPr>
                <w:sz w:val="14"/>
                <w:szCs w:val="16"/>
                <w:lang w:eastAsia="es-GT"/>
              </w:rPr>
            </w:pPr>
            <w:r w:rsidRPr="00184700">
              <w:rPr>
                <w:sz w:val="14"/>
                <w:szCs w:val="16"/>
                <w:lang w:eastAsia="es-GT"/>
              </w:rPr>
              <w:t>Impuesto Sobre Timbres y Papel Sellado</w:t>
            </w:r>
          </w:p>
        </w:tc>
        <w:tc>
          <w:tcPr>
            <w:tcW w:w="672" w:type="dxa"/>
            <w:shd w:val="clear" w:color="auto" w:fill="auto"/>
            <w:noWrap/>
            <w:vAlign w:val="center"/>
            <w:hideMark/>
          </w:tcPr>
          <w:p w14:paraId="75F6A04C" w14:textId="77777777" w:rsidR="008A5924" w:rsidRPr="00184700" w:rsidRDefault="008A5924" w:rsidP="008A5924">
            <w:pPr>
              <w:jc w:val="right"/>
              <w:rPr>
                <w:sz w:val="14"/>
                <w:szCs w:val="16"/>
                <w:lang w:eastAsia="es-GT"/>
              </w:rPr>
            </w:pPr>
            <w:r w:rsidRPr="00184700">
              <w:rPr>
                <w:sz w:val="14"/>
                <w:szCs w:val="16"/>
                <w:lang w:eastAsia="es-GT"/>
              </w:rPr>
              <w:t>62.7</w:t>
            </w:r>
          </w:p>
        </w:tc>
        <w:tc>
          <w:tcPr>
            <w:tcW w:w="672" w:type="dxa"/>
            <w:shd w:val="clear" w:color="auto" w:fill="auto"/>
            <w:noWrap/>
            <w:vAlign w:val="center"/>
            <w:hideMark/>
          </w:tcPr>
          <w:p w14:paraId="1170858A" w14:textId="77777777" w:rsidR="008A5924" w:rsidRPr="00184700" w:rsidRDefault="008A5924" w:rsidP="008A5924">
            <w:pPr>
              <w:jc w:val="right"/>
              <w:rPr>
                <w:sz w:val="14"/>
                <w:szCs w:val="16"/>
                <w:lang w:eastAsia="es-GT"/>
              </w:rPr>
            </w:pPr>
            <w:r w:rsidRPr="00184700">
              <w:rPr>
                <w:sz w:val="14"/>
                <w:szCs w:val="16"/>
                <w:lang w:eastAsia="es-GT"/>
              </w:rPr>
              <w:t>83.6</w:t>
            </w:r>
          </w:p>
        </w:tc>
        <w:tc>
          <w:tcPr>
            <w:tcW w:w="672" w:type="dxa"/>
            <w:shd w:val="clear" w:color="auto" w:fill="auto"/>
            <w:noWrap/>
            <w:vAlign w:val="center"/>
            <w:hideMark/>
          </w:tcPr>
          <w:p w14:paraId="24BFB169" w14:textId="77777777" w:rsidR="008A5924" w:rsidRPr="00184700" w:rsidRDefault="008A5924" w:rsidP="008A5924">
            <w:pPr>
              <w:jc w:val="right"/>
              <w:rPr>
                <w:sz w:val="14"/>
                <w:szCs w:val="16"/>
                <w:lang w:eastAsia="es-GT"/>
              </w:rPr>
            </w:pPr>
            <w:r w:rsidRPr="00184700">
              <w:rPr>
                <w:sz w:val="14"/>
                <w:szCs w:val="16"/>
                <w:lang w:eastAsia="es-GT"/>
              </w:rPr>
              <w:t>143.6</w:t>
            </w:r>
          </w:p>
        </w:tc>
        <w:tc>
          <w:tcPr>
            <w:tcW w:w="672" w:type="dxa"/>
            <w:shd w:val="clear" w:color="auto" w:fill="auto"/>
            <w:noWrap/>
            <w:vAlign w:val="center"/>
            <w:hideMark/>
          </w:tcPr>
          <w:p w14:paraId="6905DE69" w14:textId="77777777" w:rsidR="008A5924" w:rsidRPr="00184700" w:rsidRDefault="008A5924" w:rsidP="008A5924">
            <w:pPr>
              <w:jc w:val="right"/>
              <w:rPr>
                <w:sz w:val="14"/>
                <w:szCs w:val="16"/>
                <w:lang w:eastAsia="es-GT"/>
              </w:rPr>
            </w:pPr>
            <w:r w:rsidRPr="00184700">
              <w:rPr>
                <w:sz w:val="14"/>
                <w:szCs w:val="16"/>
                <w:lang w:eastAsia="es-GT"/>
              </w:rPr>
              <w:t>0.2</w:t>
            </w:r>
          </w:p>
        </w:tc>
        <w:tc>
          <w:tcPr>
            <w:tcW w:w="672" w:type="dxa"/>
            <w:shd w:val="clear" w:color="auto" w:fill="auto"/>
            <w:noWrap/>
            <w:vAlign w:val="center"/>
            <w:hideMark/>
          </w:tcPr>
          <w:p w14:paraId="2132571C" w14:textId="77777777" w:rsidR="008A5924" w:rsidRPr="00184700" w:rsidRDefault="008A5924" w:rsidP="008A5924">
            <w:pPr>
              <w:jc w:val="right"/>
              <w:rPr>
                <w:sz w:val="14"/>
                <w:szCs w:val="16"/>
                <w:lang w:eastAsia="es-GT"/>
              </w:rPr>
            </w:pPr>
            <w:r w:rsidRPr="00184700">
              <w:rPr>
                <w:sz w:val="14"/>
                <w:szCs w:val="16"/>
                <w:lang w:eastAsia="es-GT"/>
              </w:rPr>
              <w:t>0.3</w:t>
            </w:r>
          </w:p>
        </w:tc>
        <w:tc>
          <w:tcPr>
            <w:tcW w:w="672" w:type="dxa"/>
            <w:shd w:val="clear" w:color="auto" w:fill="auto"/>
            <w:noWrap/>
            <w:vAlign w:val="center"/>
            <w:hideMark/>
          </w:tcPr>
          <w:p w14:paraId="23449568" w14:textId="77777777" w:rsidR="008A5924" w:rsidRPr="00184700" w:rsidRDefault="008A5924" w:rsidP="008A5924">
            <w:pPr>
              <w:jc w:val="right"/>
              <w:rPr>
                <w:sz w:val="14"/>
                <w:szCs w:val="16"/>
                <w:lang w:eastAsia="es-GT"/>
              </w:rPr>
            </w:pPr>
            <w:r w:rsidRPr="00184700">
              <w:rPr>
                <w:sz w:val="14"/>
                <w:szCs w:val="16"/>
                <w:lang w:eastAsia="es-GT"/>
              </w:rPr>
              <w:t>0.1</w:t>
            </w:r>
          </w:p>
        </w:tc>
        <w:tc>
          <w:tcPr>
            <w:tcW w:w="672" w:type="dxa"/>
            <w:shd w:val="clear" w:color="auto" w:fill="auto"/>
            <w:noWrap/>
            <w:vAlign w:val="center"/>
            <w:hideMark/>
          </w:tcPr>
          <w:p w14:paraId="19246E28" w14:textId="77777777" w:rsidR="008A5924" w:rsidRPr="00184700" w:rsidRDefault="008A5924" w:rsidP="008A5924">
            <w:pPr>
              <w:jc w:val="right"/>
              <w:rPr>
                <w:sz w:val="14"/>
                <w:szCs w:val="16"/>
                <w:lang w:eastAsia="es-GT"/>
              </w:rPr>
            </w:pPr>
            <w:r w:rsidRPr="00184700">
              <w:rPr>
                <w:sz w:val="14"/>
                <w:szCs w:val="16"/>
                <w:lang w:eastAsia="es-GT"/>
              </w:rPr>
              <w:t>0.2</w:t>
            </w:r>
          </w:p>
        </w:tc>
        <w:tc>
          <w:tcPr>
            <w:tcW w:w="672" w:type="dxa"/>
            <w:shd w:val="clear" w:color="auto" w:fill="auto"/>
            <w:noWrap/>
            <w:vAlign w:val="center"/>
            <w:hideMark/>
          </w:tcPr>
          <w:p w14:paraId="25A2B0ED" w14:textId="77777777" w:rsidR="008A5924" w:rsidRPr="00184700" w:rsidRDefault="008A5924" w:rsidP="008A5924">
            <w:pPr>
              <w:jc w:val="right"/>
              <w:rPr>
                <w:sz w:val="14"/>
                <w:szCs w:val="16"/>
                <w:lang w:eastAsia="es-GT"/>
              </w:rPr>
            </w:pPr>
            <w:r w:rsidRPr="00184700">
              <w:rPr>
                <w:sz w:val="14"/>
                <w:szCs w:val="16"/>
                <w:lang w:eastAsia="es-GT"/>
              </w:rPr>
              <w:t>0.0</w:t>
            </w:r>
          </w:p>
        </w:tc>
        <w:tc>
          <w:tcPr>
            <w:tcW w:w="672" w:type="dxa"/>
            <w:shd w:val="clear" w:color="auto" w:fill="auto"/>
            <w:noWrap/>
            <w:vAlign w:val="center"/>
            <w:hideMark/>
          </w:tcPr>
          <w:p w14:paraId="6D6A3702" w14:textId="77777777" w:rsidR="008A5924" w:rsidRPr="00184700" w:rsidRDefault="008A5924" w:rsidP="008A5924">
            <w:pPr>
              <w:jc w:val="right"/>
              <w:rPr>
                <w:sz w:val="14"/>
                <w:szCs w:val="16"/>
                <w:lang w:eastAsia="es-GT"/>
              </w:rPr>
            </w:pPr>
            <w:r w:rsidRPr="00184700">
              <w:rPr>
                <w:sz w:val="14"/>
                <w:szCs w:val="16"/>
                <w:lang w:eastAsia="es-GT"/>
              </w:rPr>
              <w:t>0.0</w:t>
            </w:r>
          </w:p>
        </w:tc>
        <w:tc>
          <w:tcPr>
            <w:tcW w:w="903" w:type="dxa"/>
            <w:shd w:val="clear" w:color="auto" w:fill="auto"/>
            <w:noWrap/>
            <w:vAlign w:val="center"/>
            <w:hideMark/>
          </w:tcPr>
          <w:p w14:paraId="1ECD296F" w14:textId="77777777" w:rsidR="008A5924" w:rsidRPr="00184700" w:rsidRDefault="008A5924" w:rsidP="008A5924">
            <w:pPr>
              <w:jc w:val="right"/>
              <w:rPr>
                <w:sz w:val="14"/>
                <w:szCs w:val="16"/>
                <w:lang w:eastAsia="es-GT"/>
              </w:rPr>
            </w:pPr>
            <w:r w:rsidRPr="00184700">
              <w:rPr>
                <w:sz w:val="14"/>
                <w:szCs w:val="16"/>
                <w:lang w:eastAsia="es-GT"/>
              </w:rPr>
              <w:t>290.9</w:t>
            </w:r>
          </w:p>
        </w:tc>
      </w:tr>
      <w:tr w:rsidR="008A5924" w:rsidRPr="00184700" w14:paraId="76C9A2DE" w14:textId="77777777" w:rsidTr="009E2A5D">
        <w:trPr>
          <w:trHeight w:val="314"/>
          <w:jc w:val="center"/>
        </w:trPr>
        <w:tc>
          <w:tcPr>
            <w:tcW w:w="2066" w:type="dxa"/>
            <w:shd w:val="clear" w:color="000000" w:fill="8DB3E2"/>
            <w:noWrap/>
            <w:vAlign w:val="center"/>
            <w:hideMark/>
          </w:tcPr>
          <w:p w14:paraId="11BC633F" w14:textId="77777777" w:rsidR="008A5924" w:rsidRPr="00184700" w:rsidRDefault="008A5924" w:rsidP="008A5924">
            <w:pPr>
              <w:jc w:val="center"/>
              <w:rPr>
                <w:b/>
                <w:bCs/>
                <w:sz w:val="14"/>
                <w:szCs w:val="16"/>
                <w:lang w:eastAsia="es-GT"/>
              </w:rPr>
            </w:pPr>
            <w:r w:rsidRPr="00184700">
              <w:rPr>
                <w:b/>
                <w:bCs/>
                <w:sz w:val="14"/>
                <w:szCs w:val="16"/>
                <w:lang w:eastAsia="es-GT"/>
              </w:rPr>
              <w:t>TOTAL</w:t>
            </w:r>
          </w:p>
        </w:tc>
        <w:tc>
          <w:tcPr>
            <w:tcW w:w="672" w:type="dxa"/>
            <w:shd w:val="clear" w:color="000000" w:fill="8DB3E2"/>
            <w:noWrap/>
            <w:vAlign w:val="center"/>
            <w:hideMark/>
          </w:tcPr>
          <w:p w14:paraId="033810BA" w14:textId="77777777" w:rsidR="008A5924" w:rsidRPr="00184700" w:rsidRDefault="008A5924" w:rsidP="008A5924">
            <w:pPr>
              <w:jc w:val="right"/>
              <w:rPr>
                <w:b/>
                <w:bCs/>
                <w:sz w:val="14"/>
                <w:szCs w:val="16"/>
                <w:lang w:eastAsia="es-GT"/>
              </w:rPr>
            </w:pPr>
            <w:r w:rsidRPr="00184700">
              <w:rPr>
                <w:b/>
                <w:bCs/>
                <w:sz w:val="14"/>
                <w:szCs w:val="16"/>
                <w:lang w:eastAsia="es-GT"/>
              </w:rPr>
              <w:t>262.6</w:t>
            </w:r>
          </w:p>
        </w:tc>
        <w:tc>
          <w:tcPr>
            <w:tcW w:w="672" w:type="dxa"/>
            <w:shd w:val="clear" w:color="000000" w:fill="8DB3E2"/>
            <w:noWrap/>
            <w:vAlign w:val="center"/>
            <w:hideMark/>
          </w:tcPr>
          <w:p w14:paraId="18E662D3" w14:textId="77777777" w:rsidR="008A5924" w:rsidRPr="00184700" w:rsidRDefault="008A5924" w:rsidP="008A5924">
            <w:pPr>
              <w:jc w:val="right"/>
              <w:rPr>
                <w:b/>
                <w:bCs/>
                <w:sz w:val="14"/>
                <w:szCs w:val="16"/>
                <w:lang w:eastAsia="es-GT"/>
              </w:rPr>
            </w:pPr>
            <w:r w:rsidRPr="00184700">
              <w:rPr>
                <w:b/>
                <w:bCs/>
                <w:sz w:val="14"/>
                <w:szCs w:val="16"/>
                <w:lang w:eastAsia="es-GT"/>
              </w:rPr>
              <w:t>459.9</w:t>
            </w:r>
          </w:p>
        </w:tc>
        <w:tc>
          <w:tcPr>
            <w:tcW w:w="672" w:type="dxa"/>
            <w:shd w:val="clear" w:color="000000" w:fill="8DB3E2"/>
            <w:noWrap/>
            <w:vAlign w:val="center"/>
            <w:hideMark/>
          </w:tcPr>
          <w:p w14:paraId="5969F56C" w14:textId="77777777" w:rsidR="008A5924" w:rsidRPr="00184700" w:rsidRDefault="008A5924" w:rsidP="008A5924">
            <w:pPr>
              <w:jc w:val="right"/>
              <w:rPr>
                <w:b/>
                <w:bCs/>
                <w:sz w:val="14"/>
                <w:szCs w:val="16"/>
                <w:lang w:eastAsia="es-GT"/>
              </w:rPr>
            </w:pPr>
            <w:r w:rsidRPr="00184700">
              <w:rPr>
                <w:b/>
                <w:bCs/>
                <w:sz w:val="14"/>
                <w:szCs w:val="16"/>
                <w:lang w:eastAsia="es-GT"/>
              </w:rPr>
              <w:t>387.7</w:t>
            </w:r>
          </w:p>
        </w:tc>
        <w:tc>
          <w:tcPr>
            <w:tcW w:w="672" w:type="dxa"/>
            <w:shd w:val="clear" w:color="000000" w:fill="8DB3E2"/>
            <w:noWrap/>
            <w:vAlign w:val="center"/>
            <w:hideMark/>
          </w:tcPr>
          <w:p w14:paraId="50F906A0" w14:textId="77777777" w:rsidR="008A5924" w:rsidRPr="00184700" w:rsidRDefault="008A5924" w:rsidP="008A5924">
            <w:pPr>
              <w:jc w:val="right"/>
              <w:rPr>
                <w:b/>
                <w:bCs/>
                <w:sz w:val="14"/>
                <w:szCs w:val="16"/>
                <w:lang w:eastAsia="es-GT"/>
              </w:rPr>
            </w:pPr>
            <w:r w:rsidRPr="00184700">
              <w:rPr>
                <w:b/>
                <w:bCs/>
                <w:sz w:val="14"/>
                <w:szCs w:val="16"/>
                <w:lang w:eastAsia="es-GT"/>
              </w:rPr>
              <w:t>245.9</w:t>
            </w:r>
          </w:p>
        </w:tc>
        <w:tc>
          <w:tcPr>
            <w:tcW w:w="672" w:type="dxa"/>
            <w:shd w:val="clear" w:color="000000" w:fill="8DB3E2"/>
            <w:noWrap/>
            <w:vAlign w:val="center"/>
            <w:hideMark/>
          </w:tcPr>
          <w:p w14:paraId="7C801285" w14:textId="77777777" w:rsidR="008A5924" w:rsidRPr="00184700" w:rsidRDefault="008A5924" w:rsidP="008A5924">
            <w:pPr>
              <w:jc w:val="right"/>
              <w:rPr>
                <w:b/>
                <w:bCs/>
                <w:sz w:val="14"/>
                <w:szCs w:val="16"/>
                <w:lang w:eastAsia="es-GT"/>
              </w:rPr>
            </w:pPr>
            <w:r w:rsidRPr="00184700">
              <w:rPr>
                <w:b/>
                <w:bCs/>
                <w:sz w:val="14"/>
                <w:szCs w:val="16"/>
                <w:lang w:eastAsia="es-GT"/>
              </w:rPr>
              <w:t>368.3</w:t>
            </w:r>
          </w:p>
        </w:tc>
        <w:tc>
          <w:tcPr>
            <w:tcW w:w="672" w:type="dxa"/>
            <w:shd w:val="clear" w:color="000000" w:fill="8DB3E2"/>
            <w:noWrap/>
            <w:vAlign w:val="center"/>
            <w:hideMark/>
          </w:tcPr>
          <w:p w14:paraId="585375D2" w14:textId="77777777" w:rsidR="008A5924" w:rsidRPr="00184700" w:rsidRDefault="008A5924" w:rsidP="008A5924">
            <w:pPr>
              <w:jc w:val="right"/>
              <w:rPr>
                <w:b/>
                <w:bCs/>
                <w:sz w:val="14"/>
                <w:szCs w:val="16"/>
                <w:lang w:eastAsia="es-GT"/>
              </w:rPr>
            </w:pPr>
            <w:r w:rsidRPr="00184700">
              <w:rPr>
                <w:b/>
                <w:bCs/>
                <w:sz w:val="14"/>
                <w:szCs w:val="16"/>
                <w:lang w:eastAsia="es-GT"/>
              </w:rPr>
              <w:t>306.1</w:t>
            </w:r>
          </w:p>
        </w:tc>
        <w:tc>
          <w:tcPr>
            <w:tcW w:w="672" w:type="dxa"/>
            <w:shd w:val="clear" w:color="000000" w:fill="8DB3E2"/>
            <w:noWrap/>
            <w:vAlign w:val="center"/>
            <w:hideMark/>
          </w:tcPr>
          <w:p w14:paraId="14DBDCB9" w14:textId="77777777" w:rsidR="008A5924" w:rsidRPr="00184700" w:rsidRDefault="008A5924" w:rsidP="008A5924">
            <w:pPr>
              <w:jc w:val="right"/>
              <w:rPr>
                <w:b/>
                <w:bCs/>
                <w:sz w:val="14"/>
                <w:szCs w:val="16"/>
                <w:lang w:eastAsia="es-GT"/>
              </w:rPr>
            </w:pPr>
            <w:r w:rsidRPr="00184700">
              <w:rPr>
                <w:b/>
                <w:bCs/>
                <w:sz w:val="14"/>
                <w:szCs w:val="16"/>
                <w:lang w:eastAsia="es-GT"/>
              </w:rPr>
              <w:t>215.5</w:t>
            </w:r>
          </w:p>
        </w:tc>
        <w:tc>
          <w:tcPr>
            <w:tcW w:w="672" w:type="dxa"/>
            <w:shd w:val="clear" w:color="000000" w:fill="8DB3E2"/>
            <w:noWrap/>
            <w:vAlign w:val="center"/>
            <w:hideMark/>
          </w:tcPr>
          <w:p w14:paraId="51AF5A1B" w14:textId="77777777" w:rsidR="008A5924" w:rsidRPr="00184700" w:rsidRDefault="008A5924" w:rsidP="008A5924">
            <w:pPr>
              <w:jc w:val="right"/>
              <w:rPr>
                <w:b/>
                <w:bCs/>
                <w:sz w:val="14"/>
                <w:szCs w:val="16"/>
                <w:lang w:eastAsia="es-GT"/>
              </w:rPr>
            </w:pPr>
            <w:r w:rsidRPr="00184700">
              <w:rPr>
                <w:b/>
                <w:bCs/>
                <w:sz w:val="14"/>
                <w:szCs w:val="16"/>
                <w:lang w:eastAsia="es-GT"/>
              </w:rPr>
              <w:t>120.5</w:t>
            </w:r>
          </w:p>
        </w:tc>
        <w:tc>
          <w:tcPr>
            <w:tcW w:w="672" w:type="dxa"/>
            <w:shd w:val="clear" w:color="000000" w:fill="8DB3E2"/>
            <w:noWrap/>
            <w:vAlign w:val="center"/>
            <w:hideMark/>
          </w:tcPr>
          <w:p w14:paraId="4F20A0CA" w14:textId="77777777" w:rsidR="008A5924" w:rsidRPr="00184700" w:rsidRDefault="008A5924" w:rsidP="008A5924">
            <w:pPr>
              <w:jc w:val="right"/>
              <w:rPr>
                <w:b/>
                <w:bCs/>
                <w:sz w:val="14"/>
                <w:szCs w:val="16"/>
                <w:lang w:eastAsia="es-GT"/>
              </w:rPr>
            </w:pPr>
            <w:r w:rsidRPr="00184700">
              <w:rPr>
                <w:b/>
                <w:bCs/>
                <w:sz w:val="14"/>
                <w:szCs w:val="16"/>
                <w:lang w:eastAsia="es-GT"/>
              </w:rPr>
              <w:t>6.7</w:t>
            </w:r>
          </w:p>
        </w:tc>
        <w:tc>
          <w:tcPr>
            <w:tcW w:w="903" w:type="dxa"/>
            <w:shd w:val="clear" w:color="000000" w:fill="8DB3E2"/>
            <w:noWrap/>
            <w:vAlign w:val="center"/>
            <w:hideMark/>
          </w:tcPr>
          <w:p w14:paraId="31C53D33" w14:textId="77777777" w:rsidR="008A5924" w:rsidRPr="00184700" w:rsidRDefault="008A5924" w:rsidP="008A5924">
            <w:pPr>
              <w:jc w:val="right"/>
              <w:rPr>
                <w:b/>
                <w:bCs/>
                <w:sz w:val="14"/>
                <w:szCs w:val="16"/>
                <w:lang w:eastAsia="es-GT"/>
              </w:rPr>
            </w:pPr>
            <w:r w:rsidRPr="00184700">
              <w:rPr>
                <w:b/>
                <w:bCs/>
                <w:sz w:val="14"/>
                <w:szCs w:val="16"/>
                <w:lang w:eastAsia="es-GT"/>
              </w:rPr>
              <w:t>2,373.1</w:t>
            </w:r>
          </w:p>
        </w:tc>
      </w:tr>
    </w:tbl>
    <w:p w14:paraId="307A1A95" w14:textId="77777777" w:rsidR="008A5924" w:rsidRPr="009E2A5D" w:rsidRDefault="009E2A5D" w:rsidP="008A5924">
      <w:pPr>
        <w:rPr>
          <w:sz w:val="16"/>
          <w:lang w:val="es-MX"/>
        </w:rPr>
      </w:pPr>
      <w:r>
        <w:rPr>
          <w:sz w:val="12"/>
          <w:lang w:val="es-MX"/>
        </w:rPr>
        <w:t xml:space="preserve">                 </w:t>
      </w:r>
      <w:r w:rsidR="008A5924" w:rsidRPr="009E2A5D">
        <w:rPr>
          <w:sz w:val="16"/>
          <w:lang w:val="es-MX"/>
        </w:rPr>
        <w:t xml:space="preserve">Fuente: Sistema de recaudación SAT.  </w:t>
      </w:r>
    </w:p>
    <w:tbl>
      <w:tblPr>
        <w:tblW w:w="8980" w:type="dxa"/>
        <w:jc w:val="center"/>
        <w:tblCellMar>
          <w:left w:w="70" w:type="dxa"/>
          <w:right w:w="70" w:type="dxa"/>
        </w:tblCellMar>
        <w:tblLook w:val="04A0" w:firstRow="1" w:lastRow="0" w:firstColumn="1" w:lastColumn="0" w:noHBand="0" w:noVBand="1"/>
      </w:tblPr>
      <w:tblGrid>
        <w:gridCol w:w="8980"/>
      </w:tblGrid>
      <w:tr w:rsidR="008A5924" w:rsidRPr="009E2A5D" w14:paraId="76E71E14" w14:textId="77777777" w:rsidTr="009E2A5D">
        <w:trPr>
          <w:trHeight w:val="352"/>
          <w:jc w:val="center"/>
        </w:trPr>
        <w:tc>
          <w:tcPr>
            <w:tcW w:w="8980" w:type="dxa"/>
            <w:tcBorders>
              <w:top w:val="nil"/>
              <w:left w:val="nil"/>
              <w:bottom w:val="nil"/>
              <w:right w:val="nil"/>
            </w:tcBorders>
            <w:shd w:val="clear" w:color="auto" w:fill="auto"/>
            <w:vAlign w:val="center"/>
            <w:hideMark/>
          </w:tcPr>
          <w:p w14:paraId="575A8A63" w14:textId="77777777" w:rsidR="008A5924" w:rsidRPr="009E2A5D" w:rsidRDefault="008A5924" w:rsidP="008A5924">
            <w:pPr>
              <w:rPr>
                <w:sz w:val="16"/>
                <w:lang w:val="es-MX"/>
              </w:rPr>
            </w:pPr>
            <w:r w:rsidRPr="009E2A5D">
              <w:rPr>
                <w:sz w:val="16"/>
                <w:lang w:val="es-MX"/>
              </w:rPr>
              <w:t>1/ Los contribuyentes incluidos en cada sector corresponde al padrón de las empresas y/o titulares de licencias que obran en los registros del Ministerio de Energía y Minas.</w:t>
            </w:r>
          </w:p>
          <w:p w14:paraId="477BE403" w14:textId="77777777" w:rsidR="008A5924" w:rsidRPr="009E2A5D" w:rsidRDefault="008A5924" w:rsidP="008A5924">
            <w:pPr>
              <w:rPr>
                <w:sz w:val="16"/>
                <w:lang w:val="es-MX"/>
              </w:rPr>
            </w:pPr>
            <w:r w:rsidRPr="009E2A5D">
              <w:rPr>
                <w:sz w:val="22"/>
                <w:vertAlign w:val="superscript"/>
              </w:rPr>
              <w:t xml:space="preserve">/2 </w:t>
            </w:r>
            <w:r w:rsidRPr="009E2A5D">
              <w:rPr>
                <w:sz w:val="16"/>
                <w:lang w:val="es-MX"/>
              </w:rPr>
              <w:t>corresponde al pago de las obligaciones propias, excluye las retenciones a terceros.</w:t>
            </w:r>
          </w:p>
        </w:tc>
      </w:tr>
      <w:tr w:rsidR="008A5924" w:rsidRPr="009E2A5D" w14:paraId="2DBB65E6" w14:textId="77777777" w:rsidTr="009E2A5D">
        <w:trPr>
          <w:trHeight w:val="225"/>
          <w:jc w:val="center"/>
        </w:trPr>
        <w:tc>
          <w:tcPr>
            <w:tcW w:w="8980" w:type="dxa"/>
            <w:tcBorders>
              <w:top w:val="nil"/>
              <w:left w:val="nil"/>
              <w:bottom w:val="nil"/>
              <w:right w:val="nil"/>
            </w:tcBorders>
            <w:shd w:val="clear" w:color="auto" w:fill="auto"/>
            <w:noWrap/>
            <w:vAlign w:val="bottom"/>
            <w:hideMark/>
          </w:tcPr>
          <w:p w14:paraId="1B79E10D" w14:textId="77777777" w:rsidR="008A5924" w:rsidRPr="009E2A5D" w:rsidRDefault="008A5924" w:rsidP="008A5924">
            <w:pPr>
              <w:rPr>
                <w:sz w:val="16"/>
                <w:lang w:val="es-MX"/>
              </w:rPr>
            </w:pPr>
            <w:r w:rsidRPr="009E2A5D">
              <w:rPr>
                <w:sz w:val="16"/>
                <w:lang w:val="es-MX"/>
              </w:rPr>
              <w:t>*Nota: información  de los años 2016 a 2018 aún pendientes de conciliar con EITI-Guatemala y puede variar según el padrón de contribuyentes proporcionado.</w:t>
            </w:r>
          </w:p>
        </w:tc>
      </w:tr>
    </w:tbl>
    <w:p w14:paraId="0940E88C" w14:textId="77777777" w:rsidR="008A5924" w:rsidRPr="00184700" w:rsidRDefault="008A5924" w:rsidP="008A5924">
      <w:pPr>
        <w:rPr>
          <w:sz w:val="6"/>
        </w:rPr>
      </w:pPr>
    </w:p>
    <w:p w14:paraId="1A25FAFC" w14:textId="77777777" w:rsidR="008A5924" w:rsidRPr="00184700" w:rsidRDefault="008A5924" w:rsidP="008A5924"/>
    <w:p w14:paraId="3E1A4AE5" w14:textId="77777777" w:rsidR="008A5924" w:rsidRPr="00A07D95" w:rsidRDefault="008A5924" w:rsidP="008A5924">
      <w:pPr>
        <w:rPr>
          <w:sz w:val="24"/>
          <w:szCs w:val="24"/>
        </w:rPr>
      </w:pPr>
      <w:r w:rsidRPr="00A07D95">
        <w:rPr>
          <w:sz w:val="24"/>
          <w:szCs w:val="24"/>
        </w:rPr>
        <w:t>En el caso del Impuesto de Solidaridad, registra una recaudación acumulada de Q139.</w:t>
      </w:r>
      <w:r w:rsidR="00570EFC" w:rsidRPr="00A07D95">
        <w:rPr>
          <w:sz w:val="24"/>
          <w:szCs w:val="24"/>
        </w:rPr>
        <w:t>3 millones que representan el 6 por ciento</w:t>
      </w:r>
      <w:r w:rsidRPr="00A07D95">
        <w:rPr>
          <w:sz w:val="24"/>
          <w:szCs w:val="24"/>
        </w:rPr>
        <w:t xml:space="preserve"> de la recaudación reportada por las empresas incluidas en esa actividad económica.</w:t>
      </w:r>
    </w:p>
    <w:p w14:paraId="11B8199F" w14:textId="77777777" w:rsidR="008A5924" w:rsidRPr="00A07D95" w:rsidRDefault="008A5924" w:rsidP="008A5924">
      <w:pPr>
        <w:jc w:val="both"/>
        <w:rPr>
          <w:sz w:val="24"/>
          <w:szCs w:val="24"/>
          <w:lang w:val="es-MX"/>
        </w:rPr>
      </w:pPr>
    </w:p>
    <w:p w14:paraId="5EBBA7DA" w14:textId="77777777" w:rsidR="008A5924" w:rsidRPr="00A07D95" w:rsidRDefault="008A5924" w:rsidP="008A5924">
      <w:pPr>
        <w:jc w:val="both"/>
        <w:rPr>
          <w:sz w:val="24"/>
          <w:szCs w:val="24"/>
          <w:lang w:val="es-MX"/>
        </w:rPr>
      </w:pPr>
      <w:r w:rsidRPr="00A07D95">
        <w:rPr>
          <w:sz w:val="24"/>
          <w:szCs w:val="24"/>
          <w:lang w:val="es-MX"/>
        </w:rPr>
        <w:t xml:space="preserve">De acuerdo con la Ley de Minería los porcentajes de las regalías a pagarse por la explotación de minerales </w:t>
      </w:r>
      <w:r w:rsidR="00570EFC" w:rsidRPr="00A07D95">
        <w:rPr>
          <w:sz w:val="24"/>
          <w:szCs w:val="24"/>
          <w:lang w:val="es-MX"/>
        </w:rPr>
        <w:t xml:space="preserve">serán 0.5 por ciento al Estado y del 0.5 por ciento </w:t>
      </w:r>
      <w:r w:rsidRPr="00A07D95">
        <w:rPr>
          <w:sz w:val="24"/>
          <w:szCs w:val="24"/>
          <w:lang w:val="es-MX"/>
        </w:rPr>
        <w:t xml:space="preserve">a las municipalidades; En el caso de que la extracción se localice en más de una jurisdicción municipal, la regalía se repartirá entre las municipalidades correspondientes en proporción a los productos mineros extraídos en cada jurisdicción. </w:t>
      </w:r>
    </w:p>
    <w:p w14:paraId="60232DC9" w14:textId="77777777" w:rsidR="008A5924" w:rsidRPr="00A07D95" w:rsidRDefault="008A5924" w:rsidP="008A5924">
      <w:pPr>
        <w:jc w:val="both"/>
        <w:rPr>
          <w:sz w:val="24"/>
          <w:szCs w:val="24"/>
          <w:lang w:val="es-MX"/>
        </w:rPr>
      </w:pPr>
    </w:p>
    <w:p w14:paraId="40A05ED2" w14:textId="77777777" w:rsidR="008A5924" w:rsidRDefault="008A5924" w:rsidP="008A5924">
      <w:pPr>
        <w:jc w:val="both"/>
        <w:rPr>
          <w:sz w:val="24"/>
          <w:szCs w:val="24"/>
          <w:lang w:val="es-MX"/>
        </w:rPr>
      </w:pPr>
      <w:r w:rsidRPr="00A07D95">
        <w:rPr>
          <w:sz w:val="24"/>
          <w:szCs w:val="24"/>
          <w:lang w:val="es-MX"/>
        </w:rPr>
        <w:t>Los registros del SICOIN, muestran que durante el periodo 2005 -2018 la Administración Central recaudó por concepto de regalías sobre explotación minera un monto de Q233.0 millones, siendo los ingresos más altos los observados durante los ejercicios 2011 y 2016. El comportamiento está relacionado con las variaciones en los niveles de producción señalados y el volumen de ventas registrado.</w:t>
      </w:r>
    </w:p>
    <w:p w14:paraId="63628038" w14:textId="77777777" w:rsidR="007B1CA6" w:rsidRPr="00A07D95" w:rsidRDefault="007B1CA6" w:rsidP="008A5924">
      <w:pPr>
        <w:jc w:val="both"/>
        <w:rPr>
          <w:sz w:val="24"/>
          <w:szCs w:val="24"/>
          <w:lang w:val="es-MX"/>
        </w:rPr>
      </w:pPr>
    </w:p>
    <w:p w14:paraId="54DDCDB1" w14:textId="1AECFD1C" w:rsidR="008A5924" w:rsidRPr="007B1CA6" w:rsidRDefault="008A5924" w:rsidP="008A5924">
      <w:pPr>
        <w:pStyle w:val="Descripcin"/>
        <w:keepNext/>
        <w:rPr>
          <w:color w:val="000000" w:themeColor="text1"/>
          <w:sz w:val="16"/>
          <w:lang w:val="es-MX"/>
        </w:rPr>
      </w:pPr>
      <w:bookmarkStart w:id="218" w:name="_Toc16242999"/>
      <w:r w:rsidRPr="007B1CA6">
        <w:rPr>
          <w:color w:val="000000" w:themeColor="text1"/>
        </w:rPr>
        <w:t xml:space="preserve">Gráfico  </w:t>
      </w:r>
      <w:r w:rsidRPr="007B1CA6">
        <w:rPr>
          <w:color w:val="000000" w:themeColor="text1"/>
        </w:rPr>
        <w:fldChar w:fldCharType="begin"/>
      </w:r>
      <w:r w:rsidRPr="007B1CA6">
        <w:rPr>
          <w:color w:val="000000" w:themeColor="text1"/>
        </w:rPr>
        <w:instrText xml:space="preserve"> SEQ Gráfico_ \* ARABIC </w:instrText>
      </w:r>
      <w:r w:rsidRPr="007B1CA6">
        <w:rPr>
          <w:color w:val="000000" w:themeColor="text1"/>
        </w:rPr>
        <w:fldChar w:fldCharType="separate"/>
      </w:r>
      <w:r w:rsidR="004B2A60">
        <w:rPr>
          <w:noProof/>
          <w:color w:val="000000" w:themeColor="text1"/>
        </w:rPr>
        <w:t>36</w:t>
      </w:r>
      <w:r w:rsidRPr="007B1CA6">
        <w:rPr>
          <w:noProof/>
          <w:color w:val="000000" w:themeColor="text1"/>
        </w:rPr>
        <w:fldChar w:fldCharType="end"/>
      </w:r>
      <w:r w:rsidRPr="007B1CA6">
        <w:rPr>
          <w:color w:val="000000" w:themeColor="text1"/>
        </w:rPr>
        <w:t>: Regalías mineras Administración Central</w:t>
      </w:r>
      <w:bookmarkEnd w:id="218"/>
    </w:p>
    <w:p w14:paraId="5C28E7F9" w14:textId="77777777" w:rsidR="008A5924" w:rsidRDefault="008A5924" w:rsidP="008A5924">
      <w:pPr>
        <w:keepNext/>
        <w:jc w:val="center"/>
        <w:rPr>
          <w:sz w:val="16"/>
          <w:lang w:val="es-MX"/>
        </w:rPr>
      </w:pPr>
      <w:r w:rsidRPr="00184700">
        <w:rPr>
          <w:sz w:val="16"/>
          <w:lang w:val="es-MX"/>
        </w:rPr>
        <w:t>Periodo 2005 – 2018</w:t>
      </w:r>
    </w:p>
    <w:p w14:paraId="28583225" w14:textId="77777777" w:rsidR="00056555" w:rsidRPr="00184700" w:rsidRDefault="00056555" w:rsidP="008A5924">
      <w:pPr>
        <w:keepNext/>
        <w:jc w:val="center"/>
        <w:rPr>
          <w:lang w:val="es-MX"/>
        </w:rPr>
      </w:pPr>
    </w:p>
    <w:p w14:paraId="5A88847D" w14:textId="77777777" w:rsidR="008A5924" w:rsidRPr="00184700" w:rsidRDefault="008A5924" w:rsidP="009E2A5D">
      <w:pPr>
        <w:jc w:val="center"/>
        <w:rPr>
          <w:lang w:val="es-MX"/>
        </w:rPr>
      </w:pPr>
      <w:r w:rsidRPr="00184700">
        <w:rPr>
          <w:noProof/>
          <w:lang w:val="es-GT" w:eastAsia="es-GT"/>
        </w:rPr>
        <w:drawing>
          <wp:inline distT="0" distB="0" distL="0" distR="0" wp14:anchorId="68D3BB37" wp14:editId="1DC223E5">
            <wp:extent cx="4812538" cy="1879600"/>
            <wp:effectExtent l="0" t="0" r="7620" b="63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4FA174" w14:textId="77777777" w:rsidR="008A5924" w:rsidRPr="00184700" w:rsidRDefault="009E2A5D" w:rsidP="008A5924">
      <w:pPr>
        <w:rPr>
          <w:sz w:val="14"/>
          <w:lang w:val="es-MX"/>
        </w:rPr>
      </w:pPr>
      <w:r w:rsidRPr="00C6310A">
        <w:rPr>
          <w:b/>
          <w:sz w:val="18"/>
          <w:lang w:val="es-MX"/>
        </w:rPr>
        <w:t xml:space="preserve">                        </w:t>
      </w:r>
      <w:r w:rsidR="00F86A68" w:rsidRPr="00C6310A">
        <w:rPr>
          <w:b/>
          <w:sz w:val="18"/>
          <w:lang w:val="es-MX"/>
        </w:rPr>
        <w:t>Fuente:</w:t>
      </w:r>
      <w:r w:rsidR="00F86A68">
        <w:rPr>
          <w:sz w:val="18"/>
          <w:lang w:val="es-MX"/>
        </w:rPr>
        <w:t xml:space="preserve"> Sistema de Contabilidad Integrada</w:t>
      </w:r>
      <w:r w:rsidR="008A5924" w:rsidRPr="009E2A5D">
        <w:rPr>
          <w:sz w:val="18"/>
          <w:lang w:val="es-MX"/>
        </w:rPr>
        <w:t xml:space="preserve"> –SICOIN- Ministerio de Finanzas Públicas</w:t>
      </w:r>
      <w:r w:rsidR="008A5924" w:rsidRPr="00184700">
        <w:rPr>
          <w:sz w:val="14"/>
          <w:lang w:val="es-MX"/>
        </w:rPr>
        <w:t>.</w:t>
      </w:r>
    </w:p>
    <w:p w14:paraId="03F1A427" w14:textId="77777777" w:rsidR="008A5924" w:rsidRPr="00184700" w:rsidRDefault="008A5924" w:rsidP="008A5924">
      <w:pPr>
        <w:jc w:val="both"/>
        <w:rPr>
          <w:lang w:val="es-MX"/>
        </w:rPr>
      </w:pPr>
    </w:p>
    <w:p w14:paraId="68332ACE" w14:textId="77777777" w:rsidR="008A5924" w:rsidRPr="007B1CA6" w:rsidRDefault="008A5924" w:rsidP="008A5924">
      <w:pPr>
        <w:jc w:val="both"/>
        <w:rPr>
          <w:sz w:val="24"/>
          <w:szCs w:val="24"/>
          <w:lang w:val="es-MX"/>
        </w:rPr>
      </w:pPr>
      <w:r w:rsidRPr="007B1CA6">
        <w:rPr>
          <w:sz w:val="24"/>
          <w:szCs w:val="24"/>
          <w:lang w:val="es-MX"/>
        </w:rPr>
        <w:t>En mayo de 2012, mediante el Acuerdo Gubernativo 105-2012 se aprobó el Acuerdo Marco de Entendimiento suscrito en enero de ese año, entre la República de Guatemala y la Cámara de Industria de Guatemala, en el cual se establece un aporte adicional y voluntario con el propósito que la actividad minera contribuya al desarrollo social, ambiental y económico de los habitantes del país, el Acuerdo autoriza al Ministerio de Energía y Minas, la suscripción de acuerdos secundarios con los representantes de las empresas interesadas en participar del mismo.</w:t>
      </w:r>
    </w:p>
    <w:p w14:paraId="0DFE1B59" w14:textId="77777777" w:rsidR="008A5924" w:rsidRPr="007B1CA6" w:rsidRDefault="008A5924" w:rsidP="008A5924">
      <w:pPr>
        <w:jc w:val="both"/>
        <w:rPr>
          <w:sz w:val="24"/>
          <w:szCs w:val="24"/>
          <w:lang w:val="es-MX"/>
        </w:rPr>
      </w:pPr>
    </w:p>
    <w:p w14:paraId="686BD822" w14:textId="77777777" w:rsidR="008A5924" w:rsidRPr="007B1CA6" w:rsidRDefault="008A5924" w:rsidP="008A5924">
      <w:pPr>
        <w:jc w:val="both"/>
        <w:rPr>
          <w:sz w:val="24"/>
          <w:szCs w:val="24"/>
          <w:lang w:val="es-MX"/>
        </w:rPr>
      </w:pPr>
      <w:r w:rsidRPr="007B1CA6">
        <w:rPr>
          <w:sz w:val="24"/>
          <w:szCs w:val="24"/>
          <w:lang w:val="es-MX"/>
        </w:rPr>
        <w:t>Adicionalmente, el acuerdo faculta al Ministerio de Finanzas Públicas, a través de la Tesorería Nacional, la administración de una cuenta de depósitos monetarios en el Banco de Guatemala para acreditar el monto de los recursos correspondientes al porcentaje que se establezca en los convenios secundarios y la constitución de un fondo emergente destinado a mitigar los daños que puedan ocasionar los fenómenos naturales que afecten al país.</w:t>
      </w:r>
    </w:p>
    <w:p w14:paraId="0C4F700A" w14:textId="77777777" w:rsidR="008A5924" w:rsidRPr="007B1CA6" w:rsidRDefault="008A5924" w:rsidP="008A5924">
      <w:pPr>
        <w:jc w:val="both"/>
        <w:rPr>
          <w:sz w:val="24"/>
          <w:szCs w:val="24"/>
          <w:lang w:val="es-MX"/>
        </w:rPr>
      </w:pPr>
    </w:p>
    <w:p w14:paraId="5E89E162" w14:textId="77777777" w:rsidR="008A5924" w:rsidRPr="007B1CA6" w:rsidRDefault="008A5924" w:rsidP="008A5924">
      <w:pPr>
        <w:jc w:val="both"/>
        <w:rPr>
          <w:sz w:val="24"/>
          <w:szCs w:val="24"/>
          <w:lang w:val="es-MX"/>
        </w:rPr>
      </w:pPr>
      <w:r w:rsidRPr="007B1CA6">
        <w:rPr>
          <w:sz w:val="24"/>
          <w:szCs w:val="24"/>
          <w:lang w:val="es-MX"/>
        </w:rPr>
        <w:t>En junio de 2012, fue suscrito mediante el Acuerdo Ministerial 190-2012 del MEM el primer acuerdo secundario entre el Ministerio de Energía y Minas y la entidad Montana Exploradora. En él, se negoció un aporte voluntario adicional de Montana Exploradora a favor del Estado y de las Muni</w:t>
      </w:r>
      <w:r w:rsidR="003C65BF" w:rsidRPr="007B1CA6">
        <w:rPr>
          <w:sz w:val="24"/>
          <w:szCs w:val="24"/>
          <w:lang w:val="es-MX"/>
        </w:rPr>
        <w:t>cipalidades, equivalente a un 4 por ciento</w:t>
      </w:r>
      <w:r w:rsidRPr="007B1CA6">
        <w:rPr>
          <w:sz w:val="24"/>
          <w:szCs w:val="24"/>
          <w:lang w:val="es-MX"/>
        </w:rPr>
        <w:t xml:space="preserve"> del producto minero comercializado, la  distribución a</w:t>
      </w:r>
      <w:r w:rsidR="003C65BF" w:rsidRPr="007B1CA6">
        <w:rPr>
          <w:sz w:val="24"/>
          <w:szCs w:val="24"/>
          <w:lang w:val="es-MX"/>
        </w:rPr>
        <w:t>cordada fue: un 3 por ciento</w:t>
      </w:r>
      <w:r w:rsidRPr="007B1CA6">
        <w:rPr>
          <w:sz w:val="24"/>
          <w:szCs w:val="24"/>
          <w:lang w:val="es-MX"/>
        </w:rPr>
        <w:t xml:space="preserve"> en partes iguales al Estado y las Municipalidades donde se realiz</w:t>
      </w:r>
      <w:r w:rsidR="003C65BF" w:rsidRPr="007B1CA6">
        <w:rPr>
          <w:sz w:val="24"/>
          <w:szCs w:val="24"/>
          <w:lang w:val="es-MX"/>
        </w:rPr>
        <w:t>a la actividad extractiva, el 1</w:t>
      </w:r>
      <w:r w:rsidRPr="007B1CA6">
        <w:rPr>
          <w:sz w:val="24"/>
          <w:szCs w:val="24"/>
          <w:lang w:val="es-MX"/>
        </w:rPr>
        <w:t xml:space="preserve"> por ciento restante distribuid</w:t>
      </w:r>
      <w:r w:rsidR="003C65BF" w:rsidRPr="007B1CA6">
        <w:rPr>
          <w:sz w:val="24"/>
          <w:szCs w:val="24"/>
          <w:lang w:val="es-MX"/>
        </w:rPr>
        <w:t>o de la siguiente manera: el 80 por ciento</w:t>
      </w:r>
      <w:r w:rsidRPr="007B1CA6">
        <w:rPr>
          <w:sz w:val="24"/>
          <w:szCs w:val="24"/>
          <w:lang w:val="es-MX"/>
        </w:rPr>
        <w:t xml:space="preserve"> a las Municipalidades de San Miguel Ixtahuacán y Sipacapa por medio de financiamiento directo</w:t>
      </w:r>
      <w:r w:rsidR="003C65BF" w:rsidRPr="007B1CA6">
        <w:rPr>
          <w:sz w:val="24"/>
          <w:szCs w:val="24"/>
          <w:lang w:val="es-MX"/>
        </w:rPr>
        <w:t xml:space="preserve"> de Montana Exploradora y el 20 por ciento</w:t>
      </w:r>
      <w:r w:rsidRPr="007B1CA6">
        <w:rPr>
          <w:sz w:val="24"/>
          <w:szCs w:val="24"/>
          <w:lang w:val="es-MX"/>
        </w:rPr>
        <w:t xml:space="preserve"> restante para los ministerios de Energía y Minas; y el de Ambiente y Recursos Naturales.</w:t>
      </w:r>
    </w:p>
    <w:p w14:paraId="6A985DD1" w14:textId="77777777" w:rsidR="008A5924" w:rsidRPr="007B1CA6" w:rsidRDefault="008A5924" w:rsidP="008A5924">
      <w:pPr>
        <w:jc w:val="both"/>
        <w:rPr>
          <w:sz w:val="24"/>
          <w:szCs w:val="24"/>
          <w:lang w:val="es-MX"/>
        </w:rPr>
      </w:pPr>
    </w:p>
    <w:p w14:paraId="7254065F" w14:textId="77777777" w:rsidR="008A5924" w:rsidRPr="007B1CA6" w:rsidRDefault="008A5924" w:rsidP="008A5924">
      <w:pPr>
        <w:jc w:val="both"/>
        <w:rPr>
          <w:sz w:val="24"/>
          <w:szCs w:val="24"/>
          <w:lang w:val="es-MX"/>
        </w:rPr>
      </w:pPr>
      <w:r w:rsidRPr="007B1CA6">
        <w:rPr>
          <w:sz w:val="24"/>
          <w:szCs w:val="24"/>
          <w:lang w:val="es-MX"/>
        </w:rPr>
        <w:t>En febrero 2013, mediante el Acuerdo Ministerial 009-2013, se suscribe el segundo acuerdo, en el que la Compañía Guatemalteca de Níquel CGN se compromete a p</w:t>
      </w:r>
      <w:r w:rsidR="003C65BF" w:rsidRPr="007B1CA6">
        <w:rPr>
          <w:sz w:val="24"/>
          <w:szCs w:val="24"/>
          <w:lang w:val="es-MX"/>
        </w:rPr>
        <w:t>agar regalías voluntarias del 2 por ciento del níquel exportado. El 1 por ciento</w:t>
      </w:r>
      <w:r w:rsidRPr="007B1CA6">
        <w:rPr>
          <w:sz w:val="24"/>
          <w:szCs w:val="24"/>
          <w:lang w:val="es-MX"/>
        </w:rPr>
        <w:t xml:space="preserve"> se distribuye en partes iguales al Estado de Guatemala y a la Municip</w:t>
      </w:r>
      <w:r w:rsidR="003C65BF" w:rsidRPr="007B1CA6">
        <w:rPr>
          <w:sz w:val="24"/>
          <w:szCs w:val="24"/>
          <w:lang w:val="es-MX"/>
        </w:rPr>
        <w:t>alidad de El Estor, y el otro 1 por ciento</w:t>
      </w:r>
      <w:r w:rsidRPr="007B1CA6">
        <w:rPr>
          <w:sz w:val="24"/>
          <w:szCs w:val="24"/>
          <w:lang w:val="es-MX"/>
        </w:rPr>
        <w:t xml:space="preserve"> se reparte entre las municipalidades de Los Amates, Puerto Barri</w:t>
      </w:r>
      <w:r w:rsidR="00C6310A">
        <w:rPr>
          <w:sz w:val="24"/>
          <w:szCs w:val="24"/>
          <w:lang w:val="es-MX"/>
        </w:rPr>
        <w:t>os y Livingston, en Izabal; la M</w:t>
      </w:r>
      <w:r w:rsidRPr="007B1CA6">
        <w:rPr>
          <w:sz w:val="24"/>
          <w:szCs w:val="24"/>
          <w:lang w:val="es-MX"/>
        </w:rPr>
        <w:t>unicipalidad de Panzós, en Alta Verapaz; y los ministerios de Ambiente y Recursos Naturales y de Energía y Minas.</w:t>
      </w:r>
    </w:p>
    <w:p w14:paraId="1C85567C" w14:textId="77777777" w:rsidR="008A5924" w:rsidRPr="007B1CA6" w:rsidRDefault="008A5924" w:rsidP="008A5924">
      <w:pPr>
        <w:jc w:val="both"/>
        <w:rPr>
          <w:sz w:val="24"/>
          <w:szCs w:val="24"/>
          <w:lang w:val="es-MX"/>
        </w:rPr>
      </w:pPr>
    </w:p>
    <w:p w14:paraId="4253A325" w14:textId="77777777" w:rsidR="008A5924" w:rsidRPr="007B1CA6" w:rsidRDefault="008A5924" w:rsidP="008A5924">
      <w:pPr>
        <w:jc w:val="both"/>
        <w:rPr>
          <w:sz w:val="24"/>
          <w:szCs w:val="24"/>
          <w:lang w:val="es-MX"/>
        </w:rPr>
      </w:pPr>
      <w:r w:rsidRPr="007B1CA6">
        <w:rPr>
          <w:sz w:val="24"/>
          <w:szCs w:val="24"/>
          <w:lang w:val="es-MX"/>
        </w:rPr>
        <w:t>En mayo de 2013 mediante Acuerdo Ministerial 119-2013 se suscribió el tercer acuerdo, en el cual Minera San Rafael, Sociedad Anónima, se compromete en forma voluntaria a ot</w:t>
      </w:r>
      <w:r w:rsidR="008B4420" w:rsidRPr="007B1CA6">
        <w:rPr>
          <w:sz w:val="24"/>
          <w:szCs w:val="24"/>
          <w:lang w:val="es-MX"/>
        </w:rPr>
        <w:t>orgar un aporte adicional del 4 por ciento</w:t>
      </w:r>
      <w:r w:rsidRPr="007B1CA6">
        <w:rPr>
          <w:sz w:val="24"/>
          <w:szCs w:val="24"/>
          <w:lang w:val="es-MX"/>
        </w:rPr>
        <w:t xml:space="preserve"> de lo </w:t>
      </w:r>
      <w:r w:rsidR="008B4420" w:rsidRPr="007B1CA6">
        <w:rPr>
          <w:sz w:val="24"/>
          <w:szCs w:val="24"/>
          <w:lang w:val="es-MX"/>
        </w:rPr>
        <w:t>comercializado distribuido en 2 por ciento a favor del Estado y 2 por ciento</w:t>
      </w:r>
      <w:r w:rsidRPr="007B1CA6">
        <w:rPr>
          <w:sz w:val="24"/>
          <w:szCs w:val="24"/>
          <w:lang w:val="es-MX"/>
        </w:rPr>
        <w:t xml:space="preserve"> a favor de las municipalidades.</w:t>
      </w:r>
    </w:p>
    <w:p w14:paraId="1DA6A2F4" w14:textId="77777777" w:rsidR="008A5924" w:rsidRPr="00184700" w:rsidRDefault="008A5924" w:rsidP="008A5924">
      <w:pPr>
        <w:rPr>
          <w:sz w:val="16"/>
          <w:lang w:val="es-MX"/>
        </w:rPr>
      </w:pPr>
    </w:p>
    <w:p w14:paraId="1CC61C52" w14:textId="1356DC8D" w:rsidR="008A5924" w:rsidRPr="007B1CA6" w:rsidRDefault="008A5924" w:rsidP="008A5924">
      <w:pPr>
        <w:pStyle w:val="Descripcin"/>
        <w:keepNext/>
        <w:rPr>
          <w:color w:val="000000" w:themeColor="text1"/>
          <w:sz w:val="16"/>
          <w:lang w:val="es-MX"/>
        </w:rPr>
      </w:pPr>
      <w:bookmarkStart w:id="219" w:name="_Toc16243000"/>
      <w:r w:rsidRPr="007B1CA6">
        <w:rPr>
          <w:color w:val="000000" w:themeColor="text1"/>
        </w:rPr>
        <w:t xml:space="preserve">Gráfico  </w:t>
      </w:r>
      <w:r w:rsidRPr="007B1CA6">
        <w:rPr>
          <w:color w:val="000000" w:themeColor="text1"/>
        </w:rPr>
        <w:fldChar w:fldCharType="begin"/>
      </w:r>
      <w:r w:rsidRPr="007B1CA6">
        <w:rPr>
          <w:color w:val="000000" w:themeColor="text1"/>
        </w:rPr>
        <w:instrText xml:space="preserve"> SEQ Gráfico_ \* ARABIC </w:instrText>
      </w:r>
      <w:r w:rsidRPr="007B1CA6">
        <w:rPr>
          <w:color w:val="000000" w:themeColor="text1"/>
        </w:rPr>
        <w:fldChar w:fldCharType="separate"/>
      </w:r>
      <w:r w:rsidR="004B2A60">
        <w:rPr>
          <w:noProof/>
          <w:color w:val="000000" w:themeColor="text1"/>
        </w:rPr>
        <w:t>37</w:t>
      </w:r>
      <w:r w:rsidRPr="007B1CA6">
        <w:rPr>
          <w:noProof/>
          <w:color w:val="000000" w:themeColor="text1"/>
        </w:rPr>
        <w:fldChar w:fldCharType="end"/>
      </w:r>
      <w:r w:rsidRPr="007B1CA6">
        <w:rPr>
          <w:color w:val="000000" w:themeColor="text1"/>
        </w:rPr>
        <w:t>: Regalías mineras voluntarias a favor de la Administración Central</w:t>
      </w:r>
      <w:bookmarkEnd w:id="219"/>
    </w:p>
    <w:p w14:paraId="773939AC" w14:textId="77777777" w:rsidR="008A5924" w:rsidRDefault="008A5924" w:rsidP="008A5924">
      <w:pPr>
        <w:keepNext/>
        <w:jc w:val="center"/>
        <w:rPr>
          <w:sz w:val="16"/>
          <w:lang w:val="es-MX"/>
        </w:rPr>
      </w:pPr>
      <w:r w:rsidRPr="00184700">
        <w:rPr>
          <w:sz w:val="16"/>
          <w:lang w:val="es-MX"/>
        </w:rPr>
        <w:t>Periodo 2012-2017</w:t>
      </w:r>
    </w:p>
    <w:p w14:paraId="69666B0D" w14:textId="77777777" w:rsidR="00056555" w:rsidRPr="00184700" w:rsidRDefault="00056555" w:rsidP="008A5924">
      <w:pPr>
        <w:keepNext/>
        <w:jc w:val="center"/>
        <w:rPr>
          <w:lang w:val="es-MX"/>
        </w:rPr>
      </w:pPr>
    </w:p>
    <w:p w14:paraId="1925BD66" w14:textId="77777777" w:rsidR="008A5924" w:rsidRPr="00184700" w:rsidRDefault="008A5924" w:rsidP="008A5924">
      <w:pPr>
        <w:jc w:val="center"/>
        <w:rPr>
          <w:lang w:val="es-MX"/>
        </w:rPr>
      </w:pPr>
      <w:r w:rsidRPr="00184700">
        <w:rPr>
          <w:noProof/>
          <w:sz w:val="28"/>
          <w:lang w:val="es-GT" w:eastAsia="es-GT"/>
        </w:rPr>
        <w:drawing>
          <wp:inline distT="0" distB="0" distL="0" distR="0" wp14:anchorId="3BE7C5C8" wp14:editId="459B6F55">
            <wp:extent cx="4201064" cy="1992702"/>
            <wp:effectExtent l="0" t="0" r="0" b="76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7DFA634" w14:textId="77777777" w:rsidR="008A5924" w:rsidRPr="00184700" w:rsidRDefault="00EC5B09" w:rsidP="008A5924">
      <w:pPr>
        <w:rPr>
          <w:sz w:val="14"/>
          <w:lang w:val="es-MX"/>
        </w:rPr>
      </w:pPr>
      <w:r w:rsidRPr="00C6310A">
        <w:rPr>
          <w:b/>
          <w:sz w:val="18"/>
          <w:lang w:val="es-MX"/>
        </w:rPr>
        <w:t xml:space="preserve">                                       </w:t>
      </w:r>
      <w:r w:rsidR="00F86A68" w:rsidRPr="00C6310A">
        <w:rPr>
          <w:b/>
          <w:sz w:val="18"/>
          <w:lang w:val="es-MX"/>
        </w:rPr>
        <w:t>Fuente</w:t>
      </w:r>
      <w:r w:rsidR="00F86A68">
        <w:rPr>
          <w:sz w:val="18"/>
          <w:lang w:val="es-MX"/>
        </w:rPr>
        <w:t>: Sistema de Contabilidad Integrada</w:t>
      </w:r>
      <w:r w:rsidR="008A5924" w:rsidRPr="00EC5B09">
        <w:rPr>
          <w:sz w:val="18"/>
          <w:lang w:val="es-MX"/>
        </w:rPr>
        <w:t xml:space="preserve"> –SICOIN- Ministerio de Finanzas Públicas</w:t>
      </w:r>
      <w:r w:rsidR="008A5924" w:rsidRPr="00184700">
        <w:rPr>
          <w:sz w:val="14"/>
          <w:lang w:val="es-MX"/>
        </w:rPr>
        <w:t>.</w:t>
      </w:r>
    </w:p>
    <w:p w14:paraId="39F802EA" w14:textId="77777777" w:rsidR="008A5924" w:rsidRPr="00184700" w:rsidRDefault="008A5924" w:rsidP="008A5924">
      <w:pPr>
        <w:jc w:val="both"/>
        <w:rPr>
          <w:lang w:val="es-MX"/>
        </w:rPr>
      </w:pPr>
    </w:p>
    <w:p w14:paraId="7A94A5AB" w14:textId="77777777" w:rsidR="008A5924" w:rsidRPr="007B1CA6" w:rsidRDefault="008A5924" w:rsidP="008A5924">
      <w:pPr>
        <w:jc w:val="both"/>
        <w:rPr>
          <w:sz w:val="24"/>
          <w:szCs w:val="24"/>
          <w:lang w:val="es-MX"/>
        </w:rPr>
      </w:pPr>
      <w:r w:rsidRPr="007B1CA6">
        <w:rPr>
          <w:sz w:val="24"/>
          <w:szCs w:val="24"/>
          <w:lang w:val="es-MX"/>
        </w:rPr>
        <w:t>De acuerdo con los acuerdos establecidos durante el periodo 2012-2017 según los registros del SICOIN Q323.20 millones por concepto de aportes voluntarios. El comportamiento de los aportes está relacionado con las variaciones en los niveles de producción y el volumen de</w:t>
      </w:r>
      <w:r w:rsidR="00911825">
        <w:rPr>
          <w:sz w:val="24"/>
          <w:szCs w:val="24"/>
          <w:lang w:val="es-MX"/>
        </w:rPr>
        <w:t xml:space="preserve"> ventas. Es importante señalar </w:t>
      </w:r>
      <w:r w:rsidR="00911825" w:rsidRPr="007B1CA6">
        <w:rPr>
          <w:sz w:val="24"/>
          <w:szCs w:val="24"/>
          <w:lang w:val="es-MX"/>
        </w:rPr>
        <w:t>que,</w:t>
      </w:r>
      <w:r w:rsidRPr="007B1CA6">
        <w:rPr>
          <w:sz w:val="24"/>
          <w:szCs w:val="24"/>
          <w:lang w:val="es-MX"/>
        </w:rPr>
        <w:t xml:space="preserve"> de acuerdo a lo establecido en el convenio, los recursos están destinados al Fondo Emergente</w:t>
      </w:r>
      <w:r w:rsidR="00911825">
        <w:rPr>
          <w:sz w:val="24"/>
          <w:szCs w:val="24"/>
          <w:lang w:val="es-MX"/>
        </w:rPr>
        <w:t>,</w:t>
      </w:r>
      <w:r w:rsidRPr="007B1CA6">
        <w:rPr>
          <w:sz w:val="24"/>
          <w:szCs w:val="24"/>
          <w:lang w:val="es-MX"/>
        </w:rPr>
        <w:t xml:space="preserve"> Acuerdo Gubernativo 105-2012, que constituye un fondo patrimonial dirigido a la atención de desastres provocados por fenómenos naturales, de allí la importancia estratégica de su sostenibilidad financiera.</w:t>
      </w:r>
    </w:p>
    <w:p w14:paraId="33A48915" w14:textId="77777777" w:rsidR="008A5924" w:rsidRPr="007B1CA6" w:rsidRDefault="008A5924" w:rsidP="008A5924">
      <w:pPr>
        <w:jc w:val="both"/>
        <w:rPr>
          <w:sz w:val="24"/>
          <w:szCs w:val="24"/>
        </w:rPr>
      </w:pPr>
    </w:p>
    <w:p w14:paraId="4A2BBD20" w14:textId="77777777" w:rsidR="008A5924" w:rsidRPr="007B1CA6" w:rsidRDefault="008A5924" w:rsidP="00DD6292">
      <w:pPr>
        <w:pStyle w:val="Ttulo4"/>
        <w:widowControl/>
        <w:numPr>
          <w:ilvl w:val="3"/>
          <w:numId w:val="5"/>
        </w:numPr>
        <w:spacing w:before="240" w:after="60"/>
        <w:jc w:val="both"/>
        <w:rPr>
          <w:sz w:val="24"/>
          <w:szCs w:val="24"/>
        </w:rPr>
      </w:pPr>
      <w:bookmarkStart w:id="220" w:name="_Toc16519916"/>
      <w:r w:rsidRPr="007B1CA6">
        <w:rPr>
          <w:sz w:val="24"/>
          <w:szCs w:val="24"/>
        </w:rPr>
        <w:t>Aportes a las Municipalidades</w:t>
      </w:r>
      <w:bookmarkEnd w:id="220"/>
    </w:p>
    <w:p w14:paraId="0B034DF1" w14:textId="77777777" w:rsidR="008A5924" w:rsidRPr="007B1CA6" w:rsidRDefault="008A5924" w:rsidP="008A5924">
      <w:pPr>
        <w:jc w:val="both"/>
        <w:rPr>
          <w:sz w:val="24"/>
          <w:szCs w:val="24"/>
        </w:rPr>
      </w:pPr>
    </w:p>
    <w:p w14:paraId="18D1DDCF" w14:textId="77777777" w:rsidR="008A5924" w:rsidRPr="007B1CA6" w:rsidRDefault="008A5924" w:rsidP="008A5924">
      <w:pPr>
        <w:jc w:val="both"/>
        <w:rPr>
          <w:sz w:val="24"/>
          <w:szCs w:val="24"/>
        </w:rPr>
      </w:pPr>
      <w:r w:rsidRPr="007B1CA6">
        <w:rPr>
          <w:sz w:val="24"/>
          <w:szCs w:val="24"/>
        </w:rPr>
        <w:t>De conformidad con lo establecido, durante el periodo 2008-2018 los municipios en los que se desarrollan los principales proyectos mineros, recibieron</w:t>
      </w:r>
      <w:r w:rsidR="00911825">
        <w:rPr>
          <w:sz w:val="24"/>
          <w:szCs w:val="24"/>
        </w:rPr>
        <w:t xml:space="preserve"> por concepto de regalía minera</w:t>
      </w:r>
      <w:r w:rsidRPr="007B1CA6">
        <w:rPr>
          <w:sz w:val="24"/>
          <w:szCs w:val="24"/>
        </w:rPr>
        <w:t xml:space="preserve"> un monto acumulado de Q.522.28 millones; el principal</w:t>
      </w:r>
      <w:r w:rsidR="008B4420" w:rsidRPr="007B1CA6">
        <w:rPr>
          <w:sz w:val="24"/>
          <w:szCs w:val="24"/>
        </w:rPr>
        <w:t xml:space="preserve"> ingreso correspondiente al 67 por ciento </w:t>
      </w:r>
      <w:r w:rsidRPr="007B1CA6">
        <w:rPr>
          <w:sz w:val="24"/>
          <w:szCs w:val="24"/>
        </w:rPr>
        <w:t>se realizó en el Municipio de San Miguel Ixtahuacán Departamento de San Marcos Q370.53 millones, el Municipio de San Rafael las Flores, Departamento de Santa Rosa, recibió por concepto de regalías entre el 2014 y el 2018 un monto acumulado de Q125</w:t>
      </w:r>
      <w:r w:rsidR="008B4420" w:rsidRPr="007B1CA6">
        <w:rPr>
          <w:sz w:val="24"/>
          <w:szCs w:val="24"/>
        </w:rPr>
        <w:t>.63 millones equivalentes al 23 por ciento</w:t>
      </w:r>
      <w:r w:rsidRPr="007B1CA6">
        <w:rPr>
          <w:sz w:val="24"/>
          <w:szCs w:val="24"/>
        </w:rPr>
        <w:t>, por lo que ambos municipi</w:t>
      </w:r>
      <w:r w:rsidR="008B4420" w:rsidRPr="007B1CA6">
        <w:rPr>
          <w:sz w:val="24"/>
          <w:szCs w:val="24"/>
        </w:rPr>
        <w:t>os recibieron en conjunto el 90 por ciento</w:t>
      </w:r>
      <w:r w:rsidRPr="007B1CA6">
        <w:rPr>
          <w:sz w:val="24"/>
          <w:szCs w:val="24"/>
        </w:rPr>
        <w:t xml:space="preserve"> de los ingresos Q496.16 millones en un lapso de 10 años. </w:t>
      </w:r>
    </w:p>
    <w:p w14:paraId="46371E13" w14:textId="77777777" w:rsidR="008A5924" w:rsidRPr="00184700" w:rsidRDefault="008A5924" w:rsidP="008A5924">
      <w:pPr>
        <w:jc w:val="both"/>
      </w:pPr>
    </w:p>
    <w:p w14:paraId="4B898A81" w14:textId="3008062D" w:rsidR="008A5924" w:rsidRPr="007B1CA6" w:rsidRDefault="008A5924" w:rsidP="008A5924">
      <w:pPr>
        <w:pStyle w:val="Descripcin"/>
        <w:keepNext/>
        <w:rPr>
          <w:color w:val="000000" w:themeColor="text1"/>
          <w:sz w:val="16"/>
          <w:lang w:val="es-MX"/>
        </w:rPr>
      </w:pPr>
      <w:bookmarkStart w:id="221" w:name="_Toc16243001"/>
      <w:r w:rsidRPr="007B1CA6">
        <w:rPr>
          <w:color w:val="000000" w:themeColor="text1"/>
        </w:rPr>
        <w:t xml:space="preserve">Gráfico  </w:t>
      </w:r>
      <w:r w:rsidRPr="007B1CA6">
        <w:rPr>
          <w:color w:val="000000" w:themeColor="text1"/>
        </w:rPr>
        <w:fldChar w:fldCharType="begin"/>
      </w:r>
      <w:r w:rsidRPr="007B1CA6">
        <w:rPr>
          <w:color w:val="000000" w:themeColor="text1"/>
        </w:rPr>
        <w:instrText xml:space="preserve"> SEQ Gráfico_ \* ARABIC </w:instrText>
      </w:r>
      <w:r w:rsidRPr="007B1CA6">
        <w:rPr>
          <w:color w:val="000000" w:themeColor="text1"/>
        </w:rPr>
        <w:fldChar w:fldCharType="separate"/>
      </w:r>
      <w:r w:rsidR="004B2A60">
        <w:rPr>
          <w:noProof/>
          <w:color w:val="000000" w:themeColor="text1"/>
        </w:rPr>
        <w:t>38</w:t>
      </w:r>
      <w:r w:rsidRPr="007B1CA6">
        <w:rPr>
          <w:noProof/>
          <w:color w:val="000000" w:themeColor="text1"/>
        </w:rPr>
        <w:fldChar w:fldCharType="end"/>
      </w:r>
      <w:r w:rsidRPr="007B1CA6">
        <w:rPr>
          <w:color w:val="000000" w:themeColor="text1"/>
        </w:rPr>
        <w:t>: Regalías mineras a las Municipalidades</w:t>
      </w:r>
      <w:bookmarkEnd w:id="221"/>
    </w:p>
    <w:p w14:paraId="76935B44" w14:textId="77777777" w:rsidR="008A5924" w:rsidRDefault="008A5924" w:rsidP="008A5924">
      <w:pPr>
        <w:keepNext/>
        <w:jc w:val="center"/>
        <w:rPr>
          <w:sz w:val="16"/>
          <w:lang w:val="es-MX"/>
        </w:rPr>
      </w:pPr>
      <w:r w:rsidRPr="00184700">
        <w:rPr>
          <w:sz w:val="16"/>
          <w:lang w:val="es-MX"/>
        </w:rPr>
        <w:t>Periodo 2005 – 2018</w:t>
      </w:r>
    </w:p>
    <w:p w14:paraId="0E2128D5" w14:textId="77777777" w:rsidR="003C2F1C" w:rsidRDefault="003C2F1C" w:rsidP="008A5924">
      <w:pPr>
        <w:keepNext/>
        <w:jc w:val="center"/>
        <w:rPr>
          <w:sz w:val="16"/>
          <w:lang w:val="es-MX"/>
        </w:rPr>
      </w:pPr>
      <w:r>
        <w:rPr>
          <w:sz w:val="16"/>
          <w:lang w:val="es-MX"/>
        </w:rPr>
        <w:t>Millones de quetzales</w:t>
      </w:r>
    </w:p>
    <w:p w14:paraId="292820DD" w14:textId="77777777" w:rsidR="00056555" w:rsidRPr="00184700" w:rsidRDefault="00056555" w:rsidP="008A5924">
      <w:pPr>
        <w:keepNext/>
        <w:jc w:val="center"/>
        <w:rPr>
          <w:lang w:val="es-MX"/>
        </w:rPr>
      </w:pPr>
    </w:p>
    <w:p w14:paraId="03817B95" w14:textId="77777777" w:rsidR="008A5924" w:rsidRPr="00184700" w:rsidRDefault="008A5924" w:rsidP="00EC5B09">
      <w:pPr>
        <w:jc w:val="center"/>
        <w:rPr>
          <w:b/>
          <w:lang w:val="es-MX"/>
        </w:rPr>
      </w:pPr>
      <w:r w:rsidRPr="00184700">
        <w:rPr>
          <w:b/>
          <w:noProof/>
          <w:lang w:val="es-GT" w:eastAsia="es-GT"/>
        </w:rPr>
        <w:drawing>
          <wp:inline distT="0" distB="0" distL="0" distR="0" wp14:anchorId="770AFC5F" wp14:editId="6BCA5977">
            <wp:extent cx="4885899" cy="3080531"/>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2928" cy="3084963"/>
                    </a:xfrm>
                    <a:prstGeom prst="rect">
                      <a:avLst/>
                    </a:prstGeom>
                    <a:noFill/>
                  </pic:spPr>
                </pic:pic>
              </a:graphicData>
            </a:graphic>
          </wp:inline>
        </w:drawing>
      </w:r>
    </w:p>
    <w:p w14:paraId="196EA693" w14:textId="77777777" w:rsidR="008A5924" w:rsidRPr="00184700" w:rsidRDefault="00EC5B09" w:rsidP="00506983">
      <w:pPr>
        <w:rPr>
          <w:sz w:val="14"/>
          <w:lang w:val="es-MX"/>
        </w:rPr>
      </w:pPr>
      <w:r w:rsidRPr="00EC5B09">
        <w:rPr>
          <w:sz w:val="18"/>
          <w:lang w:val="es-MX"/>
        </w:rPr>
        <w:t xml:space="preserve">        </w:t>
      </w:r>
      <w:r>
        <w:rPr>
          <w:sz w:val="18"/>
          <w:lang w:val="es-MX"/>
        </w:rPr>
        <w:t xml:space="preserve">                      </w:t>
      </w:r>
      <w:r w:rsidRPr="00EC5B09">
        <w:rPr>
          <w:sz w:val="18"/>
          <w:lang w:val="es-MX"/>
        </w:rPr>
        <w:t xml:space="preserve">  </w:t>
      </w:r>
      <w:r w:rsidR="00506983" w:rsidRPr="00506983">
        <w:rPr>
          <w:b/>
          <w:sz w:val="18"/>
          <w:lang w:val="es-MX"/>
        </w:rPr>
        <w:t>Fuente:</w:t>
      </w:r>
      <w:r w:rsidR="00506983">
        <w:rPr>
          <w:sz w:val="18"/>
          <w:lang w:val="es-MX"/>
        </w:rPr>
        <w:t xml:space="preserve"> Sistema de C</w:t>
      </w:r>
      <w:r w:rsidR="008A5924" w:rsidRPr="00EC5B09">
        <w:rPr>
          <w:sz w:val="18"/>
          <w:lang w:val="es-MX"/>
        </w:rPr>
        <w:t>ontabili</w:t>
      </w:r>
      <w:r w:rsidR="00506983">
        <w:rPr>
          <w:sz w:val="18"/>
          <w:lang w:val="es-MX"/>
        </w:rPr>
        <w:t>dad Integrada</w:t>
      </w:r>
      <w:r w:rsidR="008A5924" w:rsidRPr="00EC5B09">
        <w:rPr>
          <w:sz w:val="18"/>
          <w:lang w:val="es-MX"/>
        </w:rPr>
        <w:t xml:space="preserve"> de los Gobiernos Locales –SICOIN-GL Ministerio de Finanzas Públicas</w:t>
      </w:r>
      <w:r w:rsidR="008A5924" w:rsidRPr="00184700">
        <w:rPr>
          <w:sz w:val="14"/>
          <w:lang w:val="es-MX"/>
        </w:rPr>
        <w:t>.</w:t>
      </w:r>
    </w:p>
    <w:p w14:paraId="44F905A8" w14:textId="77777777" w:rsidR="008A5924" w:rsidRPr="00184700" w:rsidRDefault="008A5924" w:rsidP="008A5924">
      <w:pPr>
        <w:jc w:val="both"/>
      </w:pPr>
    </w:p>
    <w:p w14:paraId="205AD6F9" w14:textId="77777777" w:rsidR="008A5924" w:rsidRPr="007B1CA6" w:rsidRDefault="008A5924" w:rsidP="008A5924">
      <w:pPr>
        <w:jc w:val="both"/>
        <w:rPr>
          <w:sz w:val="24"/>
          <w:szCs w:val="24"/>
        </w:rPr>
      </w:pPr>
      <w:r w:rsidRPr="007B1CA6">
        <w:rPr>
          <w:sz w:val="24"/>
          <w:szCs w:val="24"/>
        </w:rPr>
        <w:t xml:space="preserve">Para efectos de materializar el Riesgo Fiscal de Recursos Naturales, es necesario destacar la importancia que los ingresos provenientes por regalías tienen sobre las finanzas municipales y la dependencia que los gobiernos locales han desarrollado en función del flujo extraordinario de ingresos derivados de las actividades extractivas mineras. </w:t>
      </w:r>
    </w:p>
    <w:p w14:paraId="57F5D93C" w14:textId="77777777" w:rsidR="008A5924" w:rsidRPr="007B1CA6" w:rsidRDefault="008A5924" w:rsidP="008A5924">
      <w:pPr>
        <w:jc w:val="both"/>
        <w:rPr>
          <w:sz w:val="24"/>
          <w:szCs w:val="24"/>
        </w:rPr>
      </w:pPr>
    </w:p>
    <w:p w14:paraId="0D9BB747" w14:textId="77777777" w:rsidR="008A5924" w:rsidRDefault="008A5924" w:rsidP="008A5924">
      <w:pPr>
        <w:jc w:val="both"/>
        <w:rPr>
          <w:sz w:val="24"/>
          <w:szCs w:val="24"/>
        </w:rPr>
      </w:pPr>
      <w:r w:rsidRPr="007B1CA6">
        <w:rPr>
          <w:sz w:val="24"/>
          <w:szCs w:val="24"/>
        </w:rPr>
        <w:t>En el caso del Municipio de San Miguel Ixtahuacán, Departamento de San Marcos, los ingresos por concepto de regalías mineras</w:t>
      </w:r>
      <w:r w:rsidRPr="007B1CA6">
        <w:rPr>
          <w:rStyle w:val="Refdenotaalpie"/>
          <w:sz w:val="24"/>
          <w:szCs w:val="24"/>
        </w:rPr>
        <w:footnoteReference w:id="16"/>
      </w:r>
      <w:r w:rsidRPr="007B1CA6">
        <w:rPr>
          <w:sz w:val="24"/>
          <w:szCs w:val="24"/>
        </w:rPr>
        <w:t xml:space="preserve"> para el periodo 2010-2018 se sitúan en Q.348.24 millones. Durante el Ejercicio Fiscal 2013, año de la mayor recaudación Q76.1 millones el monto representó el</w:t>
      </w:r>
      <w:r w:rsidR="008B4420" w:rsidRPr="007B1CA6">
        <w:rPr>
          <w:sz w:val="24"/>
          <w:szCs w:val="24"/>
        </w:rPr>
        <w:t xml:space="preserve"> 54.9 por ciento</w:t>
      </w:r>
      <w:r w:rsidRPr="007B1CA6">
        <w:rPr>
          <w:sz w:val="24"/>
          <w:szCs w:val="24"/>
        </w:rPr>
        <w:t xml:space="preserve"> de sus ingresos totales y una relación de 3.1 veces el Situado Constitucional estimado para ese año.  Respecto del situado constitucional, precisa señalar que a raíz, de la resolución conjunta MINFIN-SEGEPLAN-AGAII-ANAM de fecha 01 de enero de 2014, los ingresos por concepto de regalías no serán considerados para efectos de su cálculo matemático, que en el caso de San Miguel Ixtahuacán habían sido incluidos, de allí que a partir del ejercicio 2014, los ingresos por regalías mineras elevan su importan</w:t>
      </w:r>
      <w:r w:rsidR="008B4420" w:rsidRPr="007B1CA6">
        <w:rPr>
          <w:sz w:val="24"/>
          <w:szCs w:val="24"/>
        </w:rPr>
        <w:t>cia al representar el 68 por ciento</w:t>
      </w:r>
      <w:r w:rsidRPr="007B1CA6">
        <w:rPr>
          <w:sz w:val="24"/>
          <w:szCs w:val="24"/>
        </w:rPr>
        <w:t xml:space="preserve"> de sus ingresos totales y una relación de 6.9 veces el Situado Constitucional.</w:t>
      </w:r>
    </w:p>
    <w:p w14:paraId="29D2E886" w14:textId="77777777" w:rsidR="008B4420" w:rsidRPr="00184700" w:rsidRDefault="008B4420" w:rsidP="008A5924">
      <w:pPr>
        <w:jc w:val="both"/>
      </w:pPr>
    </w:p>
    <w:p w14:paraId="1B2F2C55" w14:textId="77777777" w:rsidR="008A5924" w:rsidRPr="00184700" w:rsidRDefault="008A5924" w:rsidP="008A5924">
      <w:pPr>
        <w:jc w:val="center"/>
        <w:rPr>
          <w:sz w:val="16"/>
          <w:lang w:val="es-MX"/>
        </w:rPr>
      </w:pPr>
    </w:p>
    <w:p w14:paraId="7BC46F93" w14:textId="31430CC5" w:rsidR="008A5924" w:rsidRPr="007B1CA6" w:rsidRDefault="008A5924" w:rsidP="008A5924">
      <w:pPr>
        <w:pStyle w:val="Descripcin"/>
        <w:keepNext/>
        <w:rPr>
          <w:color w:val="000000" w:themeColor="text1"/>
          <w:sz w:val="16"/>
          <w:lang w:val="es-MX"/>
        </w:rPr>
      </w:pPr>
      <w:bookmarkStart w:id="222" w:name="_Toc16242959"/>
      <w:r w:rsidRPr="007B1CA6">
        <w:rPr>
          <w:color w:val="000000" w:themeColor="text1"/>
        </w:rPr>
        <w:t xml:space="preserve">Cuadro  </w:t>
      </w:r>
      <w:r w:rsidRPr="007B1CA6">
        <w:rPr>
          <w:color w:val="000000" w:themeColor="text1"/>
        </w:rPr>
        <w:fldChar w:fldCharType="begin"/>
      </w:r>
      <w:r w:rsidRPr="007B1CA6">
        <w:rPr>
          <w:color w:val="000000" w:themeColor="text1"/>
        </w:rPr>
        <w:instrText xml:space="preserve"> SEQ Cuadro_ \* ARABIC </w:instrText>
      </w:r>
      <w:r w:rsidRPr="007B1CA6">
        <w:rPr>
          <w:color w:val="000000" w:themeColor="text1"/>
        </w:rPr>
        <w:fldChar w:fldCharType="separate"/>
      </w:r>
      <w:r w:rsidR="004B2A60">
        <w:rPr>
          <w:noProof/>
          <w:color w:val="000000" w:themeColor="text1"/>
        </w:rPr>
        <w:t>9</w:t>
      </w:r>
      <w:r w:rsidRPr="007B1CA6">
        <w:rPr>
          <w:noProof/>
          <w:color w:val="000000" w:themeColor="text1"/>
        </w:rPr>
        <w:fldChar w:fldCharType="end"/>
      </w:r>
      <w:r w:rsidRPr="007B1CA6">
        <w:rPr>
          <w:color w:val="000000" w:themeColor="text1"/>
        </w:rPr>
        <w:t>: Participación de las regalías mineras en las finanzas municipales</w:t>
      </w:r>
      <w:bookmarkEnd w:id="222"/>
    </w:p>
    <w:p w14:paraId="39F94B2C" w14:textId="77777777" w:rsidR="008A5924" w:rsidRPr="00184700" w:rsidRDefault="008A5924" w:rsidP="008A5924">
      <w:pPr>
        <w:keepNext/>
        <w:jc w:val="center"/>
        <w:rPr>
          <w:sz w:val="16"/>
          <w:lang w:val="es-MX"/>
        </w:rPr>
      </w:pPr>
      <w:r w:rsidRPr="00184700">
        <w:rPr>
          <w:sz w:val="16"/>
          <w:lang w:val="es-MX"/>
        </w:rPr>
        <w:t>San Miguel Ixtahuacán, Departamento de San Marcos, Periodo 2010 – 2018</w:t>
      </w:r>
    </w:p>
    <w:p w14:paraId="2BC598B3" w14:textId="77777777" w:rsidR="003648F1" w:rsidRDefault="008A5924" w:rsidP="008A5924">
      <w:pPr>
        <w:keepNext/>
        <w:jc w:val="center"/>
        <w:rPr>
          <w:sz w:val="16"/>
          <w:lang w:val="es-MX"/>
        </w:rPr>
      </w:pPr>
      <w:r w:rsidRPr="00184700">
        <w:rPr>
          <w:sz w:val="16"/>
          <w:lang w:val="es-MX"/>
        </w:rPr>
        <w:t xml:space="preserve">Cifras en millones de quetzales y porcentajes </w:t>
      </w:r>
    </w:p>
    <w:p w14:paraId="567FC9F7" w14:textId="77777777" w:rsidR="00056555" w:rsidRPr="00184700" w:rsidRDefault="00056555" w:rsidP="008A5924">
      <w:pPr>
        <w:keepNext/>
        <w:jc w:val="center"/>
        <w:rPr>
          <w:sz w:val="16"/>
          <w:lang w:val="es-MX"/>
        </w:rPr>
      </w:pPr>
    </w:p>
    <w:tbl>
      <w:tblPr>
        <w:tblW w:w="9075" w:type="dxa"/>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13"/>
        <w:gridCol w:w="1566"/>
        <w:gridCol w:w="1653"/>
        <w:gridCol w:w="1604"/>
        <w:gridCol w:w="1722"/>
        <w:gridCol w:w="1417"/>
      </w:tblGrid>
      <w:tr w:rsidR="008A5924" w:rsidRPr="00184700" w14:paraId="3154A4F6" w14:textId="77777777" w:rsidTr="00EC5B09">
        <w:trPr>
          <w:trHeight w:val="510"/>
          <w:tblHeader/>
          <w:jc w:val="center"/>
        </w:trPr>
        <w:tc>
          <w:tcPr>
            <w:tcW w:w="1113" w:type="dxa"/>
            <w:shd w:val="clear" w:color="000000" w:fill="8DB4E2"/>
            <w:vAlign w:val="center"/>
            <w:hideMark/>
          </w:tcPr>
          <w:p w14:paraId="7F73F8BF" w14:textId="77777777" w:rsidR="008A5924" w:rsidRPr="00184700" w:rsidRDefault="008A5924" w:rsidP="008A5924">
            <w:pPr>
              <w:jc w:val="center"/>
              <w:rPr>
                <w:b/>
                <w:sz w:val="18"/>
                <w:szCs w:val="18"/>
                <w:lang w:eastAsia="es-GT"/>
              </w:rPr>
            </w:pPr>
            <w:r w:rsidRPr="00184700">
              <w:rPr>
                <w:b/>
                <w:sz w:val="18"/>
                <w:szCs w:val="18"/>
                <w:lang w:eastAsia="es-GT"/>
              </w:rPr>
              <w:t>Ejercicio Fiscal</w:t>
            </w:r>
          </w:p>
        </w:tc>
        <w:tc>
          <w:tcPr>
            <w:tcW w:w="1566" w:type="dxa"/>
            <w:shd w:val="clear" w:color="000000" w:fill="8DB4E2"/>
            <w:vAlign w:val="center"/>
            <w:hideMark/>
          </w:tcPr>
          <w:p w14:paraId="1F1AA66F" w14:textId="77777777" w:rsidR="008A5924" w:rsidRPr="00184700" w:rsidRDefault="008A5924" w:rsidP="008A5924">
            <w:pPr>
              <w:jc w:val="center"/>
              <w:rPr>
                <w:b/>
                <w:sz w:val="18"/>
                <w:szCs w:val="18"/>
                <w:lang w:eastAsia="es-GT"/>
              </w:rPr>
            </w:pPr>
            <w:r w:rsidRPr="00184700">
              <w:rPr>
                <w:b/>
                <w:sz w:val="18"/>
                <w:szCs w:val="18"/>
                <w:lang w:eastAsia="es-GT"/>
              </w:rPr>
              <w:t>Regalías Mineras</w:t>
            </w:r>
          </w:p>
        </w:tc>
        <w:tc>
          <w:tcPr>
            <w:tcW w:w="1653" w:type="dxa"/>
            <w:shd w:val="clear" w:color="000000" w:fill="8DB4E2"/>
            <w:vAlign w:val="center"/>
            <w:hideMark/>
          </w:tcPr>
          <w:p w14:paraId="5C6FAB4B" w14:textId="77777777" w:rsidR="008A5924" w:rsidRPr="00184700" w:rsidRDefault="008A5924" w:rsidP="008A5924">
            <w:pPr>
              <w:jc w:val="center"/>
              <w:rPr>
                <w:b/>
                <w:sz w:val="18"/>
                <w:szCs w:val="18"/>
                <w:lang w:eastAsia="es-GT"/>
              </w:rPr>
            </w:pPr>
            <w:r w:rsidRPr="00184700">
              <w:rPr>
                <w:b/>
                <w:sz w:val="18"/>
                <w:szCs w:val="18"/>
                <w:lang w:eastAsia="es-GT"/>
              </w:rPr>
              <w:t>Situado Constitucional</w:t>
            </w:r>
          </w:p>
        </w:tc>
        <w:tc>
          <w:tcPr>
            <w:tcW w:w="1604" w:type="dxa"/>
            <w:shd w:val="clear" w:color="000000" w:fill="8DB4E2"/>
            <w:vAlign w:val="center"/>
            <w:hideMark/>
          </w:tcPr>
          <w:p w14:paraId="430B3436" w14:textId="77777777" w:rsidR="008A5924" w:rsidRPr="00184700" w:rsidRDefault="008A5924" w:rsidP="008A5924">
            <w:pPr>
              <w:jc w:val="center"/>
              <w:rPr>
                <w:b/>
                <w:sz w:val="18"/>
                <w:szCs w:val="18"/>
                <w:lang w:eastAsia="es-GT"/>
              </w:rPr>
            </w:pPr>
            <w:r w:rsidRPr="00184700">
              <w:rPr>
                <w:b/>
                <w:sz w:val="18"/>
                <w:szCs w:val="18"/>
                <w:lang w:eastAsia="es-GT"/>
              </w:rPr>
              <w:t>Ingresos totales</w:t>
            </w:r>
          </w:p>
        </w:tc>
        <w:tc>
          <w:tcPr>
            <w:tcW w:w="1722" w:type="dxa"/>
            <w:shd w:val="clear" w:color="000000" w:fill="8DB4E2"/>
            <w:vAlign w:val="center"/>
            <w:hideMark/>
          </w:tcPr>
          <w:p w14:paraId="1FDEDEE6" w14:textId="77777777" w:rsidR="008A5924" w:rsidRPr="00184700" w:rsidRDefault="008A5924" w:rsidP="008A5924">
            <w:pPr>
              <w:jc w:val="center"/>
              <w:rPr>
                <w:b/>
                <w:sz w:val="18"/>
                <w:szCs w:val="18"/>
                <w:lang w:eastAsia="es-GT"/>
              </w:rPr>
            </w:pPr>
            <w:r w:rsidRPr="00184700">
              <w:rPr>
                <w:b/>
                <w:sz w:val="18"/>
                <w:szCs w:val="18"/>
                <w:lang w:eastAsia="es-GT"/>
              </w:rPr>
              <w:t>% de sus ingresos totales</w:t>
            </w:r>
          </w:p>
        </w:tc>
        <w:tc>
          <w:tcPr>
            <w:tcW w:w="1417" w:type="dxa"/>
            <w:shd w:val="clear" w:color="000000" w:fill="8DB4E2"/>
            <w:vAlign w:val="center"/>
            <w:hideMark/>
          </w:tcPr>
          <w:p w14:paraId="4419EAE1" w14:textId="77777777" w:rsidR="008A5924" w:rsidRPr="00184700" w:rsidRDefault="008A5924" w:rsidP="008A5924">
            <w:pPr>
              <w:jc w:val="center"/>
              <w:rPr>
                <w:b/>
                <w:sz w:val="18"/>
                <w:szCs w:val="18"/>
                <w:lang w:eastAsia="es-GT"/>
              </w:rPr>
            </w:pPr>
            <w:r w:rsidRPr="00184700">
              <w:rPr>
                <w:b/>
                <w:sz w:val="18"/>
                <w:szCs w:val="18"/>
                <w:lang w:eastAsia="es-GT"/>
              </w:rPr>
              <w:t xml:space="preserve">Relación vrs el Situado </w:t>
            </w:r>
          </w:p>
        </w:tc>
      </w:tr>
      <w:tr w:rsidR="008A5924" w:rsidRPr="00184700" w14:paraId="71E61498" w14:textId="77777777" w:rsidTr="00EC5B09">
        <w:trPr>
          <w:trHeight w:val="255"/>
          <w:jc w:val="center"/>
        </w:trPr>
        <w:tc>
          <w:tcPr>
            <w:tcW w:w="1113" w:type="dxa"/>
            <w:shd w:val="clear" w:color="auto" w:fill="auto"/>
            <w:noWrap/>
            <w:vAlign w:val="bottom"/>
            <w:hideMark/>
          </w:tcPr>
          <w:p w14:paraId="17494870" w14:textId="77777777" w:rsidR="008A5924" w:rsidRPr="00184700" w:rsidRDefault="008A5924" w:rsidP="008A5924">
            <w:pPr>
              <w:jc w:val="center"/>
              <w:rPr>
                <w:sz w:val="18"/>
                <w:szCs w:val="18"/>
                <w:lang w:eastAsia="es-GT"/>
              </w:rPr>
            </w:pPr>
            <w:r w:rsidRPr="00184700">
              <w:rPr>
                <w:sz w:val="18"/>
                <w:szCs w:val="18"/>
                <w:lang w:eastAsia="es-GT"/>
              </w:rPr>
              <w:t>2010</w:t>
            </w:r>
          </w:p>
        </w:tc>
        <w:tc>
          <w:tcPr>
            <w:tcW w:w="1566" w:type="dxa"/>
            <w:shd w:val="clear" w:color="auto" w:fill="auto"/>
            <w:vAlign w:val="bottom"/>
            <w:hideMark/>
          </w:tcPr>
          <w:p w14:paraId="716CA6B5" w14:textId="77777777" w:rsidR="008A5924" w:rsidRPr="00184700" w:rsidRDefault="008A5924" w:rsidP="008A5924">
            <w:pPr>
              <w:jc w:val="center"/>
              <w:rPr>
                <w:sz w:val="18"/>
                <w:szCs w:val="18"/>
                <w:lang w:eastAsia="es-GT"/>
              </w:rPr>
            </w:pPr>
            <w:r w:rsidRPr="00184700">
              <w:rPr>
                <w:sz w:val="18"/>
                <w:szCs w:val="18"/>
                <w:lang w:eastAsia="es-GT"/>
              </w:rPr>
              <w:t>Q19.65</w:t>
            </w:r>
          </w:p>
        </w:tc>
        <w:tc>
          <w:tcPr>
            <w:tcW w:w="1653" w:type="dxa"/>
            <w:shd w:val="clear" w:color="auto" w:fill="auto"/>
            <w:vAlign w:val="bottom"/>
            <w:hideMark/>
          </w:tcPr>
          <w:p w14:paraId="70446C88" w14:textId="77777777" w:rsidR="008A5924" w:rsidRPr="00184700" w:rsidRDefault="008A5924" w:rsidP="008A5924">
            <w:pPr>
              <w:jc w:val="center"/>
              <w:rPr>
                <w:sz w:val="18"/>
                <w:szCs w:val="18"/>
                <w:lang w:eastAsia="es-GT"/>
              </w:rPr>
            </w:pPr>
            <w:r w:rsidRPr="00184700">
              <w:rPr>
                <w:sz w:val="18"/>
                <w:szCs w:val="18"/>
                <w:lang w:eastAsia="es-GT"/>
              </w:rPr>
              <w:t>Q10.49</w:t>
            </w:r>
          </w:p>
        </w:tc>
        <w:tc>
          <w:tcPr>
            <w:tcW w:w="1604" w:type="dxa"/>
            <w:shd w:val="clear" w:color="auto" w:fill="auto"/>
            <w:vAlign w:val="bottom"/>
            <w:hideMark/>
          </w:tcPr>
          <w:p w14:paraId="0C048423" w14:textId="77777777" w:rsidR="008A5924" w:rsidRPr="00184700" w:rsidRDefault="008A5924" w:rsidP="008A5924">
            <w:pPr>
              <w:jc w:val="center"/>
              <w:rPr>
                <w:sz w:val="18"/>
                <w:szCs w:val="18"/>
                <w:lang w:eastAsia="es-GT"/>
              </w:rPr>
            </w:pPr>
            <w:r w:rsidRPr="00184700">
              <w:rPr>
                <w:sz w:val="18"/>
                <w:szCs w:val="18"/>
                <w:lang w:eastAsia="es-GT"/>
              </w:rPr>
              <w:t>Q48.78</w:t>
            </w:r>
          </w:p>
        </w:tc>
        <w:tc>
          <w:tcPr>
            <w:tcW w:w="1722" w:type="dxa"/>
            <w:shd w:val="clear" w:color="auto" w:fill="auto"/>
            <w:noWrap/>
            <w:vAlign w:val="bottom"/>
            <w:hideMark/>
          </w:tcPr>
          <w:p w14:paraId="244DE764" w14:textId="77777777" w:rsidR="008A5924" w:rsidRPr="00184700" w:rsidRDefault="008A5924" w:rsidP="008A5924">
            <w:pPr>
              <w:jc w:val="center"/>
              <w:rPr>
                <w:sz w:val="18"/>
                <w:szCs w:val="18"/>
                <w:lang w:eastAsia="es-GT"/>
              </w:rPr>
            </w:pPr>
            <w:r w:rsidRPr="00184700">
              <w:rPr>
                <w:sz w:val="18"/>
                <w:szCs w:val="18"/>
                <w:lang w:eastAsia="es-GT"/>
              </w:rPr>
              <w:t>40.3%</w:t>
            </w:r>
          </w:p>
        </w:tc>
        <w:tc>
          <w:tcPr>
            <w:tcW w:w="1417" w:type="dxa"/>
            <w:shd w:val="clear" w:color="auto" w:fill="auto"/>
            <w:noWrap/>
            <w:vAlign w:val="bottom"/>
            <w:hideMark/>
          </w:tcPr>
          <w:p w14:paraId="5BB2B567" w14:textId="77777777" w:rsidR="008A5924" w:rsidRPr="00184700" w:rsidRDefault="008A5924" w:rsidP="008A5924">
            <w:pPr>
              <w:jc w:val="center"/>
              <w:rPr>
                <w:sz w:val="18"/>
                <w:szCs w:val="18"/>
                <w:lang w:eastAsia="es-GT"/>
              </w:rPr>
            </w:pPr>
            <w:r w:rsidRPr="00184700">
              <w:rPr>
                <w:sz w:val="18"/>
                <w:szCs w:val="18"/>
                <w:lang w:eastAsia="es-GT"/>
              </w:rPr>
              <w:t>1.9</w:t>
            </w:r>
          </w:p>
        </w:tc>
      </w:tr>
      <w:tr w:rsidR="008A5924" w:rsidRPr="00184700" w14:paraId="5F053A9D" w14:textId="77777777" w:rsidTr="00EC5B09">
        <w:trPr>
          <w:trHeight w:val="255"/>
          <w:jc w:val="center"/>
        </w:trPr>
        <w:tc>
          <w:tcPr>
            <w:tcW w:w="1113" w:type="dxa"/>
            <w:shd w:val="clear" w:color="auto" w:fill="auto"/>
            <w:noWrap/>
            <w:vAlign w:val="bottom"/>
            <w:hideMark/>
          </w:tcPr>
          <w:p w14:paraId="22B105CE" w14:textId="77777777" w:rsidR="008A5924" w:rsidRPr="00184700" w:rsidRDefault="008A5924" w:rsidP="008A5924">
            <w:pPr>
              <w:jc w:val="center"/>
              <w:rPr>
                <w:sz w:val="18"/>
                <w:szCs w:val="18"/>
                <w:lang w:eastAsia="es-GT"/>
              </w:rPr>
            </w:pPr>
            <w:r w:rsidRPr="00184700">
              <w:rPr>
                <w:sz w:val="18"/>
                <w:szCs w:val="18"/>
                <w:lang w:eastAsia="es-GT"/>
              </w:rPr>
              <w:t>2011</w:t>
            </w:r>
          </w:p>
        </w:tc>
        <w:tc>
          <w:tcPr>
            <w:tcW w:w="1566" w:type="dxa"/>
            <w:shd w:val="clear" w:color="auto" w:fill="auto"/>
            <w:vAlign w:val="bottom"/>
            <w:hideMark/>
          </w:tcPr>
          <w:p w14:paraId="7C38699A" w14:textId="77777777" w:rsidR="008A5924" w:rsidRPr="00184700" w:rsidRDefault="008A5924" w:rsidP="008A5924">
            <w:pPr>
              <w:jc w:val="center"/>
              <w:rPr>
                <w:sz w:val="18"/>
                <w:szCs w:val="18"/>
                <w:lang w:eastAsia="es-GT"/>
              </w:rPr>
            </w:pPr>
            <w:r w:rsidRPr="00184700">
              <w:rPr>
                <w:sz w:val="18"/>
                <w:szCs w:val="18"/>
                <w:lang w:eastAsia="es-GT"/>
              </w:rPr>
              <w:t>Q34.73</w:t>
            </w:r>
          </w:p>
        </w:tc>
        <w:tc>
          <w:tcPr>
            <w:tcW w:w="1653" w:type="dxa"/>
            <w:shd w:val="clear" w:color="auto" w:fill="auto"/>
            <w:vAlign w:val="bottom"/>
            <w:hideMark/>
          </w:tcPr>
          <w:p w14:paraId="1B383AE0" w14:textId="77777777" w:rsidR="008A5924" w:rsidRPr="00184700" w:rsidRDefault="008A5924" w:rsidP="008A5924">
            <w:pPr>
              <w:jc w:val="center"/>
              <w:rPr>
                <w:sz w:val="18"/>
                <w:szCs w:val="18"/>
                <w:lang w:eastAsia="es-GT"/>
              </w:rPr>
            </w:pPr>
            <w:r w:rsidRPr="00184700">
              <w:rPr>
                <w:sz w:val="18"/>
                <w:szCs w:val="18"/>
                <w:lang w:eastAsia="es-GT"/>
              </w:rPr>
              <w:t>Q11.23</w:t>
            </w:r>
          </w:p>
        </w:tc>
        <w:tc>
          <w:tcPr>
            <w:tcW w:w="1604" w:type="dxa"/>
            <w:shd w:val="clear" w:color="auto" w:fill="auto"/>
            <w:vAlign w:val="bottom"/>
            <w:hideMark/>
          </w:tcPr>
          <w:p w14:paraId="573755A7" w14:textId="77777777" w:rsidR="008A5924" w:rsidRPr="00184700" w:rsidRDefault="008A5924" w:rsidP="008A5924">
            <w:pPr>
              <w:jc w:val="center"/>
              <w:rPr>
                <w:sz w:val="18"/>
                <w:szCs w:val="18"/>
                <w:lang w:eastAsia="es-GT"/>
              </w:rPr>
            </w:pPr>
            <w:r w:rsidRPr="00184700">
              <w:rPr>
                <w:sz w:val="18"/>
                <w:szCs w:val="18"/>
                <w:lang w:eastAsia="es-GT"/>
              </w:rPr>
              <w:t>Q62.95</w:t>
            </w:r>
          </w:p>
        </w:tc>
        <w:tc>
          <w:tcPr>
            <w:tcW w:w="1722" w:type="dxa"/>
            <w:shd w:val="clear" w:color="auto" w:fill="auto"/>
            <w:noWrap/>
            <w:vAlign w:val="bottom"/>
            <w:hideMark/>
          </w:tcPr>
          <w:p w14:paraId="00DDBCF1" w14:textId="77777777" w:rsidR="008A5924" w:rsidRPr="00184700" w:rsidRDefault="008A5924" w:rsidP="008A5924">
            <w:pPr>
              <w:jc w:val="center"/>
              <w:rPr>
                <w:sz w:val="18"/>
                <w:szCs w:val="18"/>
                <w:lang w:eastAsia="es-GT"/>
              </w:rPr>
            </w:pPr>
            <w:r w:rsidRPr="00184700">
              <w:rPr>
                <w:sz w:val="18"/>
                <w:szCs w:val="18"/>
                <w:lang w:eastAsia="es-GT"/>
              </w:rPr>
              <w:t>55.2%</w:t>
            </w:r>
          </w:p>
        </w:tc>
        <w:tc>
          <w:tcPr>
            <w:tcW w:w="1417" w:type="dxa"/>
            <w:shd w:val="clear" w:color="auto" w:fill="auto"/>
            <w:noWrap/>
            <w:vAlign w:val="bottom"/>
            <w:hideMark/>
          </w:tcPr>
          <w:p w14:paraId="55A611C9" w14:textId="77777777" w:rsidR="008A5924" w:rsidRPr="00184700" w:rsidRDefault="008A5924" w:rsidP="008A5924">
            <w:pPr>
              <w:jc w:val="center"/>
              <w:rPr>
                <w:sz w:val="18"/>
                <w:szCs w:val="18"/>
                <w:lang w:eastAsia="es-GT"/>
              </w:rPr>
            </w:pPr>
            <w:r w:rsidRPr="00184700">
              <w:rPr>
                <w:sz w:val="18"/>
                <w:szCs w:val="18"/>
                <w:lang w:eastAsia="es-GT"/>
              </w:rPr>
              <w:t>3.1</w:t>
            </w:r>
          </w:p>
        </w:tc>
      </w:tr>
      <w:tr w:rsidR="008A5924" w:rsidRPr="00184700" w14:paraId="2D681FC9" w14:textId="77777777" w:rsidTr="00EC5B09">
        <w:trPr>
          <w:trHeight w:val="255"/>
          <w:jc w:val="center"/>
        </w:trPr>
        <w:tc>
          <w:tcPr>
            <w:tcW w:w="1113" w:type="dxa"/>
            <w:shd w:val="clear" w:color="auto" w:fill="auto"/>
            <w:noWrap/>
            <w:vAlign w:val="bottom"/>
            <w:hideMark/>
          </w:tcPr>
          <w:p w14:paraId="66A6823C" w14:textId="77777777" w:rsidR="008A5924" w:rsidRPr="00184700" w:rsidRDefault="008A5924" w:rsidP="008A5924">
            <w:pPr>
              <w:jc w:val="center"/>
              <w:rPr>
                <w:sz w:val="18"/>
                <w:szCs w:val="18"/>
                <w:lang w:eastAsia="es-GT"/>
              </w:rPr>
            </w:pPr>
            <w:r w:rsidRPr="00184700">
              <w:rPr>
                <w:sz w:val="18"/>
                <w:szCs w:val="18"/>
                <w:lang w:eastAsia="es-GT"/>
              </w:rPr>
              <w:t>2012</w:t>
            </w:r>
          </w:p>
        </w:tc>
        <w:tc>
          <w:tcPr>
            <w:tcW w:w="1566" w:type="dxa"/>
            <w:shd w:val="clear" w:color="auto" w:fill="auto"/>
            <w:vAlign w:val="bottom"/>
            <w:hideMark/>
          </w:tcPr>
          <w:p w14:paraId="1CDF128A" w14:textId="77777777" w:rsidR="008A5924" w:rsidRPr="00184700" w:rsidRDefault="008A5924" w:rsidP="008A5924">
            <w:pPr>
              <w:jc w:val="center"/>
              <w:rPr>
                <w:sz w:val="18"/>
                <w:szCs w:val="18"/>
                <w:lang w:eastAsia="es-GT"/>
              </w:rPr>
            </w:pPr>
            <w:r w:rsidRPr="00184700">
              <w:rPr>
                <w:sz w:val="18"/>
                <w:szCs w:val="18"/>
                <w:lang w:eastAsia="es-GT"/>
              </w:rPr>
              <w:t>Q56.70</w:t>
            </w:r>
          </w:p>
        </w:tc>
        <w:tc>
          <w:tcPr>
            <w:tcW w:w="1653" w:type="dxa"/>
            <w:shd w:val="clear" w:color="auto" w:fill="auto"/>
            <w:vAlign w:val="bottom"/>
            <w:hideMark/>
          </w:tcPr>
          <w:p w14:paraId="34D6EA56" w14:textId="77777777" w:rsidR="008A5924" w:rsidRPr="00184700" w:rsidRDefault="008A5924" w:rsidP="008A5924">
            <w:pPr>
              <w:jc w:val="center"/>
              <w:rPr>
                <w:sz w:val="18"/>
                <w:szCs w:val="18"/>
                <w:lang w:eastAsia="es-GT"/>
              </w:rPr>
            </w:pPr>
            <w:r w:rsidRPr="00184700">
              <w:rPr>
                <w:sz w:val="18"/>
                <w:szCs w:val="18"/>
                <w:lang w:eastAsia="es-GT"/>
              </w:rPr>
              <w:t>Q16.05</w:t>
            </w:r>
          </w:p>
        </w:tc>
        <w:tc>
          <w:tcPr>
            <w:tcW w:w="1604" w:type="dxa"/>
            <w:shd w:val="clear" w:color="auto" w:fill="auto"/>
            <w:vAlign w:val="bottom"/>
            <w:hideMark/>
          </w:tcPr>
          <w:p w14:paraId="33E8B38B" w14:textId="77777777" w:rsidR="008A5924" w:rsidRPr="00184700" w:rsidRDefault="008A5924" w:rsidP="008A5924">
            <w:pPr>
              <w:jc w:val="center"/>
              <w:rPr>
                <w:sz w:val="18"/>
                <w:szCs w:val="18"/>
                <w:lang w:eastAsia="es-GT"/>
              </w:rPr>
            </w:pPr>
            <w:r w:rsidRPr="00184700">
              <w:rPr>
                <w:sz w:val="18"/>
                <w:szCs w:val="18"/>
                <w:lang w:eastAsia="es-GT"/>
              </w:rPr>
              <w:t>Q97.98</w:t>
            </w:r>
          </w:p>
        </w:tc>
        <w:tc>
          <w:tcPr>
            <w:tcW w:w="1722" w:type="dxa"/>
            <w:shd w:val="clear" w:color="auto" w:fill="auto"/>
            <w:noWrap/>
            <w:vAlign w:val="bottom"/>
            <w:hideMark/>
          </w:tcPr>
          <w:p w14:paraId="013CAE39" w14:textId="77777777" w:rsidR="008A5924" w:rsidRPr="00184700" w:rsidRDefault="008A5924" w:rsidP="008A5924">
            <w:pPr>
              <w:jc w:val="center"/>
              <w:rPr>
                <w:sz w:val="18"/>
                <w:szCs w:val="18"/>
                <w:lang w:eastAsia="es-GT"/>
              </w:rPr>
            </w:pPr>
            <w:r w:rsidRPr="00184700">
              <w:rPr>
                <w:sz w:val="18"/>
                <w:szCs w:val="18"/>
                <w:lang w:eastAsia="es-GT"/>
              </w:rPr>
              <w:t>57.9%</w:t>
            </w:r>
          </w:p>
        </w:tc>
        <w:tc>
          <w:tcPr>
            <w:tcW w:w="1417" w:type="dxa"/>
            <w:shd w:val="clear" w:color="auto" w:fill="auto"/>
            <w:noWrap/>
            <w:vAlign w:val="bottom"/>
            <w:hideMark/>
          </w:tcPr>
          <w:p w14:paraId="0FF46234" w14:textId="77777777" w:rsidR="008A5924" w:rsidRPr="00184700" w:rsidRDefault="008A5924" w:rsidP="008A5924">
            <w:pPr>
              <w:jc w:val="center"/>
              <w:rPr>
                <w:sz w:val="18"/>
                <w:szCs w:val="18"/>
                <w:lang w:eastAsia="es-GT"/>
              </w:rPr>
            </w:pPr>
            <w:r w:rsidRPr="00184700">
              <w:rPr>
                <w:sz w:val="18"/>
                <w:szCs w:val="18"/>
                <w:lang w:eastAsia="es-GT"/>
              </w:rPr>
              <w:t>3.5</w:t>
            </w:r>
          </w:p>
        </w:tc>
      </w:tr>
      <w:tr w:rsidR="008A5924" w:rsidRPr="00184700" w14:paraId="517F2E52" w14:textId="77777777" w:rsidTr="00EC5B09">
        <w:trPr>
          <w:trHeight w:val="255"/>
          <w:jc w:val="center"/>
        </w:trPr>
        <w:tc>
          <w:tcPr>
            <w:tcW w:w="1113" w:type="dxa"/>
            <w:shd w:val="clear" w:color="auto" w:fill="auto"/>
            <w:noWrap/>
            <w:vAlign w:val="bottom"/>
            <w:hideMark/>
          </w:tcPr>
          <w:p w14:paraId="0E983E86" w14:textId="77777777" w:rsidR="008A5924" w:rsidRPr="00184700" w:rsidRDefault="008A5924" w:rsidP="008A5924">
            <w:pPr>
              <w:jc w:val="center"/>
              <w:rPr>
                <w:sz w:val="18"/>
                <w:szCs w:val="18"/>
                <w:lang w:eastAsia="es-GT"/>
              </w:rPr>
            </w:pPr>
            <w:r w:rsidRPr="00184700">
              <w:rPr>
                <w:sz w:val="18"/>
                <w:szCs w:val="18"/>
                <w:lang w:eastAsia="es-GT"/>
              </w:rPr>
              <w:t>2013</w:t>
            </w:r>
          </w:p>
        </w:tc>
        <w:tc>
          <w:tcPr>
            <w:tcW w:w="1566" w:type="dxa"/>
            <w:shd w:val="clear" w:color="auto" w:fill="auto"/>
            <w:vAlign w:val="bottom"/>
            <w:hideMark/>
          </w:tcPr>
          <w:p w14:paraId="01A34402" w14:textId="77777777" w:rsidR="008A5924" w:rsidRPr="00184700" w:rsidRDefault="008A5924" w:rsidP="008A5924">
            <w:pPr>
              <w:jc w:val="center"/>
              <w:rPr>
                <w:sz w:val="18"/>
                <w:szCs w:val="18"/>
                <w:lang w:eastAsia="es-GT"/>
              </w:rPr>
            </w:pPr>
            <w:r w:rsidRPr="00184700">
              <w:rPr>
                <w:sz w:val="18"/>
                <w:szCs w:val="18"/>
                <w:lang w:eastAsia="es-GT"/>
              </w:rPr>
              <w:t>Q76.10</w:t>
            </w:r>
          </w:p>
        </w:tc>
        <w:tc>
          <w:tcPr>
            <w:tcW w:w="1653" w:type="dxa"/>
            <w:shd w:val="clear" w:color="auto" w:fill="auto"/>
            <w:vAlign w:val="bottom"/>
            <w:hideMark/>
          </w:tcPr>
          <w:p w14:paraId="6F74A7B9" w14:textId="77777777" w:rsidR="008A5924" w:rsidRPr="00184700" w:rsidRDefault="008A5924" w:rsidP="008A5924">
            <w:pPr>
              <w:jc w:val="center"/>
              <w:rPr>
                <w:sz w:val="18"/>
                <w:szCs w:val="18"/>
                <w:lang w:eastAsia="es-GT"/>
              </w:rPr>
            </w:pPr>
            <w:r w:rsidRPr="00184700">
              <w:rPr>
                <w:sz w:val="18"/>
                <w:szCs w:val="18"/>
                <w:lang w:eastAsia="es-GT"/>
              </w:rPr>
              <w:t>Q24.90</w:t>
            </w:r>
          </w:p>
        </w:tc>
        <w:tc>
          <w:tcPr>
            <w:tcW w:w="1604" w:type="dxa"/>
            <w:shd w:val="clear" w:color="auto" w:fill="auto"/>
            <w:vAlign w:val="bottom"/>
            <w:hideMark/>
          </w:tcPr>
          <w:p w14:paraId="69536618" w14:textId="77777777" w:rsidR="008A5924" w:rsidRPr="00184700" w:rsidRDefault="008A5924" w:rsidP="008A5924">
            <w:pPr>
              <w:jc w:val="center"/>
              <w:rPr>
                <w:sz w:val="18"/>
                <w:szCs w:val="18"/>
                <w:lang w:eastAsia="es-GT"/>
              </w:rPr>
            </w:pPr>
            <w:r w:rsidRPr="00184700">
              <w:rPr>
                <w:sz w:val="18"/>
                <w:szCs w:val="18"/>
                <w:lang w:eastAsia="es-GT"/>
              </w:rPr>
              <w:t>Q138.68</w:t>
            </w:r>
          </w:p>
        </w:tc>
        <w:tc>
          <w:tcPr>
            <w:tcW w:w="1722" w:type="dxa"/>
            <w:shd w:val="clear" w:color="auto" w:fill="auto"/>
            <w:noWrap/>
            <w:vAlign w:val="bottom"/>
            <w:hideMark/>
          </w:tcPr>
          <w:p w14:paraId="3F809A7C" w14:textId="77777777" w:rsidR="008A5924" w:rsidRPr="00184700" w:rsidRDefault="008A5924" w:rsidP="008A5924">
            <w:pPr>
              <w:jc w:val="center"/>
              <w:rPr>
                <w:sz w:val="18"/>
                <w:szCs w:val="18"/>
                <w:lang w:eastAsia="es-GT"/>
              </w:rPr>
            </w:pPr>
            <w:r w:rsidRPr="00184700">
              <w:rPr>
                <w:sz w:val="18"/>
                <w:szCs w:val="18"/>
                <w:lang w:eastAsia="es-GT"/>
              </w:rPr>
              <w:t>54.9%</w:t>
            </w:r>
          </w:p>
        </w:tc>
        <w:tc>
          <w:tcPr>
            <w:tcW w:w="1417" w:type="dxa"/>
            <w:shd w:val="clear" w:color="auto" w:fill="auto"/>
            <w:noWrap/>
            <w:vAlign w:val="bottom"/>
            <w:hideMark/>
          </w:tcPr>
          <w:p w14:paraId="43B352E0" w14:textId="77777777" w:rsidR="008A5924" w:rsidRPr="00184700" w:rsidRDefault="008A5924" w:rsidP="008A5924">
            <w:pPr>
              <w:jc w:val="center"/>
              <w:rPr>
                <w:sz w:val="18"/>
                <w:szCs w:val="18"/>
                <w:lang w:eastAsia="es-GT"/>
              </w:rPr>
            </w:pPr>
            <w:r w:rsidRPr="00184700">
              <w:rPr>
                <w:sz w:val="18"/>
                <w:szCs w:val="18"/>
                <w:lang w:eastAsia="es-GT"/>
              </w:rPr>
              <w:t>3.1</w:t>
            </w:r>
          </w:p>
        </w:tc>
      </w:tr>
      <w:tr w:rsidR="008A5924" w:rsidRPr="00184700" w14:paraId="3BA95EFE" w14:textId="77777777" w:rsidTr="00EC5B09">
        <w:trPr>
          <w:trHeight w:val="255"/>
          <w:jc w:val="center"/>
        </w:trPr>
        <w:tc>
          <w:tcPr>
            <w:tcW w:w="1113" w:type="dxa"/>
            <w:shd w:val="clear" w:color="auto" w:fill="auto"/>
            <w:noWrap/>
            <w:vAlign w:val="bottom"/>
            <w:hideMark/>
          </w:tcPr>
          <w:p w14:paraId="1720DC8E" w14:textId="77777777" w:rsidR="008A5924" w:rsidRPr="00184700" w:rsidRDefault="008A5924" w:rsidP="008A5924">
            <w:pPr>
              <w:jc w:val="center"/>
              <w:rPr>
                <w:sz w:val="18"/>
                <w:szCs w:val="18"/>
                <w:lang w:eastAsia="es-GT"/>
              </w:rPr>
            </w:pPr>
            <w:r w:rsidRPr="00184700">
              <w:rPr>
                <w:sz w:val="18"/>
                <w:szCs w:val="18"/>
                <w:lang w:eastAsia="es-GT"/>
              </w:rPr>
              <w:t>2014</w:t>
            </w:r>
          </w:p>
        </w:tc>
        <w:tc>
          <w:tcPr>
            <w:tcW w:w="1566" w:type="dxa"/>
            <w:shd w:val="clear" w:color="auto" w:fill="auto"/>
            <w:vAlign w:val="bottom"/>
            <w:hideMark/>
          </w:tcPr>
          <w:p w14:paraId="62B9E21D" w14:textId="77777777" w:rsidR="008A5924" w:rsidRPr="00184700" w:rsidRDefault="008A5924" w:rsidP="008A5924">
            <w:pPr>
              <w:jc w:val="center"/>
              <w:rPr>
                <w:sz w:val="18"/>
                <w:szCs w:val="18"/>
                <w:lang w:eastAsia="es-GT"/>
              </w:rPr>
            </w:pPr>
            <w:r w:rsidRPr="00184700">
              <w:rPr>
                <w:sz w:val="18"/>
                <w:szCs w:val="18"/>
                <w:lang w:eastAsia="es-GT"/>
              </w:rPr>
              <w:t>Q51.22</w:t>
            </w:r>
          </w:p>
        </w:tc>
        <w:tc>
          <w:tcPr>
            <w:tcW w:w="1653" w:type="dxa"/>
            <w:shd w:val="clear" w:color="auto" w:fill="auto"/>
            <w:vAlign w:val="bottom"/>
            <w:hideMark/>
          </w:tcPr>
          <w:p w14:paraId="10246B06" w14:textId="77777777" w:rsidR="008A5924" w:rsidRPr="00184700" w:rsidRDefault="008A5924" w:rsidP="008A5924">
            <w:pPr>
              <w:jc w:val="center"/>
              <w:rPr>
                <w:sz w:val="18"/>
                <w:szCs w:val="18"/>
                <w:lang w:eastAsia="es-GT"/>
              </w:rPr>
            </w:pPr>
            <w:r w:rsidRPr="00184700">
              <w:rPr>
                <w:sz w:val="18"/>
                <w:szCs w:val="18"/>
                <w:lang w:eastAsia="es-GT"/>
              </w:rPr>
              <w:t>Q7.47</w:t>
            </w:r>
          </w:p>
        </w:tc>
        <w:tc>
          <w:tcPr>
            <w:tcW w:w="1604" w:type="dxa"/>
            <w:shd w:val="clear" w:color="auto" w:fill="auto"/>
            <w:vAlign w:val="bottom"/>
            <w:hideMark/>
          </w:tcPr>
          <w:p w14:paraId="602A7BA7" w14:textId="77777777" w:rsidR="008A5924" w:rsidRPr="00184700" w:rsidRDefault="008A5924" w:rsidP="008A5924">
            <w:pPr>
              <w:jc w:val="center"/>
              <w:rPr>
                <w:sz w:val="18"/>
                <w:szCs w:val="18"/>
                <w:lang w:eastAsia="es-GT"/>
              </w:rPr>
            </w:pPr>
            <w:r w:rsidRPr="00184700">
              <w:rPr>
                <w:sz w:val="18"/>
                <w:szCs w:val="18"/>
                <w:lang w:eastAsia="es-GT"/>
              </w:rPr>
              <w:t>Q75.39</w:t>
            </w:r>
          </w:p>
        </w:tc>
        <w:tc>
          <w:tcPr>
            <w:tcW w:w="1722" w:type="dxa"/>
            <w:shd w:val="clear" w:color="auto" w:fill="auto"/>
            <w:noWrap/>
            <w:vAlign w:val="bottom"/>
            <w:hideMark/>
          </w:tcPr>
          <w:p w14:paraId="58D69187" w14:textId="77777777" w:rsidR="008A5924" w:rsidRPr="00184700" w:rsidRDefault="008A5924" w:rsidP="008A5924">
            <w:pPr>
              <w:jc w:val="center"/>
              <w:rPr>
                <w:sz w:val="18"/>
                <w:szCs w:val="18"/>
                <w:lang w:eastAsia="es-GT"/>
              </w:rPr>
            </w:pPr>
            <w:r w:rsidRPr="00184700">
              <w:rPr>
                <w:sz w:val="18"/>
                <w:szCs w:val="18"/>
                <w:lang w:eastAsia="es-GT"/>
              </w:rPr>
              <w:t>67.9%</w:t>
            </w:r>
          </w:p>
        </w:tc>
        <w:tc>
          <w:tcPr>
            <w:tcW w:w="1417" w:type="dxa"/>
            <w:shd w:val="clear" w:color="auto" w:fill="auto"/>
            <w:noWrap/>
            <w:vAlign w:val="bottom"/>
            <w:hideMark/>
          </w:tcPr>
          <w:p w14:paraId="3A99DC68" w14:textId="77777777" w:rsidR="008A5924" w:rsidRPr="00184700" w:rsidRDefault="008A5924" w:rsidP="008A5924">
            <w:pPr>
              <w:jc w:val="center"/>
              <w:rPr>
                <w:sz w:val="18"/>
                <w:szCs w:val="18"/>
                <w:lang w:eastAsia="es-GT"/>
              </w:rPr>
            </w:pPr>
            <w:r w:rsidRPr="00184700">
              <w:rPr>
                <w:sz w:val="18"/>
                <w:szCs w:val="18"/>
                <w:lang w:eastAsia="es-GT"/>
              </w:rPr>
              <w:t>6.9</w:t>
            </w:r>
          </w:p>
        </w:tc>
      </w:tr>
      <w:tr w:rsidR="008A5924" w:rsidRPr="00184700" w14:paraId="079DD6BB" w14:textId="77777777" w:rsidTr="00EC5B09">
        <w:trPr>
          <w:trHeight w:val="255"/>
          <w:jc w:val="center"/>
        </w:trPr>
        <w:tc>
          <w:tcPr>
            <w:tcW w:w="1113" w:type="dxa"/>
            <w:shd w:val="clear" w:color="auto" w:fill="auto"/>
            <w:noWrap/>
            <w:vAlign w:val="bottom"/>
            <w:hideMark/>
          </w:tcPr>
          <w:p w14:paraId="6BAE0E9D" w14:textId="77777777" w:rsidR="008A5924" w:rsidRPr="00184700" w:rsidRDefault="008A5924" w:rsidP="008A5924">
            <w:pPr>
              <w:jc w:val="center"/>
              <w:rPr>
                <w:sz w:val="18"/>
                <w:szCs w:val="18"/>
                <w:lang w:eastAsia="es-GT"/>
              </w:rPr>
            </w:pPr>
            <w:r w:rsidRPr="00184700">
              <w:rPr>
                <w:sz w:val="18"/>
                <w:szCs w:val="18"/>
                <w:lang w:eastAsia="es-GT"/>
              </w:rPr>
              <w:t>2015</w:t>
            </w:r>
          </w:p>
        </w:tc>
        <w:tc>
          <w:tcPr>
            <w:tcW w:w="1566" w:type="dxa"/>
            <w:shd w:val="clear" w:color="auto" w:fill="auto"/>
            <w:vAlign w:val="bottom"/>
            <w:hideMark/>
          </w:tcPr>
          <w:p w14:paraId="0F737CCC" w14:textId="77777777" w:rsidR="008A5924" w:rsidRPr="00184700" w:rsidRDefault="008A5924" w:rsidP="008A5924">
            <w:pPr>
              <w:jc w:val="center"/>
              <w:rPr>
                <w:sz w:val="18"/>
                <w:szCs w:val="18"/>
                <w:lang w:eastAsia="es-GT"/>
              </w:rPr>
            </w:pPr>
            <w:r w:rsidRPr="00184700">
              <w:rPr>
                <w:sz w:val="18"/>
                <w:szCs w:val="18"/>
                <w:lang w:eastAsia="es-GT"/>
              </w:rPr>
              <w:t>Q46.88</w:t>
            </w:r>
          </w:p>
        </w:tc>
        <w:tc>
          <w:tcPr>
            <w:tcW w:w="1653" w:type="dxa"/>
            <w:shd w:val="clear" w:color="auto" w:fill="auto"/>
            <w:vAlign w:val="bottom"/>
            <w:hideMark/>
          </w:tcPr>
          <w:p w14:paraId="5C8756FB" w14:textId="77777777" w:rsidR="008A5924" w:rsidRPr="00184700" w:rsidRDefault="008A5924" w:rsidP="008A5924">
            <w:pPr>
              <w:jc w:val="center"/>
              <w:rPr>
                <w:sz w:val="18"/>
                <w:szCs w:val="18"/>
                <w:lang w:eastAsia="es-GT"/>
              </w:rPr>
            </w:pPr>
            <w:r w:rsidRPr="00184700">
              <w:rPr>
                <w:sz w:val="18"/>
                <w:szCs w:val="18"/>
                <w:lang w:eastAsia="es-GT"/>
              </w:rPr>
              <w:t>Q8.53</w:t>
            </w:r>
          </w:p>
        </w:tc>
        <w:tc>
          <w:tcPr>
            <w:tcW w:w="1604" w:type="dxa"/>
            <w:shd w:val="clear" w:color="auto" w:fill="auto"/>
            <w:vAlign w:val="bottom"/>
            <w:hideMark/>
          </w:tcPr>
          <w:p w14:paraId="4F20AFDA" w14:textId="77777777" w:rsidR="008A5924" w:rsidRPr="00184700" w:rsidRDefault="008A5924" w:rsidP="008A5924">
            <w:pPr>
              <w:jc w:val="center"/>
              <w:rPr>
                <w:sz w:val="18"/>
                <w:szCs w:val="18"/>
                <w:lang w:eastAsia="es-GT"/>
              </w:rPr>
            </w:pPr>
            <w:r w:rsidRPr="00184700">
              <w:rPr>
                <w:sz w:val="18"/>
                <w:szCs w:val="18"/>
                <w:lang w:eastAsia="es-GT"/>
              </w:rPr>
              <w:t>Q71.73</w:t>
            </w:r>
          </w:p>
        </w:tc>
        <w:tc>
          <w:tcPr>
            <w:tcW w:w="1722" w:type="dxa"/>
            <w:shd w:val="clear" w:color="auto" w:fill="auto"/>
            <w:noWrap/>
            <w:vAlign w:val="bottom"/>
            <w:hideMark/>
          </w:tcPr>
          <w:p w14:paraId="340721C7" w14:textId="77777777" w:rsidR="008A5924" w:rsidRPr="00184700" w:rsidRDefault="008A5924" w:rsidP="008A5924">
            <w:pPr>
              <w:jc w:val="center"/>
              <w:rPr>
                <w:sz w:val="18"/>
                <w:szCs w:val="18"/>
                <w:lang w:eastAsia="es-GT"/>
              </w:rPr>
            </w:pPr>
            <w:r w:rsidRPr="00184700">
              <w:rPr>
                <w:sz w:val="18"/>
                <w:szCs w:val="18"/>
                <w:lang w:eastAsia="es-GT"/>
              </w:rPr>
              <w:t>65.4%</w:t>
            </w:r>
          </w:p>
        </w:tc>
        <w:tc>
          <w:tcPr>
            <w:tcW w:w="1417" w:type="dxa"/>
            <w:shd w:val="clear" w:color="auto" w:fill="auto"/>
            <w:noWrap/>
            <w:vAlign w:val="bottom"/>
            <w:hideMark/>
          </w:tcPr>
          <w:p w14:paraId="10A79222" w14:textId="77777777" w:rsidR="008A5924" w:rsidRPr="00184700" w:rsidRDefault="008A5924" w:rsidP="008A5924">
            <w:pPr>
              <w:jc w:val="center"/>
              <w:rPr>
                <w:sz w:val="18"/>
                <w:szCs w:val="18"/>
                <w:lang w:eastAsia="es-GT"/>
              </w:rPr>
            </w:pPr>
            <w:r w:rsidRPr="00184700">
              <w:rPr>
                <w:sz w:val="18"/>
                <w:szCs w:val="18"/>
                <w:lang w:eastAsia="es-GT"/>
              </w:rPr>
              <w:t>5.5</w:t>
            </w:r>
          </w:p>
        </w:tc>
      </w:tr>
      <w:tr w:rsidR="008A5924" w:rsidRPr="00184700" w14:paraId="119B3EE0" w14:textId="77777777" w:rsidTr="00EC5B09">
        <w:trPr>
          <w:trHeight w:val="255"/>
          <w:jc w:val="center"/>
        </w:trPr>
        <w:tc>
          <w:tcPr>
            <w:tcW w:w="1113" w:type="dxa"/>
            <w:shd w:val="clear" w:color="auto" w:fill="auto"/>
            <w:noWrap/>
            <w:vAlign w:val="bottom"/>
            <w:hideMark/>
          </w:tcPr>
          <w:p w14:paraId="4D437623" w14:textId="77777777" w:rsidR="008A5924" w:rsidRPr="00184700" w:rsidRDefault="008A5924" w:rsidP="008A5924">
            <w:pPr>
              <w:jc w:val="center"/>
              <w:rPr>
                <w:sz w:val="18"/>
                <w:szCs w:val="18"/>
                <w:lang w:eastAsia="es-GT"/>
              </w:rPr>
            </w:pPr>
            <w:r w:rsidRPr="00184700">
              <w:rPr>
                <w:sz w:val="18"/>
                <w:szCs w:val="18"/>
                <w:lang w:eastAsia="es-GT"/>
              </w:rPr>
              <w:t>2016</w:t>
            </w:r>
          </w:p>
        </w:tc>
        <w:tc>
          <w:tcPr>
            <w:tcW w:w="1566" w:type="dxa"/>
            <w:shd w:val="clear" w:color="auto" w:fill="auto"/>
            <w:vAlign w:val="bottom"/>
            <w:hideMark/>
          </w:tcPr>
          <w:p w14:paraId="3017EB04" w14:textId="77777777" w:rsidR="008A5924" w:rsidRPr="00184700" w:rsidRDefault="008A5924" w:rsidP="008A5924">
            <w:pPr>
              <w:jc w:val="center"/>
              <w:rPr>
                <w:sz w:val="18"/>
                <w:szCs w:val="18"/>
                <w:lang w:eastAsia="es-GT"/>
              </w:rPr>
            </w:pPr>
            <w:r w:rsidRPr="00184700">
              <w:rPr>
                <w:sz w:val="18"/>
                <w:szCs w:val="18"/>
                <w:lang w:eastAsia="es-GT"/>
              </w:rPr>
              <w:t>Q42.95</w:t>
            </w:r>
          </w:p>
        </w:tc>
        <w:tc>
          <w:tcPr>
            <w:tcW w:w="1653" w:type="dxa"/>
            <w:shd w:val="clear" w:color="auto" w:fill="auto"/>
            <w:vAlign w:val="bottom"/>
            <w:hideMark/>
          </w:tcPr>
          <w:p w14:paraId="209FCB2D" w14:textId="77777777" w:rsidR="008A5924" w:rsidRPr="00184700" w:rsidRDefault="008A5924" w:rsidP="008A5924">
            <w:pPr>
              <w:jc w:val="center"/>
              <w:rPr>
                <w:sz w:val="18"/>
                <w:szCs w:val="18"/>
                <w:lang w:eastAsia="es-GT"/>
              </w:rPr>
            </w:pPr>
            <w:r w:rsidRPr="00184700">
              <w:rPr>
                <w:sz w:val="18"/>
                <w:szCs w:val="18"/>
                <w:lang w:eastAsia="es-GT"/>
              </w:rPr>
              <w:t>Q8.66</w:t>
            </w:r>
          </w:p>
        </w:tc>
        <w:tc>
          <w:tcPr>
            <w:tcW w:w="1604" w:type="dxa"/>
            <w:shd w:val="clear" w:color="auto" w:fill="auto"/>
            <w:vAlign w:val="bottom"/>
            <w:hideMark/>
          </w:tcPr>
          <w:p w14:paraId="2D424535" w14:textId="77777777" w:rsidR="008A5924" w:rsidRPr="00184700" w:rsidRDefault="008A5924" w:rsidP="008A5924">
            <w:pPr>
              <w:jc w:val="center"/>
              <w:rPr>
                <w:sz w:val="18"/>
                <w:szCs w:val="18"/>
                <w:lang w:eastAsia="es-GT"/>
              </w:rPr>
            </w:pPr>
            <w:r w:rsidRPr="00184700">
              <w:rPr>
                <w:sz w:val="18"/>
                <w:szCs w:val="18"/>
                <w:lang w:eastAsia="es-GT"/>
              </w:rPr>
              <w:t>Q68.41</w:t>
            </w:r>
          </w:p>
        </w:tc>
        <w:tc>
          <w:tcPr>
            <w:tcW w:w="1722" w:type="dxa"/>
            <w:shd w:val="clear" w:color="auto" w:fill="auto"/>
            <w:noWrap/>
            <w:vAlign w:val="bottom"/>
            <w:hideMark/>
          </w:tcPr>
          <w:p w14:paraId="6265BD25" w14:textId="77777777" w:rsidR="008A5924" w:rsidRPr="00184700" w:rsidRDefault="008A5924" w:rsidP="008A5924">
            <w:pPr>
              <w:jc w:val="center"/>
              <w:rPr>
                <w:sz w:val="18"/>
                <w:szCs w:val="18"/>
                <w:lang w:eastAsia="es-GT"/>
              </w:rPr>
            </w:pPr>
            <w:r w:rsidRPr="00184700">
              <w:rPr>
                <w:sz w:val="18"/>
                <w:szCs w:val="18"/>
                <w:lang w:eastAsia="es-GT"/>
              </w:rPr>
              <w:t>62.8%</w:t>
            </w:r>
          </w:p>
        </w:tc>
        <w:tc>
          <w:tcPr>
            <w:tcW w:w="1417" w:type="dxa"/>
            <w:shd w:val="clear" w:color="auto" w:fill="auto"/>
            <w:noWrap/>
            <w:vAlign w:val="bottom"/>
            <w:hideMark/>
          </w:tcPr>
          <w:p w14:paraId="74162BCD" w14:textId="77777777" w:rsidR="008A5924" w:rsidRPr="00184700" w:rsidRDefault="008A5924" w:rsidP="008A5924">
            <w:pPr>
              <w:jc w:val="center"/>
              <w:rPr>
                <w:sz w:val="18"/>
                <w:szCs w:val="18"/>
                <w:lang w:eastAsia="es-GT"/>
              </w:rPr>
            </w:pPr>
            <w:r w:rsidRPr="00184700">
              <w:rPr>
                <w:sz w:val="18"/>
                <w:szCs w:val="18"/>
                <w:lang w:eastAsia="es-GT"/>
              </w:rPr>
              <w:t>5.0</w:t>
            </w:r>
          </w:p>
        </w:tc>
      </w:tr>
      <w:tr w:rsidR="008A5924" w:rsidRPr="00184700" w14:paraId="39FB0BEC" w14:textId="77777777" w:rsidTr="00EC5B09">
        <w:trPr>
          <w:trHeight w:val="255"/>
          <w:jc w:val="center"/>
        </w:trPr>
        <w:tc>
          <w:tcPr>
            <w:tcW w:w="1113" w:type="dxa"/>
            <w:shd w:val="clear" w:color="auto" w:fill="auto"/>
            <w:noWrap/>
            <w:vAlign w:val="bottom"/>
            <w:hideMark/>
          </w:tcPr>
          <w:p w14:paraId="0BC7E454" w14:textId="77777777" w:rsidR="008A5924" w:rsidRPr="00184700" w:rsidRDefault="008A5924" w:rsidP="008A5924">
            <w:pPr>
              <w:jc w:val="center"/>
              <w:rPr>
                <w:sz w:val="18"/>
                <w:szCs w:val="18"/>
                <w:lang w:eastAsia="es-GT"/>
              </w:rPr>
            </w:pPr>
            <w:r w:rsidRPr="00184700">
              <w:rPr>
                <w:sz w:val="18"/>
                <w:szCs w:val="18"/>
                <w:lang w:eastAsia="es-GT"/>
              </w:rPr>
              <w:t>2017</w:t>
            </w:r>
          </w:p>
        </w:tc>
        <w:tc>
          <w:tcPr>
            <w:tcW w:w="1566" w:type="dxa"/>
            <w:shd w:val="clear" w:color="auto" w:fill="auto"/>
            <w:vAlign w:val="bottom"/>
            <w:hideMark/>
          </w:tcPr>
          <w:p w14:paraId="0E8F32E6" w14:textId="77777777" w:rsidR="008A5924" w:rsidRPr="00184700" w:rsidRDefault="008A5924" w:rsidP="008A5924">
            <w:pPr>
              <w:jc w:val="center"/>
              <w:rPr>
                <w:sz w:val="18"/>
                <w:szCs w:val="18"/>
                <w:lang w:eastAsia="es-GT"/>
              </w:rPr>
            </w:pPr>
            <w:r w:rsidRPr="00184700">
              <w:rPr>
                <w:sz w:val="18"/>
                <w:szCs w:val="18"/>
                <w:lang w:eastAsia="es-GT"/>
              </w:rPr>
              <w:t>Q18.13</w:t>
            </w:r>
          </w:p>
        </w:tc>
        <w:tc>
          <w:tcPr>
            <w:tcW w:w="1653" w:type="dxa"/>
            <w:shd w:val="clear" w:color="auto" w:fill="auto"/>
            <w:vAlign w:val="bottom"/>
            <w:hideMark/>
          </w:tcPr>
          <w:p w14:paraId="26A066DD" w14:textId="77777777" w:rsidR="008A5924" w:rsidRPr="00184700" w:rsidRDefault="008A5924" w:rsidP="008A5924">
            <w:pPr>
              <w:jc w:val="center"/>
              <w:rPr>
                <w:sz w:val="18"/>
                <w:szCs w:val="18"/>
                <w:lang w:eastAsia="es-GT"/>
              </w:rPr>
            </w:pPr>
            <w:r w:rsidRPr="00184700">
              <w:rPr>
                <w:sz w:val="18"/>
                <w:szCs w:val="18"/>
                <w:lang w:eastAsia="es-GT"/>
              </w:rPr>
              <w:t>Q8.50</w:t>
            </w:r>
          </w:p>
        </w:tc>
        <w:tc>
          <w:tcPr>
            <w:tcW w:w="1604" w:type="dxa"/>
            <w:shd w:val="clear" w:color="auto" w:fill="auto"/>
            <w:vAlign w:val="bottom"/>
            <w:hideMark/>
          </w:tcPr>
          <w:p w14:paraId="729706CC" w14:textId="77777777" w:rsidR="008A5924" w:rsidRPr="00184700" w:rsidRDefault="008A5924" w:rsidP="008A5924">
            <w:pPr>
              <w:jc w:val="center"/>
              <w:rPr>
                <w:sz w:val="18"/>
                <w:szCs w:val="18"/>
                <w:lang w:eastAsia="es-GT"/>
              </w:rPr>
            </w:pPr>
            <w:r w:rsidRPr="00184700">
              <w:rPr>
                <w:sz w:val="18"/>
                <w:szCs w:val="18"/>
                <w:lang w:eastAsia="es-GT"/>
              </w:rPr>
              <w:t>Q44.16</w:t>
            </w:r>
          </w:p>
        </w:tc>
        <w:tc>
          <w:tcPr>
            <w:tcW w:w="1722" w:type="dxa"/>
            <w:shd w:val="clear" w:color="auto" w:fill="auto"/>
            <w:noWrap/>
            <w:vAlign w:val="bottom"/>
            <w:hideMark/>
          </w:tcPr>
          <w:p w14:paraId="26ECAA23" w14:textId="77777777" w:rsidR="008A5924" w:rsidRPr="00184700" w:rsidRDefault="008A5924" w:rsidP="008A5924">
            <w:pPr>
              <w:jc w:val="center"/>
              <w:rPr>
                <w:sz w:val="18"/>
                <w:szCs w:val="18"/>
                <w:lang w:eastAsia="es-GT"/>
              </w:rPr>
            </w:pPr>
            <w:r w:rsidRPr="00184700">
              <w:rPr>
                <w:sz w:val="18"/>
                <w:szCs w:val="18"/>
                <w:lang w:eastAsia="es-GT"/>
              </w:rPr>
              <w:t>41.1%</w:t>
            </w:r>
          </w:p>
        </w:tc>
        <w:tc>
          <w:tcPr>
            <w:tcW w:w="1417" w:type="dxa"/>
            <w:shd w:val="clear" w:color="auto" w:fill="auto"/>
            <w:noWrap/>
            <w:vAlign w:val="bottom"/>
            <w:hideMark/>
          </w:tcPr>
          <w:p w14:paraId="6047B517" w14:textId="77777777" w:rsidR="008A5924" w:rsidRPr="00184700" w:rsidRDefault="008A5924" w:rsidP="008A5924">
            <w:pPr>
              <w:jc w:val="center"/>
              <w:rPr>
                <w:sz w:val="18"/>
                <w:szCs w:val="18"/>
                <w:lang w:eastAsia="es-GT"/>
              </w:rPr>
            </w:pPr>
            <w:r w:rsidRPr="00184700">
              <w:rPr>
                <w:sz w:val="18"/>
                <w:szCs w:val="18"/>
                <w:lang w:eastAsia="es-GT"/>
              </w:rPr>
              <w:t>2.1</w:t>
            </w:r>
          </w:p>
        </w:tc>
      </w:tr>
      <w:tr w:rsidR="008A5924" w:rsidRPr="00184700" w14:paraId="339314B0" w14:textId="77777777" w:rsidTr="00EC5B09">
        <w:trPr>
          <w:trHeight w:val="255"/>
          <w:jc w:val="center"/>
        </w:trPr>
        <w:tc>
          <w:tcPr>
            <w:tcW w:w="1113" w:type="dxa"/>
            <w:shd w:val="clear" w:color="auto" w:fill="auto"/>
            <w:noWrap/>
            <w:vAlign w:val="bottom"/>
            <w:hideMark/>
          </w:tcPr>
          <w:p w14:paraId="6F052B08" w14:textId="77777777" w:rsidR="008A5924" w:rsidRPr="00184700" w:rsidRDefault="008A5924" w:rsidP="008A5924">
            <w:pPr>
              <w:jc w:val="center"/>
              <w:rPr>
                <w:sz w:val="18"/>
                <w:szCs w:val="18"/>
                <w:lang w:eastAsia="es-GT"/>
              </w:rPr>
            </w:pPr>
            <w:r w:rsidRPr="00184700">
              <w:rPr>
                <w:sz w:val="18"/>
                <w:szCs w:val="18"/>
                <w:lang w:eastAsia="es-GT"/>
              </w:rPr>
              <w:t>2018</w:t>
            </w:r>
          </w:p>
        </w:tc>
        <w:tc>
          <w:tcPr>
            <w:tcW w:w="1566" w:type="dxa"/>
            <w:shd w:val="clear" w:color="auto" w:fill="auto"/>
            <w:vAlign w:val="bottom"/>
            <w:hideMark/>
          </w:tcPr>
          <w:p w14:paraId="3450CAFE" w14:textId="77777777" w:rsidR="008A5924" w:rsidRPr="00184700" w:rsidRDefault="008A5924" w:rsidP="008A5924">
            <w:pPr>
              <w:jc w:val="center"/>
              <w:rPr>
                <w:sz w:val="18"/>
                <w:szCs w:val="18"/>
                <w:lang w:eastAsia="es-GT"/>
              </w:rPr>
            </w:pPr>
            <w:r w:rsidRPr="00184700">
              <w:rPr>
                <w:sz w:val="18"/>
                <w:szCs w:val="18"/>
                <w:lang w:eastAsia="es-GT"/>
              </w:rPr>
              <w:t>Q1.88</w:t>
            </w:r>
          </w:p>
        </w:tc>
        <w:tc>
          <w:tcPr>
            <w:tcW w:w="1653" w:type="dxa"/>
            <w:shd w:val="clear" w:color="auto" w:fill="auto"/>
            <w:vAlign w:val="bottom"/>
            <w:hideMark/>
          </w:tcPr>
          <w:p w14:paraId="1A883A22" w14:textId="77777777" w:rsidR="008A5924" w:rsidRPr="00184700" w:rsidRDefault="008A5924" w:rsidP="008A5924">
            <w:pPr>
              <w:jc w:val="center"/>
              <w:rPr>
                <w:sz w:val="18"/>
                <w:szCs w:val="18"/>
                <w:lang w:eastAsia="es-GT"/>
              </w:rPr>
            </w:pPr>
            <w:r w:rsidRPr="00184700">
              <w:rPr>
                <w:sz w:val="18"/>
                <w:szCs w:val="18"/>
                <w:lang w:eastAsia="es-GT"/>
              </w:rPr>
              <w:t>Q8.41</w:t>
            </w:r>
          </w:p>
        </w:tc>
        <w:tc>
          <w:tcPr>
            <w:tcW w:w="1604" w:type="dxa"/>
            <w:shd w:val="clear" w:color="auto" w:fill="auto"/>
            <w:vAlign w:val="bottom"/>
            <w:hideMark/>
          </w:tcPr>
          <w:p w14:paraId="772AE53E" w14:textId="77777777" w:rsidR="008A5924" w:rsidRPr="00184700" w:rsidRDefault="008A5924" w:rsidP="008A5924">
            <w:pPr>
              <w:jc w:val="center"/>
              <w:rPr>
                <w:sz w:val="18"/>
                <w:szCs w:val="18"/>
                <w:lang w:eastAsia="es-GT"/>
              </w:rPr>
            </w:pPr>
            <w:r w:rsidRPr="00184700">
              <w:rPr>
                <w:sz w:val="18"/>
                <w:szCs w:val="18"/>
                <w:lang w:eastAsia="es-GT"/>
              </w:rPr>
              <w:t>Q28.44</w:t>
            </w:r>
          </w:p>
        </w:tc>
        <w:tc>
          <w:tcPr>
            <w:tcW w:w="1722" w:type="dxa"/>
            <w:shd w:val="clear" w:color="auto" w:fill="auto"/>
            <w:noWrap/>
            <w:vAlign w:val="bottom"/>
            <w:hideMark/>
          </w:tcPr>
          <w:p w14:paraId="43A972E2" w14:textId="77777777" w:rsidR="008A5924" w:rsidRPr="00184700" w:rsidRDefault="008A5924" w:rsidP="008A5924">
            <w:pPr>
              <w:jc w:val="center"/>
              <w:rPr>
                <w:sz w:val="18"/>
                <w:szCs w:val="18"/>
                <w:lang w:eastAsia="es-GT"/>
              </w:rPr>
            </w:pPr>
            <w:r w:rsidRPr="00184700">
              <w:rPr>
                <w:sz w:val="18"/>
                <w:szCs w:val="18"/>
                <w:lang w:eastAsia="es-GT"/>
              </w:rPr>
              <w:t>6.6%</w:t>
            </w:r>
          </w:p>
        </w:tc>
        <w:tc>
          <w:tcPr>
            <w:tcW w:w="1417" w:type="dxa"/>
            <w:shd w:val="clear" w:color="auto" w:fill="auto"/>
            <w:noWrap/>
            <w:vAlign w:val="bottom"/>
            <w:hideMark/>
          </w:tcPr>
          <w:p w14:paraId="56A92F94" w14:textId="77777777" w:rsidR="008A5924" w:rsidRPr="00184700" w:rsidRDefault="008A5924" w:rsidP="008A5924">
            <w:pPr>
              <w:jc w:val="center"/>
              <w:rPr>
                <w:sz w:val="18"/>
                <w:szCs w:val="18"/>
                <w:lang w:eastAsia="es-GT"/>
              </w:rPr>
            </w:pPr>
            <w:r w:rsidRPr="00184700">
              <w:rPr>
                <w:sz w:val="18"/>
                <w:szCs w:val="18"/>
                <w:lang w:eastAsia="es-GT"/>
              </w:rPr>
              <w:t>0.2</w:t>
            </w:r>
          </w:p>
        </w:tc>
      </w:tr>
      <w:tr w:rsidR="008A5924" w:rsidRPr="00184700" w14:paraId="70E0D431" w14:textId="77777777" w:rsidTr="00EC5B09">
        <w:trPr>
          <w:trHeight w:val="255"/>
          <w:jc w:val="center"/>
        </w:trPr>
        <w:tc>
          <w:tcPr>
            <w:tcW w:w="1113" w:type="dxa"/>
            <w:shd w:val="clear" w:color="000000" w:fill="8DB4E2"/>
            <w:noWrap/>
            <w:vAlign w:val="bottom"/>
            <w:hideMark/>
          </w:tcPr>
          <w:p w14:paraId="2C8D6833" w14:textId="77777777" w:rsidR="008A5924" w:rsidRPr="00184700" w:rsidRDefault="008A5924" w:rsidP="008A5924">
            <w:pPr>
              <w:jc w:val="center"/>
              <w:rPr>
                <w:sz w:val="18"/>
                <w:szCs w:val="18"/>
                <w:lang w:eastAsia="es-GT"/>
              </w:rPr>
            </w:pPr>
            <w:r w:rsidRPr="00184700">
              <w:rPr>
                <w:sz w:val="18"/>
                <w:szCs w:val="18"/>
                <w:lang w:eastAsia="es-GT"/>
              </w:rPr>
              <w:t>Total Acumulado</w:t>
            </w:r>
          </w:p>
        </w:tc>
        <w:tc>
          <w:tcPr>
            <w:tcW w:w="1566" w:type="dxa"/>
            <w:shd w:val="clear" w:color="000000" w:fill="8DB4E2"/>
            <w:vAlign w:val="center"/>
            <w:hideMark/>
          </w:tcPr>
          <w:p w14:paraId="47E33236" w14:textId="77777777" w:rsidR="008A5924" w:rsidRPr="00184700" w:rsidRDefault="008A5924" w:rsidP="008A5924">
            <w:pPr>
              <w:jc w:val="center"/>
              <w:rPr>
                <w:sz w:val="18"/>
                <w:szCs w:val="18"/>
                <w:lang w:eastAsia="es-GT"/>
              </w:rPr>
            </w:pPr>
            <w:r w:rsidRPr="00184700">
              <w:rPr>
                <w:sz w:val="18"/>
                <w:szCs w:val="18"/>
                <w:lang w:eastAsia="es-GT"/>
              </w:rPr>
              <w:t>Q348.24</w:t>
            </w:r>
          </w:p>
        </w:tc>
        <w:tc>
          <w:tcPr>
            <w:tcW w:w="1653" w:type="dxa"/>
            <w:shd w:val="clear" w:color="000000" w:fill="8DB4E2"/>
            <w:vAlign w:val="center"/>
            <w:hideMark/>
          </w:tcPr>
          <w:p w14:paraId="720A189B" w14:textId="77777777" w:rsidR="008A5924" w:rsidRPr="00184700" w:rsidRDefault="008A5924" w:rsidP="008A5924">
            <w:pPr>
              <w:jc w:val="center"/>
              <w:rPr>
                <w:sz w:val="18"/>
                <w:szCs w:val="18"/>
                <w:lang w:eastAsia="es-GT"/>
              </w:rPr>
            </w:pPr>
            <w:r w:rsidRPr="00184700">
              <w:rPr>
                <w:sz w:val="18"/>
                <w:szCs w:val="18"/>
                <w:lang w:eastAsia="es-GT"/>
              </w:rPr>
              <w:t>Q104.24</w:t>
            </w:r>
          </w:p>
        </w:tc>
        <w:tc>
          <w:tcPr>
            <w:tcW w:w="1604" w:type="dxa"/>
            <w:shd w:val="clear" w:color="000000" w:fill="8DB4E2"/>
            <w:vAlign w:val="center"/>
            <w:hideMark/>
          </w:tcPr>
          <w:p w14:paraId="085EEE18" w14:textId="77777777" w:rsidR="008A5924" w:rsidRPr="00184700" w:rsidRDefault="008A5924" w:rsidP="008A5924">
            <w:pPr>
              <w:jc w:val="center"/>
              <w:rPr>
                <w:sz w:val="18"/>
                <w:szCs w:val="18"/>
                <w:lang w:eastAsia="es-GT"/>
              </w:rPr>
            </w:pPr>
            <w:r w:rsidRPr="00184700">
              <w:rPr>
                <w:sz w:val="18"/>
                <w:szCs w:val="18"/>
                <w:lang w:eastAsia="es-GT"/>
              </w:rPr>
              <w:t>Q636.52</w:t>
            </w:r>
          </w:p>
        </w:tc>
        <w:tc>
          <w:tcPr>
            <w:tcW w:w="1722" w:type="dxa"/>
            <w:shd w:val="clear" w:color="000000" w:fill="8DB4E2"/>
            <w:noWrap/>
            <w:vAlign w:val="center"/>
            <w:hideMark/>
          </w:tcPr>
          <w:p w14:paraId="3CE0C4E4" w14:textId="77777777" w:rsidR="008A5924" w:rsidRPr="00184700" w:rsidRDefault="008A5924" w:rsidP="008A5924">
            <w:pPr>
              <w:jc w:val="center"/>
              <w:rPr>
                <w:sz w:val="18"/>
                <w:szCs w:val="18"/>
                <w:lang w:eastAsia="es-GT"/>
              </w:rPr>
            </w:pPr>
            <w:r w:rsidRPr="00184700">
              <w:rPr>
                <w:sz w:val="18"/>
                <w:szCs w:val="18"/>
                <w:lang w:eastAsia="es-GT"/>
              </w:rPr>
              <w:t>54.7%</w:t>
            </w:r>
          </w:p>
        </w:tc>
        <w:tc>
          <w:tcPr>
            <w:tcW w:w="1417" w:type="dxa"/>
            <w:shd w:val="clear" w:color="000000" w:fill="8DB4E2"/>
            <w:noWrap/>
            <w:vAlign w:val="center"/>
            <w:hideMark/>
          </w:tcPr>
          <w:p w14:paraId="15EE452F" w14:textId="77777777" w:rsidR="008A5924" w:rsidRPr="00184700" w:rsidRDefault="008A5924" w:rsidP="008A5924">
            <w:pPr>
              <w:jc w:val="center"/>
              <w:rPr>
                <w:sz w:val="18"/>
                <w:szCs w:val="18"/>
                <w:lang w:eastAsia="es-GT"/>
              </w:rPr>
            </w:pPr>
            <w:r w:rsidRPr="00184700">
              <w:rPr>
                <w:sz w:val="18"/>
                <w:szCs w:val="18"/>
                <w:lang w:eastAsia="es-GT"/>
              </w:rPr>
              <w:t>3.3</w:t>
            </w:r>
          </w:p>
        </w:tc>
      </w:tr>
    </w:tbl>
    <w:p w14:paraId="7C395DDF" w14:textId="77777777" w:rsidR="008A5924" w:rsidRPr="00184700" w:rsidRDefault="00EC5B09" w:rsidP="008A5924">
      <w:pPr>
        <w:rPr>
          <w:sz w:val="14"/>
          <w:lang w:val="es-MX"/>
        </w:rPr>
      </w:pPr>
      <w:r>
        <w:rPr>
          <w:sz w:val="14"/>
          <w:lang w:val="es-MX"/>
        </w:rPr>
        <w:t xml:space="preserve">             </w:t>
      </w:r>
      <w:r w:rsidR="00506983" w:rsidRPr="007C663C">
        <w:rPr>
          <w:b/>
          <w:sz w:val="18"/>
          <w:lang w:val="es-MX"/>
        </w:rPr>
        <w:t>Fuente:</w:t>
      </w:r>
      <w:r w:rsidR="00506983">
        <w:rPr>
          <w:sz w:val="18"/>
          <w:lang w:val="es-MX"/>
        </w:rPr>
        <w:t xml:space="preserve"> Sistema de Contabilidad Integrada</w:t>
      </w:r>
      <w:r w:rsidR="008A5924" w:rsidRPr="00EC5B09">
        <w:rPr>
          <w:sz w:val="18"/>
          <w:lang w:val="es-MX"/>
        </w:rPr>
        <w:t xml:space="preserve"> de los Gobiernos Locales –SICOIN-GL Ministerio de Finanzas Públicas.</w:t>
      </w:r>
    </w:p>
    <w:p w14:paraId="3FD340CD" w14:textId="77777777" w:rsidR="008A5924" w:rsidRPr="00184700" w:rsidRDefault="008A5924" w:rsidP="008A5924">
      <w:pPr>
        <w:jc w:val="both"/>
        <w:rPr>
          <w:lang w:val="es-MX"/>
        </w:rPr>
      </w:pPr>
    </w:p>
    <w:p w14:paraId="2669DE01" w14:textId="77777777" w:rsidR="008A5924" w:rsidRPr="007B1CA6" w:rsidRDefault="008A5924" w:rsidP="008A5924">
      <w:pPr>
        <w:jc w:val="both"/>
        <w:rPr>
          <w:sz w:val="24"/>
          <w:szCs w:val="24"/>
          <w:lang w:val="es-MX"/>
        </w:rPr>
      </w:pPr>
      <w:r w:rsidRPr="007B1CA6">
        <w:rPr>
          <w:sz w:val="24"/>
          <w:szCs w:val="24"/>
          <w:lang w:val="es-MX"/>
        </w:rPr>
        <w:t xml:space="preserve">En promedio para el periodo los ingresos por </w:t>
      </w:r>
      <w:r w:rsidR="008B4420" w:rsidRPr="007B1CA6">
        <w:rPr>
          <w:sz w:val="24"/>
          <w:szCs w:val="24"/>
          <w:lang w:val="es-MX"/>
        </w:rPr>
        <w:t xml:space="preserve">regalías representaron el 54.7 por ciento </w:t>
      </w:r>
      <w:r w:rsidRPr="007B1CA6">
        <w:rPr>
          <w:sz w:val="24"/>
          <w:szCs w:val="24"/>
          <w:lang w:val="es-MX"/>
        </w:rPr>
        <w:t>de sus ingresos totales 3.3 veces lo que recibieron en concepto del Situado Constitucional.</w:t>
      </w:r>
    </w:p>
    <w:p w14:paraId="4676848F" w14:textId="77777777" w:rsidR="008A5924" w:rsidRPr="007B1CA6" w:rsidRDefault="008A5924" w:rsidP="008A5924">
      <w:pPr>
        <w:jc w:val="both"/>
        <w:rPr>
          <w:sz w:val="24"/>
          <w:szCs w:val="24"/>
          <w:lang w:val="es-MX"/>
        </w:rPr>
      </w:pPr>
    </w:p>
    <w:p w14:paraId="4BC844A1" w14:textId="77777777" w:rsidR="008A5924" w:rsidRPr="007B1CA6" w:rsidRDefault="008A5924" w:rsidP="008A5924">
      <w:pPr>
        <w:jc w:val="both"/>
        <w:rPr>
          <w:sz w:val="24"/>
          <w:szCs w:val="24"/>
          <w:lang w:val="es-MX"/>
        </w:rPr>
      </w:pPr>
      <w:r w:rsidRPr="007B1CA6">
        <w:rPr>
          <w:sz w:val="24"/>
          <w:szCs w:val="24"/>
          <w:lang w:val="es-MX"/>
        </w:rPr>
        <w:t>Uno de los factores que constituye una preocupación es el destino en función del tipo de gasto, que los gobiernos locales dan al flujo de ingresos provenientes de las regalías. El problema primordial consiste en que tomando en consideración que las localidades en las cuales se desarrollan las actividades mineras, son por lo regular comunidades pobres desprovistas de bienes públicos, especialmente infraestructura. Si las rentas extraordinarias obtenidas son convenientemente utilizadas en inversiones públicas acordes a una estrategia o plan de desarrollo municipal bien articulado, las mismas incidirían en un aumento en el nivel de bienestar de las comunidades en el mediano y largo plazo, aun cuando las actividades extractivas hubieren concluido.</w:t>
      </w:r>
    </w:p>
    <w:p w14:paraId="5CFDB6CB" w14:textId="77777777" w:rsidR="008A5924" w:rsidRPr="007B1CA6" w:rsidRDefault="008A5924" w:rsidP="008A5924">
      <w:pPr>
        <w:jc w:val="both"/>
        <w:rPr>
          <w:sz w:val="24"/>
          <w:szCs w:val="24"/>
          <w:lang w:val="es-MX"/>
        </w:rPr>
      </w:pPr>
    </w:p>
    <w:p w14:paraId="0C5A6F94" w14:textId="77777777" w:rsidR="008A5924" w:rsidRPr="007B1CA6" w:rsidRDefault="008B4420" w:rsidP="008A5924">
      <w:pPr>
        <w:jc w:val="both"/>
        <w:rPr>
          <w:sz w:val="24"/>
          <w:szCs w:val="24"/>
          <w:lang w:val="es-MX"/>
        </w:rPr>
      </w:pPr>
      <w:r w:rsidRPr="007B1CA6">
        <w:rPr>
          <w:sz w:val="24"/>
          <w:szCs w:val="24"/>
          <w:lang w:val="es-MX"/>
        </w:rPr>
        <w:t>Caso contrario, si los ingresos</w:t>
      </w:r>
      <w:r w:rsidR="008A5924" w:rsidRPr="007B1CA6">
        <w:rPr>
          <w:sz w:val="24"/>
          <w:szCs w:val="24"/>
          <w:lang w:val="es-MX"/>
        </w:rPr>
        <w:t xml:space="preserve"> extraordinarios son utilizados para financiar consumo, gastos de funcionamiento o bien la realización de obras que podrían haberse financiado con recursos ordinarios, su crecimiento económico en función de la no diversificación de sus actividades productivas y el no incremento de su stock de capital fijo, podría verse comprometido.</w:t>
      </w:r>
    </w:p>
    <w:p w14:paraId="04772E7A" w14:textId="77777777" w:rsidR="008A5924" w:rsidRPr="007B1CA6" w:rsidRDefault="008A5924" w:rsidP="008A5924">
      <w:pPr>
        <w:jc w:val="both"/>
        <w:rPr>
          <w:sz w:val="24"/>
          <w:szCs w:val="24"/>
          <w:lang w:val="es-MX"/>
        </w:rPr>
      </w:pPr>
    </w:p>
    <w:p w14:paraId="6B3EAA27" w14:textId="77777777" w:rsidR="008A5924" w:rsidRDefault="008A5924" w:rsidP="008A5924">
      <w:pPr>
        <w:jc w:val="both"/>
        <w:rPr>
          <w:sz w:val="24"/>
          <w:szCs w:val="24"/>
          <w:lang w:val="es-MX"/>
        </w:rPr>
      </w:pPr>
      <w:r w:rsidRPr="007B1CA6">
        <w:rPr>
          <w:sz w:val="24"/>
          <w:szCs w:val="24"/>
          <w:lang w:val="es-MX"/>
        </w:rPr>
        <w:t>Durante el periodo 2010-2018, la Municipalidad de San Miguel Ixtahuacán, destinó la ejecución de su gasto (ingresos provenientes de todas las fuentes) hacia las siguientes funciones.</w:t>
      </w:r>
    </w:p>
    <w:p w14:paraId="5E127DF9" w14:textId="0D3B6DAE" w:rsidR="00D07A98" w:rsidRDefault="00D07A98" w:rsidP="008A5924">
      <w:pPr>
        <w:jc w:val="both"/>
        <w:rPr>
          <w:sz w:val="24"/>
          <w:szCs w:val="24"/>
          <w:lang w:val="es-MX"/>
        </w:rPr>
      </w:pPr>
    </w:p>
    <w:p w14:paraId="3BEB751E" w14:textId="31D93408" w:rsidR="006812CD" w:rsidRDefault="006812CD" w:rsidP="008A5924">
      <w:pPr>
        <w:jc w:val="both"/>
        <w:rPr>
          <w:sz w:val="24"/>
          <w:szCs w:val="24"/>
          <w:lang w:val="es-MX"/>
        </w:rPr>
      </w:pPr>
    </w:p>
    <w:p w14:paraId="74ADD8EA" w14:textId="4C678A2F" w:rsidR="006812CD" w:rsidRDefault="006812CD" w:rsidP="008A5924">
      <w:pPr>
        <w:jc w:val="both"/>
        <w:rPr>
          <w:sz w:val="24"/>
          <w:szCs w:val="24"/>
          <w:lang w:val="es-MX"/>
        </w:rPr>
      </w:pPr>
    </w:p>
    <w:p w14:paraId="3B2D0C9C" w14:textId="4A4986DA" w:rsidR="006812CD" w:rsidRDefault="006812CD" w:rsidP="008A5924">
      <w:pPr>
        <w:jc w:val="both"/>
        <w:rPr>
          <w:sz w:val="24"/>
          <w:szCs w:val="24"/>
          <w:lang w:val="es-MX"/>
        </w:rPr>
      </w:pPr>
    </w:p>
    <w:p w14:paraId="01C72C4B" w14:textId="50FAFD94" w:rsidR="006812CD" w:rsidRDefault="006812CD" w:rsidP="008A5924">
      <w:pPr>
        <w:jc w:val="both"/>
        <w:rPr>
          <w:sz w:val="24"/>
          <w:szCs w:val="24"/>
          <w:lang w:val="es-MX"/>
        </w:rPr>
      </w:pPr>
    </w:p>
    <w:p w14:paraId="47DF09C8" w14:textId="52872787" w:rsidR="006812CD" w:rsidRDefault="006812CD" w:rsidP="008A5924">
      <w:pPr>
        <w:jc w:val="both"/>
        <w:rPr>
          <w:sz w:val="24"/>
          <w:szCs w:val="24"/>
          <w:lang w:val="es-MX"/>
        </w:rPr>
      </w:pPr>
    </w:p>
    <w:p w14:paraId="26045922" w14:textId="0FDC4732" w:rsidR="006812CD" w:rsidRDefault="006812CD" w:rsidP="008A5924">
      <w:pPr>
        <w:jc w:val="both"/>
        <w:rPr>
          <w:sz w:val="24"/>
          <w:szCs w:val="24"/>
          <w:lang w:val="es-MX"/>
        </w:rPr>
      </w:pPr>
    </w:p>
    <w:p w14:paraId="10A3F47A" w14:textId="7CE69F58" w:rsidR="006812CD" w:rsidRDefault="006812CD" w:rsidP="008A5924">
      <w:pPr>
        <w:jc w:val="both"/>
        <w:rPr>
          <w:sz w:val="24"/>
          <w:szCs w:val="24"/>
          <w:lang w:val="es-MX"/>
        </w:rPr>
      </w:pPr>
    </w:p>
    <w:p w14:paraId="367BE78F" w14:textId="77777777" w:rsidR="006812CD" w:rsidRPr="007B1CA6" w:rsidRDefault="006812CD" w:rsidP="008A5924">
      <w:pPr>
        <w:jc w:val="both"/>
        <w:rPr>
          <w:sz w:val="24"/>
          <w:szCs w:val="24"/>
          <w:lang w:val="es-MX"/>
        </w:rPr>
      </w:pPr>
    </w:p>
    <w:p w14:paraId="06779134" w14:textId="77777777" w:rsidR="008A5924" w:rsidRDefault="008A5924" w:rsidP="008A5924">
      <w:pPr>
        <w:jc w:val="both"/>
        <w:rPr>
          <w:lang w:val="es-MX"/>
        </w:rPr>
      </w:pPr>
    </w:p>
    <w:p w14:paraId="340A1FE7" w14:textId="77777777" w:rsidR="007B1CA6" w:rsidRPr="00184700" w:rsidRDefault="007B1CA6" w:rsidP="008A5924">
      <w:pPr>
        <w:jc w:val="both"/>
        <w:rPr>
          <w:lang w:val="es-MX"/>
        </w:rPr>
      </w:pPr>
    </w:p>
    <w:p w14:paraId="0376BA9C" w14:textId="339CBD71" w:rsidR="008A5924" w:rsidRPr="007B1CA6" w:rsidRDefault="008A5924" w:rsidP="008A5924">
      <w:pPr>
        <w:pStyle w:val="Descripcin"/>
        <w:rPr>
          <w:color w:val="000000" w:themeColor="text1"/>
          <w:sz w:val="16"/>
          <w:lang w:val="es-MX"/>
        </w:rPr>
      </w:pPr>
      <w:bookmarkStart w:id="223" w:name="_Toc16242960"/>
      <w:r w:rsidRPr="007B1CA6">
        <w:rPr>
          <w:color w:val="000000" w:themeColor="text1"/>
        </w:rPr>
        <w:t xml:space="preserve">Cuadro  </w:t>
      </w:r>
      <w:r w:rsidRPr="007B1CA6">
        <w:rPr>
          <w:color w:val="000000" w:themeColor="text1"/>
        </w:rPr>
        <w:fldChar w:fldCharType="begin"/>
      </w:r>
      <w:r w:rsidRPr="007B1CA6">
        <w:rPr>
          <w:color w:val="000000" w:themeColor="text1"/>
        </w:rPr>
        <w:instrText xml:space="preserve"> SEQ Cuadro_ \* ARABIC </w:instrText>
      </w:r>
      <w:r w:rsidRPr="007B1CA6">
        <w:rPr>
          <w:color w:val="000000" w:themeColor="text1"/>
        </w:rPr>
        <w:fldChar w:fldCharType="separate"/>
      </w:r>
      <w:r w:rsidR="004B2A60">
        <w:rPr>
          <w:noProof/>
          <w:color w:val="000000" w:themeColor="text1"/>
        </w:rPr>
        <w:t>10</w:t>
      </w:r>
      <w:r w:rsidRPr="007B1CA6">
        <w:rPr>
          <w:noProof/>
          <w:color w:val="000000" w:themeColor="text1"/>
        </w:rPr>
        <w:fldChar w:fldCharType="end"/>
      </w:r>
      <w:r w:rsidRPr="007B1CA6">
        <w:rPr>
          <w:color w:val="000000" w:themeColor="text1"/>
        </w:rPr>
        <w:t>: Gasto municipal por función</w:t>
      </w:r>
      <w:bookmarkEnd w:id="223"/>
      <w:r w:rsidRPr="007B1CA6">
        <w:rPr>
          <w:color w:val="000000" w:themeColor="text1"/>
          <w:sz w:val="16"/>
          <w:lang w:val="es-MX"/>
        </w:rPr>
        <w:t xml:space="preserve"> </w:t>
      </w:r>
    </w:p>
    <w:p w14:paraId="7CE1B667" w14:textId="77777777" w:rsidR="008A5924" w:rsidRPr="00184700" w:rsidRDefault="008A5924" w:rsidP="008A5924">
      <w:pPr>
        <w:jc w:val="center"/>
        <w:rPr>
          <w:sz w:val="16"/>
          <w:lang w:val="es-MX"/>
        </w:rPr>
      </w:pPr>
      <w:r w:rsidRPr="00184700">
        <w:rPr>
          <w:sz w:val="16"/>
          <w:lang w:val="es-MX"/>
        </w:rPr>
        <w:t>San Miguel Ixtahuacán, Departamento de San Marcos, Periodo 2010 – 2018</w:t>
      </w:r>
    </w:p>
    <w:p w14:paraId="7A1F9569" w14:textId="77777777" w:rsidR="008A5924" w:rsidRDefault="008A5924" w:rsidP="008A5924">
      <w:pPr>
        <w:jc w:val="center"/>
        <w:rPr>
          <w:sz w:val="16"/>
          <w:lang w:val="es-MX"/>
        </w:rPr>
      </w:pPr>
      <w:r w:rsidRPr="00184700">
        <w:rPr>
          <w:sz w:val="16"/>
          <w:lang w:val="es-MX"/>
        </w:rPr>
        <w:t>Cifras en millones de quetzales y porcentajes</w:t>
      </w:r>
    </w:p>
    <w:p w14:paraId="28B3D10F" w14:textId="77777777" w:rsidR="00056555" w:rsidRPr="00184700" w:rsidRDefault="00056555" w:rsidP="008A5924">
      <w:pPr>
        <w:jc w:val="center"/>
        <w:rPr>
          <w:lang w:val="es-MX"/>
        </w:rPr>
      </w:pPr>
    </w:p>
    <w:tbl>
      <w:tblPr>
        <w:tblW w:w="7875" w:type="dxa"/>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135"/>
        <w:gridCol w:w="1080"/>
        <w:gridCol w:w="1060"/>
        <w:gridCol w:w="1600"/>
      </w:tblGrid>
      <w:tr w:rsidR="008A5924" w:rsidRPr="00184700" w14:paraId="5309371C" w14:textId="77777777" w:rsidTr="008A5924">
        <w:trPr>
          <w:trHeight w:val="255"/>
          <w:tblHeader/>
          <w:jc w:val="center"/>
        </w:trPr>
        <w:tc>
          <w:tcPr>
            <w:tcW w:w="4135" w:type="dxa"/>
            <w:shd w:val="clear" w:color="000000" w:fill="8DB4E2"/>
            <w:noWrap/>
            <w:vAlign w:val="center"/>
            <w:hideMark/>
          </w:tcPr>
          <w:p w14:paraId="1568064B" w14:textId="77777777" w:rsidR="008A5924" w:rsidRPr="00184700" w:rsidRDefault="008A5924" w:rsidP="008A5924">
            <w:pPr>
              <w:jc w:val="center"/>
              <w:rPr>
                <w:b/>
                <w:bCs/>
                <w:sz w:val="18"/>
                <w:lang w:eastAsia="es-GT"/>
              </w:rPr>
            </w:pPr>
            <w:r w:rsidRPr="00184700">
              <w:rPr>
                <w:b/>
                <w:bCs/>
                <w:sz w:val="18"/>
                <w:lang w:eastAsia="es-GT"/>
              </w:rPr>
              <w:t xml:space="preserve">Función </w:t>
            </w:r>
          </w:p>
        </w:tc>
        <w:tc>
          <w:tcPr>
            <w:tcW w:w="1080" w:type="dxa"/>
            <w:shd w:val="clear" w:color="000000" w:fill="8DB4E2"/>
            <w:noWrap/>
            <w:vAlign w:val="center"/>
            <w:hideMark/>
          </w:tcPr>
          <w:p w14:paraId="52C6168E" w14:textId="77777777" w:rsidR="008A5924" w:rsidRPr="00184700" w:rsidRDefault="008A5924" w:rsidP="008A5924">
            <w:pPr>
              <w:rPr>
                <w:b/>
                <w:bCs/>
                <w:sz w:val="18"/>
                <w:lang w:eastAsia="es-GT"/>
              </w:rPr>
            </w:pPr>
            <w:r w:rsidRPr="00184700">
              <w:rPr>
                <w:b/>
                <w:bCs/>
                <w:sz w:val="18"/>
                <w:lang w:eastAsia="es-GT"/>
              </w:rPr>
              <w:t xml:space="preserve">Millones </w:t>
            </w:r>
          </w:p>
        </w:tc>
        <w:tc>
          <w:tcPr>
            <w:tcW w:w="1060" w:type="dxa"/>
            <w:shd w:val="clear" w:color="000000" w:fill="8DB4E2"/>
            <w:noWrap/>
            <w:vAlign w:val="center"/>
            <w:hideMark/>
          </w:tcPr>
          <w:p w14:paraId="145C1EFA" w14:textId="77777777" w:rsidR="008A5924" w:rsidRPr="00184700" w:rsidRDefault="008A5924" w:rsidP="008A5924">
            <w:pPr>
              <w:jc w:val="center"/>
              <w:rPr>
                <w:b/>
                <w:bCs/>
                <w:sz w:val="18"/>
                <w:lang w:eastAsia="es-GT"/>
              </w:rPr>
            </w:pPr>
            <w:r w:rsidRPr="00184700">
              <w:rPr>
                <w:b/>
                <w:bCs/>
                <w:sz w:val="18"/>
                <w:lang w:eastAsia="es-GT"/>
              </w:rPr>
              <w:t>%</w:t>
            </w:r>
          </w:p>
        </w:tc>
        <w:tc>
          <w:tcPr>
            <w:tcW w:w="1600" w:type="dxa"/>
            <w:shd w:val="clear" w:color="000000" w:fill="8DB4E2"/>
            <w:noWrap/>
            <w:vAlign w:val="center"/>
            <w:hideMark/>
          </w:tcPr>
          <w:p w14:paraId="2D1D2B0C" w14:textId="77777777" w:rsidR="008A5924" w:rsidRPr="00184700" w:rsidRDefault="008A5924" w:rsidP="008A5924">
            <w:pPr>
              <w:jc w:val="center"/>
              <w:rPr>
                <w:b/>
                <w:bCs/>
                <w:sz w:val="18"/>
                <w:lang w:eastAsia="es-GT"/>
              </w:rPr>
            </w:pPr>
            <w:r w:rsidRPr="00184700">
              <w:rPr>
                <w:b/>
                <w:bCs/>
                <w:sz w:val="18"/>
                <w:lang w:eastAsia="es-GT"/>
              </w:rPr>
              <w:t xml:space="preserve">% acumulado </w:t>
            </w:r>
          </w:p>
        </w:tc>
      </w:tr>
      <w:tr w:rsidR="008A5924" w:rsidRPr="00184700" w14:paraId="5C5356CF" w14:textId="77777777" w:rsidTr="008A5924">
        <w:trPr>
          <w:trHeight w:val="255"/>
          <w:jc w:val="center"/>
        </w:trPr>
        <w:tc>
          <w:tcPr>
            <w:tcW w:w="4135" w:type="dxa"/>
            <w:shd w:val="clear" w:color="auto" w:fill="auto"/>
            <w:noWrap/>
            <w:vAlign w:val="bottom"/>
            <w:hideMark/>
          </w:tcPr>
          <w:p w14:paraId="23941F84" w14:textId="77777777" w:rsidR="008A5924" w:rsidRPr="00184700" w:rsidRDefault="008A5924" w:rsidP="008A5924">
            <w:pPr>
              <w:rPr>
                <w:sz w:val="18"/>
                <w:lang w:eastAsia="es-GT"/>
              </w:rPr>
            </w:pPr>
            <w:r w:rsidRPr="00184700">
              <w:rPr>
                <w:sz w:val="18"/>
                <w:lang w:eastAsia="es-GT"/>
              </w:rPr>
              <w:t xml:space="preserve">Administración Ejecutiva </w:t>
            </w:r>
          </w:p>
        </w:tc>
        <w:tc>
          <w:tcPr>
            <w:tcW w:w="1080" w:type="dxa"/>
            <w:shd w:val="clear" w:color="auto" w:fill="auto"/>
            <w:noWrap/>
            <w:vAlign w:val="bottom"/>
            <w:hideMark/>
          </w:tcPr>
          <w:p w14:paraId="0489C57A" w14:textId="77777777" w:rsidR="008A5924" w:rsidRPr="00184700" w:rsidRDefault="008A5924" w:rsidP="008A5924">
            <w:pPr>
              <w:rPr>
                <w:sz w:val="18"/>
                <w:lang w:eastAsia="es-GT"/>
              </w:rPr>
            </w:pPr>
            <w:r w:rsidRPr="00184700">
              <w:rPr>
                <w:sz w:val="18"/>
                <w:lang w:eastAsia="es-GT"/>
              </w:rPr>
              <w:t xml:space="preserve">       48.90 </w:t>
            </w:r>
          </w:p>
        </w:tc>
        <w:tc>
          <w:tcPr>
            <w:tcW w:w="1060" w:type="dxa"/>
            <w:shd w:val="clear" w:color="auto" w:fill="auto"/>
            <w:noWrap/>
            <w:vAlign w:val="bottom"/>
            <w:hideMark/>
          </w:tcPr>
          <w:p w14:paraId="3469877A" w14:textId="77777777" w:rsidR="008A5924" w:rsidRPr="00184700" w:rsidRDefault="008A5924" w:rsidP="008A5924">
            <w:pPr>
              <w:jc w:val="right"/>
              <w:rPr>
                <w:sz w:val="18"/>
                <w:lang w:eastAsia="es-GT"/>
              </w:rPr>
            </w:pPr>
            <w:r w:rsidRPr="00184700">
              <w:rPr>
                <w:sz w:val="18"/>
                <w:lang w:eastAsia="es-GT"/>
              </w:rPr>
              <w:t>24.35%</w:t>
            </w:r>
          </w:p>
        </w:tc>
        <w:tc>
          <w:tcPr>
            <w:tcW w:w="1600" w:type="dxa"/>
            <w:shd w:val="clear" w:color="auto" w:fill="auto"/>
            <w:noWrap/>
            <w:vAlign w:val="bottom"/>
            <w:hideMark/>
          </w:tcPr>
          <w:p w14:paraId="4F7F28F6" w14:textId="77777777" w:rsidR="008A5924" w:rsidRPr="00184700" w:rsidRDefault="008A5924" w:rsidP="008A5924">
            <w:pPr>
              <w:jc w:val="right"/>
              <w:rPr>
                <w:sz w:val="18"/>
                <w:lang w:eastAsia="es-GT"/>
              </w:rPr>
            </w:pPr>
            <w:r w:rsidRPr="00184700">
              <w:rPr>
                <w:sz w:val="18"/>
                <w:lang w:eastAsia="es-GT"/>
              </w:rPr>
              <w:t>24.35%</w:t>
            </w:r>
          </w:p>
        </w:tc>
      </w:tr>
      <w:tr w:rsidR="008A5924" w:rsidRPr="00184700" w14:paraId="79B2B899" w14:textId="77777777" w:rsidTr="008A5924">
        <w:trPr>
          <w:trHeight w:val="255"/>
          <w:jc w:val="center"/>
        </w:trPr>
        <w:tc>
          <w:tcPr>
            <w:tcW w:w="4135" w:type="dxa"/>
            <w:shd w:val="clear" w:color="auto" w:fill="auto"/>
            <w:noWrap/>
            <w:vAlign w:val="bottom"/>
            <w:hideMark/>
          </w:tcPr>
          <w:p w14:paraId="04361D31" w14:textId="77777777" w:rsidR="008A5924" w:rsidRPr="00184700" w:rsidRDefault="008A5924" w:rsidP="008A5924">
            <w:pPr>
              <w:rPr>
                <w:sz w:val="18"/>
                <w:lang w:eastAsia="es-GT"/>
              </w:rPr>
            </w:pPr>
            <w:r w:rsidRPr="00184700">
              <w:rPr>
                <w:sz w:val="18"/>
                <w:lang w:eastAsia="es-GT"/>
              </w:rPr>
              <w:t>Transporte por carretera</w:t>
            </w:r>
          </w:p>
        </w:tc>
        <w:tc>
          <w:tcPr>
            <w:tcW w:w="1080" w:type="dxa"/>
            <w:shd w:val="clear" w:color="auto" w:fill="auto"/>
            <w:noWrap/>
            <w:vAlign w:val="bottom"/>
            <w:hideMark/>
          </w:tcPr>
          <w:p w14:paraId="2B0A9A0C" w14:textId="77777777" w:rsidR="008A5924" w:rsidRPr="00184700" w:rsidRDefault="008A5924" w:rsidP="008A5924">
            <w:pPr>
              <w:rPr>
                <w:sz w:val="18"/>
                <w:lang w:eastAsia="es-GT"/>
              </w:rPr>
            </w:pPr>
            <w:r w:rsidRPr="00184700">
              <w:rPr>
                <w:sz w:val="18"/>
                <w:lang w:eastAsia="es-GT"/>
              </w:rPr>
              <w:t xml:space="preserve">       40.30 </w:t>
            </w:r>
          </w:p>
        </w:tc>
        <w:tc>
          <w:tcPr>
            <w:tcW w:w="1060" w:type="dxa"/>
            <w:shd w:val="clear" w:color="auto" w:fill="auto"/>
            <w:noWrap/>
            <w:vAlign w:val="bottom"/>
            <w:hideMark/>
          </w:tcPr>
          <w:p w14:paraId="50C48F82" w14:textId="77777777" w:rsidR="008A5924" w:rsidRPr="00184700" w:rsidRDefault="008A5924" w:rsidP="008A5924">
            <w:pPr>
              <w:jc w:val="right"/>
              <w:rPr>
                <w:sz w:val="18"/>
                <w:lang w:eastAsia="es-GT"/>
              </w:rPr>
            </w:pPr>
            <w:r w:rsidRPr="00184700">
              <w:rPr>
                <w:sz w:val="18"/>
                <w:lang w:eastAsia="es-GT"/>
              </w:rPr>
              <w:t>20.06%</w:t>
            </w:r>
          </w:p>
        </w:tc>
        <w:tc>
          <w:tcPr>
            <w:tcW w:w="1600" w:type="dxa"/>
            <w:shd w:val="clear" w:color="auto" w:fill="auto"/>
            <w:noWrap/>
            <w:vAlign w:val="bottom"/>
            <w:hideMark/>
          </w:tcPr>
          <w:p w14:paraId="1FC23D34" w14:textId="77777777" w:rsidR="008A5924" w:rsidRPr="00184700" w:rsidRDefault="008A5924" w:rsidP="008A5924">
            <w:pPr>
              <w:jc w:val="right"/>
              <w:rPr>
                <w:sz w:val="18"/>
                <w:lang w:eastAsia="es-GT"/>
              </w:rPr>
            </w:pPr>
            <w:r w:rsidRPr="00184700">
              <w:rPr>
                <w:sz w:val="18"/>
                <w:lang w:eastAsia="es-GT"/>
              </w:rPr>
              <w:t>44.41%</w:t>
            </w:r>
          </w:p>
        </w:tc>
      </w:tr>
      <w:tr w:rsidR="008A5924" w:rsidRPr="00184700" w14:paraId="666E0B82" w14:textId="77777777" w:rsidTr="008A5924">
        <w:trPr>
          <w:trHeight w:val="255"/>
          <w:jc w:val="center"/>
        </w:trPr>
        <w:tc>
          <w:tcPr>
            <w:tcW w:w="4135" w:type="dxa"/>
            <w:shd w:val="clear" w:color="auto" w:fill="auto"/>
            <w:noWrap/>
            <w:vAlign w:val="bottom"/>
            <w:hideMark/>
          </w:tcPr>
          <w:p w14:paraId="5860B513" w14:textId="77777777" w:rsidR="008A5924" w:rsidRPr="00184700" w:rsidRDefault="008A5924" w:rsidP="008A5924">
            <w:pPr>
              <w:rPr>
                <w:sz w:val="18"/>
                <w:lang w:eastAsia="es-GT"/>
              </w:rPr>
            </w:pPr>
            <w:r w:rsidRPr="00184700">
              <w:rPr>
                <w:sz w:val="18"/>
                <w:lang w:eastAsia="es-GT"/>
              </w:rPr>
              <w:t>Educación primaria</w:t>
            </w:r>
          </w:p>
        </w:tc>
        <w:tc>
          <w:tcPr>
            <w:tcW w:w="1080" w:type="dxa"/>
            <w:shd w:val="clear" w:color="auto" w:fill="auto"/>
            <w:noWrap/>
            <w:vAlign w:val="bottom"/>
            <w:hideMark/>
          </w:tcPr>
          <w:p w14:paraId="110F7E89" w14:textId="77777777" w:rsidR="008A5924" w:rsidRPr="00184700" w:rsidRDefault="008A5924" w:rsidP="008A5924">
            <w:pPr>
              <w:rPr>
                <w:sz w:val="18"/>
                <w:lang w:eastAsia="es-GT"/>
              </w:rPr>
            </w:pPr>
            <w:r w:rsidRPr="00184700">
              <w:rPr>
                <w:sz w:val="18"/>
                <w:lang w:eastAsia="es-GT"/>
              </w:rPr>
              <w:t xml:space="preserve">       22.95 </w:t>
            </w:r>
          </w:p>
        </w:tc>
        <w:tc>
          <w:tcPr>
            <w:tcW w:w="1060" w:type="dxa"/>
            <w:shd w:val="clear" w:color="auto" w:fill="auto"/>
            <w:noWrap/>
            <w:vAlign w:val="bottom"/>
            <w:hideMark/>
          </w:tcPr>
          <w:p w14:paraId="1A75FF13" w14:textId="77777777" w:rsidR="008A5924" w:rsidRPr="00184700" w:rsidRDefault="008A5924" w:rsidP="008A5924">
            <w:pPr>
              <w:jc w:val="right"/>
              <w:rPr>
                <w:sz w:val="18"/>
                <w:lang w:eastAsia="es-GT"/>
              </w:rPr>
            </w:pPr>
            <w:r w:rsidRPr="00184700">
              <w:rPr>
                <w:sz w:val="18"/>
                <w:lang w:eastAsia="es-GT"/>
              </w:rPr>
              <w:t>11.43%</w:t>
            </w:r>
          </w:p>
        </w:tc>
        <w:tc>
          <w:tcPr>
            <w:tcW w:w="1600" w:type="dxa"/>
            <w:shd w:val="clear" w:color="auto" w:fill="auto"/>
            <w:noWrap/>
            <w:vAlign w:val="bottom"/>
            <w:hideMark/>
          </w:tcPr>
          <w:p w14:paraId="3BC7434F" w14:textId="77777777" w:rsidR="008A5924" w:rsidRPr="00184700" w:rsidRDefault="008A5924" w:rsidP="008A5924">
            <w:pPr>
              <w:jc w:val="right"/>
              <w:rPr>
                <w:sz w:val="18"/>
                <w:lang w:eastAsia="es-GT"/>
              </w:rPr>
            </w:pPr>
            <w:r w:rsidRPr="00184700">
              <w:rPr>
                <w:sz w:val="18"/>
                <w:lang w:eastAsia="es-GT"/>
              </w:rPr>
              <w:t>55.84%</w:t>
            </w:r>
          </w:p>
        </w:tc>
      </w:tr>
      <w:tr w:rsidR="008A5924" w:rsidRPr="00184700" w14:paraId="25BA21CE" w14:textId="77777777" w:rsidTr="008A5924">
        <w:trPr>
          <w:trHeight w:val="255"/>
          <w:jc w:val="center"/>
        </w:trPr>
        <w:tc>
          <w:tcPr>
            <w:tcW w:w="4135" w:type="dxa"/>
            <w:shd w:val="clear" w:color="auto" w:fill="auto"/>
            <w:noWrap/>
            <w:vAlign w:val="bottom"/>
            <w:hideMark/>
          </w:tcPr>
          <w:p w14:paraId="26BC63F4" w14:textId="77777777" w:rsidR="008A5924" w:rsidRPr="00184700" w:rsidRDefault="008A5924" w:rsidP="008A5924">
            <w:pPr>
              <w:rPr>
                <w:sz w:val="18"/>
                <w:lang w:eastAsia="es-GT"/>
              </w:rPr>
            </w:pPr>
            <w:r w:rsidRPr="00184700">
              <w:rPr>
                <w:sz w:val="18"/>
                <w:lang w:eastAsia="es-GT"/>
              </w:rPr>
              <w:t>Desarrollo comunitario</w:t>
            </w:r>
          </w:p>
        </w:tc>
        <w:tc>
          <w:tcPr>
            <w:tcW w:w="1080" w:type="dxa"/>
            <w:shd w:val="clear" w:color="auto" w:fill="auto"/>
            <w:noWrap/>
            <w:vAlign w:val="bottom"/>
            <w:hideMark/>
          </w:tcPr>
          <w:p w14:paraId="2453466F" w14:textId="77777777" w:rsidR="008A5924" w:rsidRPr="00184700" w:rsidRDefault="008A5924" w:rsidP="008A5924">
            <w:pPr>
              <w:rPr>
                <w:sz w:val="18"/>
                <w:lang w:eastAsia="es-GT"/>
              </w:rPr>
            </w:pPr>
            <w:r w:rsidRPr="00184700">
              <w:rPr>
                <w:sz w:val="18"/>
                <w:lang w:eastAsia="es-GT"/>
              </w:rPr>
              <w:t xml:space="preserve">       21.86 </w:t>
            </w:r>
          </w:p>
        </w:tc>
        <w:tc>
          <w:tcPr>
            <w:tcW w:w="1060" w:type="dxa"/>
            <w:shd w:val="clear" w:color="auto" w:fill="auto"/>
            <w:noWrap/>
            <w:vAlign w:val="bottom"/>
            <w:hideMark/>
          </w:tcPr>
          <w:p w14:paraId="29C1CC0B" w14:textId="77777777" w:rsidR="008A5924" w:rsidRPr="00184700" w:rsidRDefault="008A5924" w:rsidP="008A5924">
            <w:pPr>
              <w:jc w:val="right"/>
              <w:rPr>
                <w:sz w:val="18"/>
                <w:lang w:eastAsia="es-GT"/>
              </w:rPr>
            </w:pPr>
            <w:r w:rsidRPr="00184700">
              <w:rPr>
                <w:sz w:val="18"/>
                <w:lang w:eastAsia="es-GT"/>
              </w:rPr>
              <w:t>10.88%</w:t>
            </w:r>
          </w:p>
        </w:tc>
        <w:tc>
          <w:tcPr>
            <w:tcW w:w="1600" w:type="dxa"/>
            <w:shd w:val="clear" w:color="auto" w:fill="auto"/>
            <w:noWrap/>
            <w:vAlign w:val="bottom"/>
            <w:hideMark/>
          </w:tcPr>
          <w:p w14:paraId="0ABD92EC" w14:textId="77777777" w:rsidR="008A5924" w:rsidRPr="00184700" w:rsidRDefault="008A5924" w:rsidP="008A5924">
            <w:pPr>
              <w:jc w:val="right"/>
              <w:rPr>
                <w:sz w:val="18"/>
                <w:lang w:eastAsia="es-GT"/>
              </w:rPr>
            </w:pPr>
            <w:r w:rsidRPr="00184700">
              <w:rPr>
                <w:sz w:val="18"/>
                <w:lang w:eastAsia="es-GT"/>
              </w:rPr>
              <w:t>66.72%</w:t>
            </w:r>
          </w:p>
        </w:tc>
      </w:tr>
      <w:tr w:rsidR="008A5924" w:rsidRPr="00184700" w14:paraId="7CC437A7" w14:textId="77777777" w:rsidTr="008A5924">
        <w:trPr>
          <w:trHeight w:val="255"/>
          <w:jc w:val="center"/>
        </w:trPr>
        <w:tc>
          <w:tcPr>
            <w:tcW w:w="4135" w:type="dxa"/>
            <w:shd w:val="clear" w:color="auto" w:fill="auto"/>
            <w:noWrap/>
            <w:vAlign w:val="bottom"/>
            <w:hideMark/>
          </w:tcPr>
          <w:p w14:paraId="70AFACE8" w14:textId="77777777" w:rsidR="008A5924" w:rsidRPr="00184700" w:rsidRDefault="008A5924" w:rsidP="008A5924">
            <w:pPr>
              <w:rPr>
                <w:sz w:val="18"/>
                <w:lang w:eastAsia="es-GT"/>
              </w:rPr>
            </w:pPr>
            <w:r w:rsidRPr="00184700">
              <w:rPr>
                <w:sz w:val="18"/>
                <w:lang w:eastAsia="es-GT"/>
              </w:rPr>
              <w:t>Abastecimiento de agua</w:t>
            </w:r>
          </w:p>
        </w:tc>
        <w:tc>
          <w:tcPr>
            <w:tcW w:w="1080" w:type="dxa"/>
            <w:shd w:val="clear" w:color="auto" w:fill="auto"/>
            <w:noWrap/>
            <w:vAlign w:val="bottom"/>
            <w:hideMark/>
          </w:tcPr>
          <w:p w14:paraId="1E892EA7" w14:textId="77777777" w:rsidR="008A5924" w:rsidRPr="00184700" w:rsidRDefault="008A5924" w:rsidP="008A5924">
            <w:pPr>
              <w:rPr>
                <w:sz w:val="18"/>
                <w:lang w:eastAsia="es-GT"/>
              </w:rPr>
            </w:pPr>
            <w:r w:rsidRPr="00184700">
              <w:rPr>
                <w:sz w:val="18"/>
                <w:lang w:eastAsia="es-GT"/>
              </w:rPr>
              <w:t xml:space="preserve">       21.70 </w:t>
            </w:r>
          </w:p>
        </w:tc>
        <w:tc>
          <w:tcPr>
            <w:tcW w:w="1060" w:type="dxa"/>
            <w:shd w:val="clear" w:color="auto" w:fill="auto"/>
            <w:noWrap/>
            <w:vAlign w:val="bottom"/>
            <w:hideMark/>
          </w:tcPr>
          <w:p w14:paraId="0FCF8594" w14:textId="77777777" w:rsidR="008A5924" w:rsidRPr="00184700" w:rsidRDefault="008A5924" w:rsidP="008A5924">
            <w:pPr>
              <w:jc w:val="right"/>
              <w:rPr>
                <w:sz w:val="18"/>
                <w:lang w:eastAsia="es-GT"/>
              </w:rPr>
            </w:pPr>
            <w:r w:rsidRPr="00184700">
              <w:rPr>
                <w:sz w:val="18"/>
                <w:lang w:eastAsia="es-GT"/>
              </w:rPr>
              <w:t>10.80%</w:t>
            </w:r>
          </w:p>
        </w:tc>
        <w:tc>
          <w:tcPr>
            <w:tcW w:w="1600" w:type="dxa"/>
            <w:shd w:val="clear" w:color="auto" w:fill="auto"/>
            <w:noWrap/>
            <w:vAlign w:val="bottom"/>
            <w:hideMark/>
          </w:tcPr>
          <w:p w14:paraId="27442821" w14:textId="77777777" w:rsidR="008A5924" w:rsidRPr="00184700" w:rsidRDefault="008A5924" w:rsidP="008A5924">
            <w:pPr>
              <w:jc w:val="right"/>
              <w:rPr>
                <w:sz w:val="18"/>
                <w:lang w:eastAsia="es-GT"/>
              </w:rPr>
            </w:pPr>
            <w:r w:rsidRPr="00184700">
              <w:rPr>
                <w:sz w:val="18"/>
                <w:lang w:eastAsia="es-GT"/>
              </w:rPr>
              <w:t>77.53%</w:t>
            </w:r>
          </w:p>
        </w:tc>
      </w:tr>
      <w:tr w:rsidR="008A5924" w:rsidRPr="00184700" w14:paraId="0B315B99" w14:textId="77777777" w:rsidTr="008A5924">
        <w:trPr>
          <w:trHeight w:val="255"/>
          <w:jc w:val="center"/>
        </w:trPr>
        <w:tc>
          <w:tcPr>
            <w:tcW w:w="4135" w:type="dxa"/>
            <w:shd w:val="clear" w:color="auto" w:fill="auto"/>
            <w:noWrap/>
            <w:vAlign w:val="bottom"/>
            <w:hideMark/>
          </w:tcPr>
          <w:p w14:paraId="0E97EE51" w14:textId="77777777" w:rsidR="008A5924" w:rsidRPr="00184700" w:rsidRDefault="008A5924" w:rsidP="008A5924">
            <w:pPr>
              <w:rPr>
                <w:sz w:val="18"/>
                <w:lang w:eastAsia="es-GT"/>
              </w:rPr>
            </w:pPr>
            <w:r w:rsidRPr="00184700">
              <w:rPr>
                <w:sz w:val="18"/>
                <w:lang w:eastAsia="es-GT"/>
              </w:rPr>
              <w:t>Servicios deportivos (SI)</w:t>
            </w:r>
          </w:p>
        </w:tc>
        <w:tc>
          <w:tcPr>
            <w:tcW w:w="1080" w:type="dxa"/>
            <w:shd w:val="clear" w:color="auto" w:fill="auto"/>
            <w:noWrap/>
            <w:vAlign w:val="bottom"/>
            <w:hideMark/>
          </w:tcPr>
          <w:p w14:paraId="759E5B96" w14:textId="77777777" w:rsidR="008A5924" w:rsidRPr="00184700" w:rsidRDefault="008A5924" w:rsidP="008A5924">
            <w:pPr>
              <w:rPr>
                <w:sz w:val="18"/>
                <w:lang w:eastAsia="es-GT"/>
              </w:rPr>
            </w:pPr>
            <w:r w:rsidRPr="00184700">
              <w:rPr>
                <w:sz w:val="18"/>
                <w:lang w:eastAsia="es-GT"/>
              </w:rPr>
              <w:t xml:space="preserve">       15.96 </w:t>
            </w:r>
          </w:p>
        </w:tc>
        <w:tc>
          <w:tcPr>
            <w:tcW w:w="1060" w:type="dxa"/>
            <w:shd w:val="clear" w:color="auto" w:fill="auto"/>
            <w:noWrap/>
            <w:vAlign w:val="bottom"/>
            <w:hideMark/>
          </w:tcPr>
          <w:p w14:paraId="572C723E" w14:textId="77777777" w:rsidR="008A5924" w:rsidRPr="00184700" w:rsidRDefault="008A5924" w:rsidP="008A5924">
            <w:pPr>
              <w:jc w:val="right"/>
              <w:rPr>
                <w:sz w:val="18"/>
                <w:lang w:eastAsia="es-GT"/>
              </w:rPr>
            </w:pPr>
            <w:r w:rsidRPr="00184700">
              <w:rPr>
                <w:sz w:val="18"/>
                <w:lang w:eastAsia="es-GT"/>
              </w:rPr>
              <w:t>7.94%</w:t>
            </w:r>
          </w:p>
        </w:tc>
        <w:tc>
          <w:tcPr>
            <w:tcW w:w="1600" w:type="dxa"/>
            <w:shd w:val="clear" w:color="auto" w:fill="auto"/>
            <w:noWrap/>
            <w:vAlign w:val="bottom"/>
            <w:hideMark/>
          </w:tcPr>
          <w:p w14:paraId="5F278BF7" w14:textId="77777777" w:rsidR="008A5924" w:rsidRPr="00184700" w:rsidRDefault="008A5924" w:rsidP="008A5924">
            <w:pPr>
              <w:jc w:val="right"/>
              <w:rPr>
                <w:sz w:val="18"/>
                <w:lang w:eastAsia="es-GT"/>
              </w:rPr>
            </w:pPr>
            <w:r w:rsidRPr="00184700">
              <w:rPr>
                <w:sz w:val="18"/>
                <w:lang w:eastAsia="es-GT"/>
              </w:rPr>
              <w:t>85.47%</w:t>
            </w:r>
          </w:p>
        </w:tc>
      </w:tr>
      <w:tr w:rsidR="008A5924" w:rsidRPr="00184700" w14:paraId="4A147A62" w14:textId="77777777" w:rsidTr="008A5924">
        <w:trPr>
          <w:trHeight w:val="255"/>
          <w:jc w:val="center"/>
        </w:trPr>
        <w:tc>
          <w:tcPr>
            <w:tcW w:w="4135" w:type="dxa"/>
            <w:shd w:val="clear" w:color="auto" w:fill="auto"/>
            <w:noWrap/>
            <w:vAlign w:val="bottom"/>
            <w:hideMark/>
          </w:tcPr>
          <w:p w14:paraId="7F93C063" w14:textId="77777777" w:rsidR="008A5924" w:rsidRPr="00184700" w:rsidRDefault="008A5924" w:rsidP="008A5924">
            <w:pPr>
              <w:rPr>
                <w:sz w:val="18"/>
                <w:lang w:eastAsia="es-GT"/>
              </w:rPr>
            </w:pPr>
            <w:r w:rsidRPr="00184700">
              <w:rPr>
                <w:sz w:val="18"/>
                <w:lang w:eastAsia="es-GT"/>
              </w:rPr>
              <w:t>Agricultura</w:t>
            </w:r>
          </w:p>
        </w:tc>
        <w:tc>
          <w:tcPr>
            <w:tcW w:w="1080" w:type="dxa"/>
            <w:shd w:val="clear" w:color="auto" w:fill="auto"/>
            <w:noWrap/>
            <w:vAlign w:val="bottom"/>
            <w:hideMark/>
          </w:tcPr>
          <w:p w14:paraId="6248A4ED" w14:textId="77777777" w:rsidR="008A5924" w:rsidRPr="00184700" w:rsidRDefault="008A5924" w:rsidP="008A5924">
            <w:pPr>
              <w:rPr>
                <w:sz w:val="18"/>
                <w:lang w:eastAsia="es-GT"/>
              </w:rPr>
            </w:pPr>
            <w:r w:rsidRPr="00184700">
              <w:rPr>
                <w:sz w:val="18"/>
                <w:lang w:eastAsia="es-GT"/>
              </w:rPr>
              <w:t xml:space="preserve">         3.56 </w:t>
            </w:r>
          </w:p>
        </w:tc>
        <w:tc>
          <w:tcPr>
            <w:tcW w:w="1060" w:type="dxa"/>
            <w:shd w:val="clear" w:color="auto" w:fill="auto"/>
            <w:noWrap/>
            <w:vAlign w:val="bottom"/>
            <w:hideMark/>
          </w:tcPr>
          <w:p w14:paraId="17EC07D2" w14:textId="77777777" w:rsidR="008A5924" w:rsidRPr="00184700" w:rsidRDefault="008A5924" w:rsidP="008A5924">
            <w:pPr>
              <w:jc w:val="right"/>
              <w:rPr>
                <w:sz w:val="18"/>
                <w:lang w:eastAsia="es-GT"/>
              </w:rPr>
            </w:pPr>
            <w:r w:rsidRPr="00184700">
              <w:rPr>
                <w:sz w:val="18"/>
                <w:lang w:eastAsia="es-GT"/>
              </w:rPr>
              <w:t>1.77%</w:t>
            </w:r>
          </w:p>
        </w:tc>
        <w:tc>
          <w:tcPr>
            <w:tcW w:w="1600" w:type="dxa"/>
            <w:shd w:val="clear" w:color="auto" w:fill="auto"/>
            <w:noWrap/>
            <w:vAlign w:val="bottom"/>
            <w:hideMark/>
          </w:tcPr>
          <w:p w14:paraId="54F4B018" w14:textId="77777777" w:rsidR="008A5924" w:rsidRPr="00184700" w:rsidRDefault="008A5924" w:rsidP="008A5924">
            <w:pPr>
              <w:jc w:val="right"/>
              <w:rPr>
                <w:sz w:val="18"/>
                <w:lang w:eastAsia="es-GT"/>
              </w:rPr>
            </w:pPr>
            <w:r w:rsidRPr="00184700">
              <w:rPr>
                <w:sz w:val="18"/>
                <w:lang w:eastAsia="es-GT"/>
              </w:rPr>
              <w:t>87.24%</w:t>
            </w:r>
          </w:p>
        </w:tc>
      </w:tr>
      <w:tr w:rsidR="008A5924" w:rsidRPr="00184700" w14:paraId="25D553A4" w14:textId="77777777" w:rsidTr="008A5924">
        <w:trPr>
          <w:trHeight w:val="255"/>
          <w:jc w:val="center"/>
        </w:trPr>
        <w:tc>
          <w:tcPr>
            <w:tcW w:w="4135" w:type="dxa"/>
            <w:shd w:val="clear" w:color="auto" w:fill="auto"/>
            <w:noWrap/>
            <w:vAlign w:val="bottom"/>
            <w:hideMark/>
          </w:tcPr>
          <w:p w14:paraId="0EA7F080" w14:textId="77777777" w:rsidR="008A5924" w:rsidRPr="00184700" w:rsidRDefault="008A5924" w:rsidP="008A5924">
            <w:pPr>
              <w:rPr>
                <w:sz w:val="18"/>
                <w:lang w:eastAsia="es-GT"/>
              </w:rPr>
            </w:pPr>
            <w:r w:rsidRPr="00184700">
              <w:rPr>
                <w:sz w:val="18"/>
                <w:lang w:eastAsia="es-GT"/>
              </w:rPr>
              <w:t>Otros servicios generales</w:t>
            </w:r>
          </w:p>
        </w:tc>
        <w:tc>
          <w:tcPr>
            <w:tcW w:w="1080" w:type="dxa"/>
            <w:shd w:val="clear" w:color="auto" w:fill="auto"/>
            <w:noWrap/>
            <w:vAlign w:val="bottom"/>
            <w:hideMark/>
          </w:tcPr>
          <w:p w14:paraId="5BC20B61" w14:textId="77777777" w:rsidR="008A5924" w:rsidRPr="00184700" w:rsidRDefault="008A5924" w:rsidP="008A5924">
            <w:pPr>
              <w:rPr>
                <w:sz w:val="18"/>
                <w:lang w:eastAsia="es-GT"/>
              </w:rPr>
            </w:pPr>
            <w:r w:rsidRPr="00184700">
              <w:rPr>
                <w:sz w:val="18"/>
                <w:lang w:eastAsia="es-GT"/>
              </w:rPr>
              <w:t xml:space="preserve">         3.52 </w:t>
            </w:r>
          </w:p>
        </w:tc>
        <w:tc>
          <w:tcPr>
            <w:tcW w:w="1060" w:type="dxa"/>
            <w:shd w:val="clear" w:color="auto" w:fill="auto"/>
            <w:noWrap/>
            <w:vAlign w:val="bottom"/>
            <w:hideMark/>
          </w:tcPr>
          <w:p w14:paraId="3E3B80E0" w14:textId="77777777" w:rsidR="008A5924" w:rsidRPr="00184700" w:rsidRDefault="008A5924" w:rsidP="008A5924">
            <w:pPr>
              <w:jc w:val="right"/>
              <w:rPr>
                <w:sz w:val="18"/>
                <w:lang w:eastAsia="es-GT"/>
              </w:rPr>
            </w:pPr>
            <w:r w:rsidRPr="00184700">
              <w:rPr>
                <w:sz w:val="18"/>
                <w:lang w:eastAsia="es-GT"/>
              </w:rPr>
              <w:t>1.75%</w:t>
            </w:r>
          </w:p>
        </w:tc>
        <w:tc>
          <w:tcPr>
            <w:tcW w:w="1600" w:type="dxa"/>
            <w:shd w:val="clear" w:color="auto" w:fill="auto"/>
            <w:noWrap/>
            <w:vAlign w:val="bottom"/>
            <w:hideMark/>
          </w:tcPr>
          <w:p w14:paraId="0BCBD5CA" w14:textId="77777777" w:rsidR="008A5924" w:rsidRPr="00184700" w:rsidRDefault="008A5924" w:rsidP="008A5924">
            <w:pPr>
              <w:jc w:val="right"/>
              <w:rPr>
                <w:sz w:val="18"/>
                <w:lang w:eastAsia="es-GT"/>
              </w:rPr>
            </w:pPr>
            <w:r w:rsidRPr="00184700">
              <w:rPr>
                <w:sz w:val="18"/>
                <w:lang w:eastAsia="es-GT"/>
              </w:rPr>
              <w:t>89.00%</w:t>
            </w:r>
          </w:p>
        </w:tc>
      </w:tr>
      <w:tr w:rsidR="008A5924" w:rsidRPr="00184700" w14:paraId="083E0472" w14:textId="77777777" w:rsidTr="008A5924">
        <w:trPr>
          <w:trHeight w:val="255"/>
          <w:jc w:val="center"/>
        </w:trPr>
        <w:tc>
          <w:tcPr>
            <w:tcW w:w="4135" w:type="dxa"/>
            <w:shd w:val="clear" w:color="auto" w:fill="auto"/>
            <w:noWrap/>
            <w:vAlign w:val="bottom"/>
            <w:hideMark/>
          </w:tcPr>
          <w:p w14:paraId="03F68955" w14:textId="77777777" w:rsidR="008A5924" w:rsidRPr="00184700" w:rsidRDefault="008A5924" w:rsidP="008A5924">
            <w:pPr>
              <w:rPr>
                <w:sz w:val="18"/>
                <w:lang w:eastAsia="es-GT"/>
              </w:rPr>
            </w:pPr>
            <w:r w:rsidRPr="00184700">
              <w:rPr>
                <w:sz w:val="18"/>
                <w:lang w:eastAsia="es-GT"/>
              </w:rPr>
              <w:t>Servicios de salud pública</w:t>
            </w:r>
          </w:p>
        </w:tc>
        <w:tc>
          <w:tcPr>
            <w:tcW w:w="1080" w:type="dxa"/>
            <w:shd w:val="clear" w:color="auto" w:fill="auto"/>
            <w:noWrap/>
            <w:vAlign w:val="bottom"/>
            <w:hideMark/>
          </w:tcPr>
          <w:p w14:paraId="23FF31AF" w14:textId="77777777" w:rsidR="008A5924" w:rsidRPr="00184700" w:rsidRDefault="008A5924" w:rsidP="008A5924">
            <w:pPr>
              <w:rPr>
                <w:sz w:val="18"/>
                <w:lang w:eastAsia="es-GT"/>
              </w:rPr>
            </w:pPr>
            <w:r w:rsidRPr="00184700">
              <w:rPr>
                <w:sz w:val="18"/>
                <w:lang w:eastAsia="es-GT"/>
              </w:rPr>
              <w:t xml:space="preserve">         3.23 </w:t>
            </w:r>
          </w:p>
        </w:tc>
        <w:tc>
          <w:tcPr>
            <w:tcW w:w="1060" w:type="dxa"/>
            <w:shd w:val="clear" w:color="auto" w:fill="auto"/>
            <w:noWrap/>
            <w:vAlign w:val="bottom"/>
            <w:hideMark/>
          </w:tcPr>
          <w:p w14:paraId="1021DC12" w14:textId="77777777" w:rsidR="008A5924" w:rsidRPr="00184700" w:rsidRDefault="008A5924" w:rsidP="008A5924">
            <w:pPr>
              <w:jc w:val="right"/>
              <w:rPr>
                <w:sz w:val="18"/>
                <w:lang w:eastAsia="es-GT"/>
              </w:rPr>
            </w:pPr>
            <w:r w:rsidRPr="00184700">
              <w:rPr>
                <w:sz w:val="18"/>
                <w:lang w:eastAsia="es-GT"/>
              </w:rPr>
              <w:t>1.61%</w:t>
            </w:r>
          </w:p>
        </w:tc>
        <w:tc>
          <w:tcPr>
            <w:tcW w:w="1600" w:type="dxa"/>
            <w:shd w:val="clear" w:color="auto" w:fill="auto"/>
            <w:noWrap/>
            <w:vAlign w:val="bottom"/>
            <w:hideMark/>
          </w:tcPr>
          <w:p w14:paraId="7E045BAD" w14:textId="77777777" w:rsidR="008A5924" w:rsidRPr="00184700" w:rsidRDefault="008A5924" w:rsidP="008A5924">
            <w:pPr>
              <w:jc w:val="right"/>
              <w:rPr>
                <w:sz w:val="18"/>
                <w:lang w:eastAsia="es-GT"/>
              </w:rPr>
            </w:pPr>
            <w:r w:rsidRPr="00184700">
              <w:rPr>
                <w:sz w:val="18"/>
                <w:lang w:eastAsia="es-GT"/>
              </w:rPr>
              <w:t>90.60%</w:t>
            </w:r>
          </w:p>
        </w:tc>
      </w:tr>
      <w:tr w:rsidR="008A5924" w:rsidRPr="00184700" w14:paraId="550BF5EE" w14:textId="77777777" w:rsidTr="008A5924">
        <w:trPr>
          <w:trHeight w:val="255"/>
          <w:jc w:val="center"/>
        </w:trPr>
        <w:tc>
          <w:tcPr>
            <w:tcW w:w="4135" w:type="dxa"/>
            <w:shd w:val="clear" w:color="auto" w:fill="auto"/>
            <w:noWrap/>
            <w:vAlign w:val="bottom"/>
            <w:hideMark/>
          </w:tcPr>
          <w:p w14:paraId="4E3D41FC" w14:textId="77777777" w:rsidR="008A5924" w:rsidRPr="00184700" w:rsidRDefault="008A5924" w:rsidP="008A5924">
            <w:pPr>
              <w:rPr>
                <w:sz w:val="18"/>
                <w:lang w:eastAsia="es-GT"/>
              </w:rPr>
            </w:pPr>
            <w:r w:rsidRPr="00184700">
              <w:rPr>
                <w:sz w:val="18"/>
                <w:lang w:eastAsia="es-GT"/>
              </w:rPr>
              <w:t>Vivienda</w:t>
            </w:r>
          </w:p>
        </w:tc>
        <w:tc>
          <w:tcPr>
            <w:tcW w:w="1080" w:type="dxa"/>
            <w:shd w:val="clear" w:color="auto" w:fill="auto"/>
            <w:noWrap/>
            <w:vAlign w:val="bottom"/>
            <w:hideMark/>
          </w:tcPr>
          <w:p w14:paraId="1F193FB5" w14:textId="77777777" w:rsidR="008A5924" w:rsidRPr="00184700" w:rsidRDefault="008A5924" w:rsidP="008A5924">
            <w:pPr>
              <w:rPr>
                <w:sz w:val="18"/>
                <w:lang w:eastAsia="es-GT"/>
              </w:rPr>
            </w:pPr>
            <w:r w:rsidRPr="00184700">
              <w:rPr>
                <w:sz w:val="18"/>
                <w:lang w:eastAsia="es-GT"/>
              </w:rPr>
              <w:t xml:space="preserve">         2.90 </w:t>
            </w:r>
          </w:p>
        </w:tc>
        <w:tc>
          <w:tcPr>
            <w:tcW w:w="1060" w:type="dxa"/>
            <w:shd w:val="clear" w:color="auto" w:fill="auto"/>
            <w:noWrap/>
            <w:vAlign w:val="bottom"/>
            <w:hideMark/>
          </w:tcPr>
          <w:p w14:paraId="26ADD075" w14:textId="77777777" w:rsidR="008A5924" w:rsidRPr="00184700" w:rsidRDefault="008A5924" w:rsidP="008A5924">
            <w:pPr>
              <w:jc w:val="right"/>
              <w:rPr>
                <w:sz w:val="18"/>
                <w:lang w:eastAsia="es-GT"/>
              </w:rPr>
            </w:pPr>
            <w:r w:rsidRPr="00184700">
              <w:rPr>
                <w:sz w:val="18"/>
                <w:lang w:eastAsia="es-GT"/>
              </w:rPr>
              <w:t>1.44%</w:t>
            </w:r>
          </w:p>
        </w:tc>
        <w:tc>
          <w:tcPr>
            <w:tcW w:w="1600" w:type="dxa"/>
            <w:shd w:val="clear" w:color="auto" w:fill="auto"/>
            <w:noWrap/>
            <w:vAlign w:val="bottom"/>
            <w:hideMark/>
          </w:tcPr>
          <w:p w14:paraId="7522D9D7" w14:textId="77777777" w:rsidR="008A5924" w:rsidRPr="00184700" w:rsidRDefault="008A5924" w:rsidP="008A5924">
            <w:pPr>
              <w:jc w:val="right"/>
              <w:rPr>
                <w:sz w:val="18"/>
                <w:lang w:eastAsia="es-GT"/>
              </w:rPr>
            </w:pPr>
            <w:r w:rsidRPr="00184700">
              <w:rPr>
                <w:sz w:val="18"/>
                <w:lang w:eastAsia="es-GT"/>
              </w:rPr>
              <w:t>92.05%</w:t>
            </w:r>
          </w:p>
        </w:tc>
      </w:tr>
      <w:tr w:rsidR="008A5924" w:rsidRPr="00184700" w14:paraId="57FB97B3" w14:textId="77777777" w:rsidTr="008A5924">
        <w:trPr>
          <w:trHeight w:val="255"/>
          <w:jc w:val="center"/>
        </w:trPr>
        <w:tc>
          <w:tcPr>
            <w:tcW w:w="4135" w:type="dxa"/>
            <w:shd w:val="clear" w:color="auto" w:fill="auto"/>
            <w:noWrap/>
            <w:vAlign w:val="bottom"/>
            <w:hideMark/>
          </w:tcPr>
          <w:p w14:paraId="46E689CC" w14:textId="77777777" w:rsidR="008A5924" w:rsidRPr="00184700" w:rsidRDefault="008A5924" w:rsidP="008A5924">
            <w:pPr>
              <w:rPr>
                <w:sz w:val="18"/>
                <w:lang w:eastAsia="es-GT"/>
              </w:rPr>
            </w:pPr>
            <w:r w:rsidRPr="00184700">
              <w:rPr>
                <w:sz w:val="18"/>
                <w:lang w:eastAsia="es-GT"/>
              </w:rPr>
              <w:t>Educación básica</w:t>
            </w:r>
          </w:p>
        </w:tc>
        <w:tc>
          <w:tcPr>
            <w:tcW w:w="1080" w:type="dxa"/>
            <w:shd w:val="clear" w:color="auto" w:fill="auto"/>
            <w:noWrap/>
            <w:vAlign w:val="bottom"/>
            <w:hideMark/>
          </w:tcPr>
          <w:p w14:paraId="154124E3" w14:textId="77777777" w:rsidR="008A5924" w:rsidRPr="00184700" w:rsidRDefault="008A5924" w:rsidP="008A5924">
            <w:pPr>
              <w:rPr>
                <w:sz w:val="18"/>
                <w:lang w:eastAsia="es-GT"/>
              </w:rPr>
            </w:pPr>
            <w:r w:rsidRPr="00184700">
              <w:rPr>
                <w:sz w:val="18"/>
                <w:lang w:eastAsia="es-GT"/>
              </w:rPr>
              <w:t xml:space="preserve">         2.59 </w:t>
            </w:r>
          </w:p>
        </w:tc>
        <w:tc>
          <w:tcPr>
            <w:tcW w:w="1060" w:type="dxa"/>
            <w:shd w:val="clear" w:color="auto" w:fill="auto"/>
            <w:noWrap/>
            <w:vAlign w:val="bottom"/>
            <w:hideMark/>
          </w:tcPr>
          <w:p w14:paraId="7F30E0C4" w14:textId="77777777" w:rsidR="008A5924" w:rsidRPr="00184700" w:rsidRDefault="008A5924" w:rsidP="008A5924">
            <w:pPr>
              <w:jc w:val="right"/>
              <w:rPr>
                <w:sz w:val="18"/>
                <w:lang w:eastAsia="es-GT"/>
              </w:rPr>
            </w:pPr>
            <w:r w:rsidRPr="00184700">
              <w:rPr>
                <w:sz w:val="18"/>
                <w:lang w:eastAsia="es-GT"/>
              </w:rPr>
              <w:t>1.29%</w:t>
            </w:r>
          </w:p>
        </w:tc>
        <w:tc>
          <w:tcPr>
            <w:tcW w:w="1600" w:type="dxa"/>
            <w:shd w:val="clear" w:color="auto" w:fill="auto"/>
            <w:noWrap/>
            <w:vAlign w:val="bottom"/>
            <w:hideMark/>
          </w:tcPr>
          <w:p w14:paraId="112BCA46" w14:textId="77777777" w:rsidR="008A5924" w:rsidRPr="00184700" w:rsidRDefault="008A5924" w:rsidP="008A5924">
            <w:pPr>
              <w:jc w:val="right"/>
              <w:rPr>
                <w:sz w:val="18"/>
                <w:lang w:eastAsia="es-GT"/>
              </w:rPr>
            </w:pPr>
            <w:r w:rsidRPr="00184700">
              <w:rPr>
                <w:sz w:val="18"/>
                <w:lang w:eastAsia="es-GT"/>
              </w:rPr>
              <w:t>93.34%</w:t>
            </w:r>
          </w:p>
        </w:tc>
      </w:tr>
      <w:tr w:rsidR="008A5924" w:rsidRPr="00184700" w14:paraId="6C660FCC" w14:textId="77777777" w:rsidTr="008A5924">
        <w:trPr>
          <w:trHeight w:val="255"/>
          <w:jc w:val="center"/>
        </w:trPr>
        <w:tc>
          <w:tcPr>
            <w:tcW w:w="4135" w:type="dxa"/>
            <w:shd w:val="clear" w:color="auto" w:fill="auto"/>
            <w:noWrap/>
            <w:vAlign w:val="bottom"/>
            <w:hideMark/>
          </w:tcPr>
          <w:p w14:paraId="69F797AD" w14:textId="77777777" w:rsidR="008A5924" w:rsidRPr="00184700" w:rsidRDefault="008A5924" w:rsidP="008A5924">
            <w:pPr>
              <w:rPr>
                <w:sz w:val="18"/>
                <w:lang w:eastAsia="es-GT"/>
              </w:rPr>
            </w:pPr>
            <w:r w:rsidRPr="00184700">
              <w:rPr>
                <w:sz w:val="18"/>
                <w:lang w:eastAsia="es-GT"/>
              </w:rPr>
              <w:t>Administración Legislativa</w:t>
            </w:r>
          </w:p>
        </w:tc>
        <w:tc>
          <w:tcPr>
            <w:tcW w:w="1080" w:type="dxa"/>
            <w:shd w:val="clear" w:color="auto" w:fill="auto"/>
            <w:noWrap/>
            <w:vAlign w:val="bottom"/>
            <w:hideMark/>
          </w:tcPr>
          <w:p w14:paraId="5A82A608" w14:textId="77777777" w:rsidR="008A5924" w:rsidRPr="00184700" w:rsidRDefault="008A5924" w:rsidP="008A5924">
            <w:pPr>
              <w:rPr>
                <w:sz w:val="18"/>
                <w:lang w:eastAsia="es-GT"/>
              </w:rPr>
            </w:pPr>
            <w:r w:rsidRPr="00184700">
              <w:rPr>
                <w:sz w:val="18"/>
                <w:lang w:eastAsia="es-GT"/>
              </w:rPr>
              <w:t xml:space="preserve">         2.09 </w:t>
            </w:r>
          </w:p>
        </w:tc>
        <w:tc>
          <w:tcPr>
            <w:tcW w:w="1060" w:type="dxa"/>
            <w:shd w:val="clear" w:color="auto" w:fill="auto"/>
            <w:noWrap/>
            <w:vAlign w:val="bottom"/>
            <w:hideMark/>
          </w:tcPr>
          <w:p w14:paraId="6128671B" w14:textId="77777777" w:rsidR="008A5924" w:rsidRPr="00184700" w:rsidRDefault="008A5924" w:rsidP="008A5924">
            <w:pPr>
              <w:jc w:val="right"/>
              <w:rPr>
                <w:sz w:val="18"/>
                <w:lang w:eastAsia="es-GT"/>
              </w:rPr>
            </w:pPr>
            <w:r w:rsidRPr="00184700">
              <w:rPr>
                <w:sz w:val="18"/>
                <w:lang w:eastAsia="es-GT"/>
              </w:rPr>
              <w:t>1.04%</w:t>
            </w:r>
          </w:p>
        </w:tc>
        <w:tc>
          <w:tcPr>
            <w:tcW w:w="1600" w:type="dxa"/>
            <w:shd w:val="clear" w:color="auto" w:fill="auto"/>
            <w:noWrap/>
            <w:vAlign w:val="bottom"/>
            <w:hideMark/>
          </w:tcPr>
          <w:p w14:paraId="66086DB8" w14:textId="77777777" w:rsidR="008A5924" w:rsidRPr="00184700" w:rsidRDefault="008A5924" w:rsidP="008A5924">
            <w:pPr>
              <w:jc w:val="right"/>
              <w:rPr>
                <w:sz w:val="18"/>
                <w:lang w:eastAsia="es-GT"/>
              </w:rPr>
            </w:pPr>
            <w:r w:rsidRPr="00184700">
              <w:rPr>
                <w:sz w:val="18"/>
                <w:lang w:eastAsia="es-GT"/>
              </w:rPr>
              <w:t>94.38%</w:t>
            </w:r>
          </w:p>
        </w:tc>
      </w:tr>
      <w:tr w:rsidR="008A5924" w:rsidRPr="00184700" w14:paraId="21275497" w14:textId="77777777" w:rsidTr="008A5924">
        <w:trPr>
          <w:trHeight w:val="255"/>
          <w:jc w:val="center"/>
        </w:trPr>
        <w:tc>
          <w:tcPr>
            <w:tcW w:w="4135" w:type="dxa"/>
            <w:shd w:val="clear" w:color="auto" w:fill="auto"/>
            <w:noWrap/>
            <w:vAlign w:val="bottom"/>
            <w:hideMark/>
          </w:tcPr>
          <w:p w14:paraId="2278EACA" w14:textId="77777777" w:rsidR="008A5924" w:rsidRPr="00184700" w:rsidRDefault="008A5924" w:rsidP="008A5924">
            <w:pPr>
              <w:rPr>
                <w:sz w:val="18"/>
                <w:lang w:eastAsia="es-GT"/>
              </w:rPr>
            </w:pPr>
            <w:r w:rsidRPr="00184700">
              <w:rPr>
                <w:sz w:val="18"/>
                <w:lang w:eastAsia="es-GT"/>
              </w:rPr>
              <w:t>Asuntos económicos y comerciales en general</w:t>
            </w:r>
          </w:p>
        </w:tc>
        <w:tc>
          <w:tcPr>
            <w:tcW w:w="1080" w:type="dxa"/>
            <w:shd w:val="clear" w:color="auto" w:fill="auto"/>
            <w:noWrap/>
            <w:vAlign w:val="bottom"/>
            <w:hideMark/>
          </w:tcPr>
          <w:p w14:paraId="13D40D98" w14:textId="77777777" w:rsidR="008A5924" w:rsidRPr="00184700" w:rsidRDefault="008A5924" w:rsidP="008A5924">
            <w:pPr>
              <w:rPr>
                <w:sz w:val="18"/>
                <w:lang w:eastAsia="es-GT"/>
              </w:rPr>
            </w:pPr>
            <w:r w:rsidRPr="00184700">
              <w:rPr>
                <w:sz w:val="18"/>
                <w:lang w:eastAsia="es-GT"/>
              </w:rPr>
              <w:t xml:space="preserve">         1.85 </w:t>
            </w:r>
          </w:p>
        </w:tc>
        <w:tc>
          <w:tcPr>
            <w:tcW w:w="1060" w:type="dxa"/>
            <w:shd w:val="clear" w:color="auto" w:fill="auto"/>
            <w:noWrap/>
            <w:vAlign w:val="bottom"/>
            <w:hideMark/>
          </w:tcPr>
          <w:p w14:paraId="491A3B43" w14:textId="77777777" w:rsidR="008A5924" w:rsidRPr="00184700" w:rsidRDefault="008A5924" w:rsidP="008A5924">
            <w:pPr>
              <w:jc w:val="right"/>
              <w:rPr>
                <w:sz w:val="18"/>
                <w:lang w:eastAsia="es-GT"/>
              </w:rPr>
            </w:pPr>
            <w:r w:rsidRPr="00184700">
              <w:rPr>
                <w:sz w:val="18"/>
                <w:lang w:eastAsia="es-GT"/>
              </w:rPr>
              <w:t>0.92%</w:t>
            </w:r>
          </w:p>
        </w:tc>
        <w:tc>
          <w:tcPr>
            <w:tcW w:w="1600" w:type="dxa"/>
            <w:shd w:val="clear" w:color="auto" w:fill="auto"/>
            <w:noWrap/>
            <w:vAlign w:val="bottom"/>
            <w:hideMark/>
          </w:tcPr>
          <w:p w14:paraId="0E605847" w14:textId="77777777" w:rsidR="008A5924" w:rsidRPr="00184700" w:rsidRDefault="008A5924" w:rsidP="008A5924">
            <w:pPr>
              <w:jc w:val="right"/>
              <w:rPr>
                <w:sz w:val="18"/>
                <w:lang w:eastAsia="es-GT"/>
              </w:rPr>
            </w:pPr>
            <w:r w:rsidRPr="00184700">
              <w:rPr>
                <w:sz w:val="18"/>
                <w:lang w:eastAsia="es-GT"/>
              </w:rPr>
              <w:t>95.30%</w:t>
            </w:r>
          </w:p>
        </w:tc>
      </w:tr>
    </w:tbl>
    <w:p w14:paraId="7CE4F28D" w14:textId="77777777" w:rsidR="008A5924" w:rsidRPr="00184700" w:rsidRDefault="003648F1" w:rsidP="008A5924">
      <w:pPr>
        <w:rPr>
          <w:sz w:val="14"/>
          <w:lang w:val="es-MX"/>
        </w:rPr>
      </w:pPr>
      <w:r>
        <w:rPr>
          <w:sz w:val="22"/>
          <w:lang w:val="es-MX"/>
        </w:rPr>
        <w:t xml:space="preserve">                  </w:t>
      </w:r>
      <w:r w:rsidR="00EC5B09" w:rsidRPr="003648F1">
        <w:rPr>
          <w:sz w:val="22"/>
          <w:lang w:val="es-MX"/>
        </w:rPr>
        <w:t xml:space="preserve"> </w:t>
      </w:r>
      <w:r w:rsidR="00662971" w:rsidRPr="00662971">
        <w:rPr>
          <w:b/>
          <w:sz w:val="18"/>
          <w:lang w:val="es-MX"/>
        </w:rPr>
        <w:t>Fuente</w:t>
      </w:r>
      <w:r w:rsidR="00662971" w:rsidRPr="00662971">
        <w:rPr>
          <w:sz w:val="18"/>
          <w:lang w:val="es-MX"/>
        </w:rPr>
        <w:t>:</w:t>
      </w:r>
      <w:r w:rsidR="00662971">
        <w:rPr>
          <w:sz w:val="18"/>
          <w:lang w:val="es-MX"/>
        </w:rPr>
        <w:t xml:space="preserve"> Sistema de Contabilidad Integrada</w:t>
      </w:r>
      <w:r w:rsidR="008A5924" w:rsidRPr="003648F1">
        <w:rPr>
          <w:sz w:val="18"/>
          <w:lang w:val="es-MX"/>
        </w:rPr>
        <w:t xml:space="preserve"> de los Gobiernos Locales –SICOIN-GL Ministerio de Finanzas Públicas</w:t>
      </w:r>
      <w:r w:rsidR="008A5924" w:rsidRPr="00184700">
        <w:rPr>
          <w:sz w:val="14"/>
          <w:lang w:val="es-MX"/>
        </w:rPr>
        <w:t>.</w:t>
      </w:r>
    </w:p>
    <w:p w14:paraId="763A1949" w14:textId="77777777" w:rsidR="008A5924" w:rsidRPr="00184700" w:rsidRDefault="008A5924" w:rsidP="008A5924">
      <w:pPr>
        <w:jc w:val="both"/>
        <w:rPr>
          <w:lang w:val="es-MX"/>
        </w:rPr>
      </w:pPr>
    </w:p>
    <w:p w14:paraId="2DE8EE58" w14:textId="77777777" w:rsidR="008A5924" w:rsidRPr="007B1CA6" w:rsidRDefault="008A5924" w:rsidP="00DD6292">
      <w:pPr>
        <w:pStyle w:val="Ttulo4"/>
        <w:widowControl/>
        <w:numPr>
          <w:ilvl w:val="3"/>
          <w:numId w:val="5"/>
        </w:numPr>
        <w:spacing w:before="240" w:after="60"/>
        <w:jc w:val="both"/>
        <w:rPr>
          <w:sz w:val="24"/>
          <w:szCs w:val="24"/>
        </w:rPr>
      </w:pPr>
      <w:bookmarkStart w:id="224" w:name="_Toc16519917"/>
      <w:r w:rsidRPr="007B1CA6">
        <w:rPr>
          <w:sz w:val="24"/>
          <w:szCs w:val="24"/>
        </w:rPr>
        <w:t>Descripción de las cuentas más representativas del gasto durante el periodo.</w:t>
      </w:r>
      <w:bookmarkEnd w:id="224"/>
    </w:p>
    <w:p w14:paraId="5C0C844D" w14:textId="77777777" w:rsidR="008A5924" w:rsidRPr="007B1CA6" w:rsidRDefault="008A5924" w:rsidP="008A5924">
      <w:pPr>
        <w:rPr>
          <w:sz w:val="24"/>
          <w:szCs w:val="24"/>
          <w:lang w:val="es-MX"/>
        </w:rPr>
      </w:pPr>
    </w:p>
    <w:bookmarkEnd w:id="131"/>
    <w:p w14:paraId="673C721C" w14:textId="77777777" w:rsidR="008A5924" w:rsidRPr="007B1CA6" w:rsidRDefault="008A5924" w:rsidP="00DD6292">
      <w:pPr>
        <w:pStyle w:val="Prrafodelista"/>
        <w:widowControl/>
        <w:numPr>
          <w:ilvl w:val="0"/>
          <w:numId w:val="15"/>
        </w:numPr>
        <w:spacing w:after="200" w:line="276" w:lineRule="auto"/>
        <w:jc w:val="both"/>
        <w:rPr>
          <w:sz w:val="24"/>
          <w:szCs w:val="24"/>
          <w:lang w:val="es-MX"/>
        </w:rPr>
      </w:pPr>
      <w:r w:rsidRPr="007B1CA6">
        <w:rPr>
          <w:sz w:val="24"/>
          <w:szCs w:val="24"/>
          <w:lang w:val="es-MX"/>
        </w:rPr>
        <w:t xml:space="preserve">Administración legislativa, ejecutiva y asuntos exteriores </w:t>
      </w:r>
    </w:p>
    <w:p w14:paraId="14F28AD8" w14:textId="77777777" w:rsidR="008A5924" w:rsidRPr="007B1CA6" w:rsidRDefault="008A5924" w:rsidP="008A5924">
      <w:pPr>
        <w:jc w:val="both"/>
        <w:rPr>
          <w:sz w:val="24"/>
          <w:szCs w:val="24"/>
          <w:lang w:val="es-MX"/>
        </w:rPr>
      </w:pPr>
      <w:r w:rsidRPr="007B1CA6">
        <w:rPr>
          <w:sz w:val="24"/>
          <w:szCs w:val="24"/>
          <w:lang w:val="es-MX"/>
        </w:rPr>
        <w:t>Ejecutiva (SC) Administración, gestión o apoyo del Organismo Ejecutivo. Incluye: Oficina del jefe ejecutivo en todos los niveles de gobierno (presidencia, vicepresidencia, alcaldías, etc.); personal asesor, administrativo y político adjunto a las oficinas de los jefes ejecutivos; bibliotecas y otros servicios de consulta que se hallan principalmente al servicio del Organismos Ejecutivo; elementos materiales a disposición del jefe ejecutivo, y sus ayudantes; comisiones y comités permanentes o ad hoc creados por el jefe ejecutivo, o en su nombre.</w:t>
      </w:r>
    </w:p>
    <w:p w14:paraId="37C53ECF" w14:textId="77777777" w:rsidR="008A5924" w:rsidRPr="007B1CA6" w:rsidRDefault="008A5924" w:rsidP="008A5924">
      <w:pPr>
        <w:jc w:val="both"/>
        <w:rPr>
          <w:sz w:val="24"/>
          <w:szCs w:val="24"/>
          <w:lang w:val="es-MX"/>
        </w:rPr>
      </w:pPr>
    </w:p>
    <w:p w14:paraId="250769D6" w14:textId="77777777" w:rsidR="008A5924" w:rsidRPr="007B1CA6" w:rsidRDefault="008A5924" w:rsidP="00DD6292">
      <w:pPr>
        <w:pStyle w:val="Prrafodelista"/>
        <w:widowControl/>
        <w:numPr>
          <w:ilvl w:val="0"/>
          <w:numId w:val="15"/>
        </w:numPr>
        <w:spacing w:after="200" w:line="276" w:lineRule="auto"/>
        <w:jc w:val="both"/>
        <w:rPr>
          <w:sz w:val="24"/>
          <w:szCs w:val="24"/>
          <w:lang w:val="es-MX"/>
        </w:rPr>
      </w:pPr>
      <w:r w:rsidRPr="007B1CA6">
        <w:rPr>
          <w:sz w:val="24"/>
          <w:szCs w:val="24"/>
          <w:lang w:val="es-MX"/>
        </w:rPr>
        <w:t>Transporte por carretera</w:t>
      </w:r>
    </w:p>
    <w:p w14:paraId="2873FA08" w14:textId="77777777" w:rsidR="008A5924" w:rsidRPr="007B1CA6" w:rsidRDefault="008A5924" w:rsidP="008A5924">
      <w:pPr>
        <w:jc w:val="both"/>
        <w:rPr>
          <w:sz w:val="24"/>
          <w:szCs w:val="24"/>
          <w:lang w:val="es-MX"/>
        </w:rPr>
      </w:pPr>
      <w:r w:rsidRPr="007B1CA6">
        <w:rPr>
          <w:sz w:val="24"/>
          <w:szCs w:val="24"/>
          <w:lang w:val="es-MX"/>
        </w:rPr>
        <w:t>Administración de asuntos y servicios relacionados con la explotación, la utilización, la construcción y el mantenimiento de sistemas e instalaciones de transporte por carretera (caminos, puentes, túneles, parques de estacionamiento, terminales de autobuses, etc.).</w:t>
      </w:r>
    </w:p>
    <w:p w14:paraId="044BBCBB" w14:textId="77777777" w:rsidR="008A5924" w:rsidRPr="007B1CA6" w:rsidRDefault="008A5924" w:rsidP="008A5924">
      <w:pPr>
        <w:jc w:val="both"/>
        <w:rPr>
          <w:sz w:val="24"/>
          <w:szCs w:val="24"/>
          <w:lang w:val="es-MX"/>
        </w:rPr>
      </w:pPr>
    </w:p>
    <w:p w14:paraId="689411C5" w14:textId="77777777" w:rsidR="008A5924" w:rsidRPr="007B1CA6" w:rsidRDefault="008A5924" w:rsidP="00DD6292">
      <w:pPr>
        <w:pStyle w:val="Prrafodelista"/>
        <w:widowControl/>
        <w:numPr>
          <w:ilvl w:val="0"/>
          <w:numId w:val="15"/>
        </w:numPr>
        <w:spacing w:after="200" w:line="276" w:lineRule="auto"/>
        <w:jc w:val="both"/>
        <w:rPr>
          <w:sz w:val="24"/>
          <w:szCs w:val="24"/>
          <w:lang w:val="es-MX"/>
        </w:rPr>
      </w:pPr>
      <w:r w:rsidRPr="007B1CA6">
        <w:rPr>
          <w:sz w:val="24"/>
          <w:szCs w:val="24"/>
          <w:lang w:val="es-MX"/>
        </w:rPr>
        <w:t>Desarrollo comunitario</w:t>
      </w:r>
    </w:p>
    <w:p w14:paraId="137AA97B" w14:textId="77777777" w:rsidR="008A5924" w:rsidRPr="007B1CA6" w:rsidRDefault="008A5924" w:rsidP="008A5924">
      <w:pPr>
        <w:jc w:val="both"/>
        <w:rPr>
          <w:sz w:val="24"/>
          <w:szCs w:val="24"/>
          <w:lang w:val="es-MX"/>
        </w:rPr>
      </w:pPr>
      <w:r w:rsidRPr="007B1CA6">
        <w:rPr>
          <w:sz w:val="24"/>
          <w:szCs w:val="24"/>
          <w:lang w:val="es-MX"/>
        </w:rPr>
        <w:t>Comprende la administración de los asuntos y servicios relacionados con el desarrollo comunitario; administración de las leyes de urbanismo y las normas de utilización de tierras y de construcción. Planificación de nuevas comunidades o de comunidades rehabilitadas; planificación de la creación o mejoras de los servicios de vivienda, industria, servicios públicos, salud, educación, cultura, esparcimiento, etc., para las comunidades; elaboración de planes de financiamiento de proyectos. Producción y difusión de información general, documentación técnica y estadística sobre asuntos y servicios relacionados con el desarrollo comunitario.</w:t>
      </w:r>
    </w:p>
    <w:p w14:paraId="63C49146" w14:textId="77777777" w:rsidR="008A5924" w:rsidRPr="007B1CA6" w:rsidRDefault="008A5924" w:rsidP="008A5924">
      <w:pPr>
        <w:jc w:val="both"/>
        <w:rPr>
          <w:sz w:val="24"/>
          <w:szCs w:val="24"/>
          <w:lang w:val="es-MX"/>
        </w:rPr>
      </w:pPr>
    </w:p>
    <w:p w14:paraId="0706101C" w14:textId="77777777" w:rsidR="008A5924" w:rsidRPr="007B1CA6" w:rsidRDefault="008A5924" w:rsidP="00DD6292">
      <w:pPr>
        <w:pStyle w:val="Prrafodelista"/>
        <w:widowControl/>
        <w:numPr>
          <w:ilvl w:val="0"/>
          <w:numId w:val="15"/>
        </w:numPr>
        <w:spacing w:after="200" w:line="276" w:lineRule="auto"/>
        <w:jc w:val="both"/>
        <w:rPr>
          <w:sz w:val="24"/>
          <w:szCs w:val="24"/>
          <w:lang w:val="es-MX"/>
        </w:rPr>
      </w:pPr>
      <w:r w:rsidRPr="007B1CA6">
        <w:rPr>
          <w:sz w:val="24"/>
          <w:szCs w:val="24"/>
          <w:lang w:val="es-MX"/>
        </w:rPr>
        <w:t>Servicios deportivos (SI)</w:t>
      </w:r>
    </w:p>
    <w:p w14:paraId="0EA4C84F" w14:textId="77777777" w:rsidR="008A5924" w:rsidRPr="007B1CA6" w:rsidRDefault="008A5924" w:rsidP="008A5924">
      <w:pPr>
        <w:jc w:val="both"/>
        <w:rPr>
          <w:sz w:val="24"/>
          <w:szCs w:val="24"/>
          <w:lang w:val="es-MX"/>
        </w:rPr>
      </w:pPr>
      <w:r w:rsidRPr="007B1CA6">
        <w:rPr>
          <w:sz w:val="24"/>
          <w:szCs w:val="24"/>
          <w:lang w:val="es-MX"/>
        </w:rPr>
        <w:t>Prestación y administración de servicios deportivos; supervisión y regulación de instalaciones deportivas. Gestión o apoyo de instalaciones para la práctica deportiva o los acontecimientos relacionados con deportes activos (campos de deportes, canchas de tenis, canchas de squash, pistas de atletismo, campos de golf, cuadriláteros de boxeo, pista de patinaje, gimnasios, etc.); gestión o apoyo de instalaciones para la práctica deportiva o los acontecimientos relacionados con los deportes pasivos (principalmente, lugares especiales para jugar a las cartas y a los juegos de mesa, etc.); y, apoyo a equipos o a jugadores o competidores individuales. Incluye: Instalaciones para espectadores; la facilitación de la representación del equipo nacional, regional o local en acontecimientos deportivos.</w:t>
      </w:r>
    </w:p>
    <w:p w14:paraId="62A532C6" w14:textId="77777777" w:rsidR="008A5924" w:rsidRPr="007B1CA6" w:rsidRDefault="008A5924" w:rsidP="008A5924">
      <w:pPr>
        <w:jc w:val="both"/>
        <w:rPr>
          <w:sz w:val="24"/>
          <w:szCs w:val="24"/>
          <w:lang w:val="es-MX"/>
        </w:rPr>
      </w:pPr>
      <w:r w:rsidRPr="007B1CA6">
        <w:rPr>
          <w:sz w:val="24"/>
          <w:szCs w:val="24"/>
          <w:lang w:val="es-MX"/>
        </w:rPr>
        <w:t>Aun cuando de acuerdo con el Diagnóstico de Finanzas Públicas Municipales</w:t>
      </w:r>
      <w:r w:rsidRPr="007B1CA6">
        <w:rPr>
          <w:rStyle w:val="Refdenotaalpie"/>
          <w:sz w:val="24"/>
          <w:szCs w:val="24"/>
        </w:rPr>
        <w:footnoteReference w:id="17"/>
      </w:r>
      <w:r w:rsidRPr="007B1CA6">
        <w:rPr>
          <w:sz w:val="24"/>
          <w:szCs w:val="24"/>
        </w:rPr>
        <w:t xml:space="preserve">, </w:t>
      </w:r>
      <w:r w:rsidRPr="007B1CA6">
        <w:rPr>
          <w:sz w:val="24"/>
          <w:szCs w:val="24"/>
          <w:lang w:val="es-MX"/>
        </w:rPr>
        <w:t xml:space="preserve">realizado al municipio por FLACSO en 2015, el porcentaje de la totalidad del gasto de inversión en relación al gasto </w:t>
      </w:r>
      <w:r w:rsidR="008B4420" w:rsidRPr="007B1CA6">
        <w:rPr>
          <w:sz w:val="24"/>
          <w:szCs w:val="24"/>
          <w:lang w:val="es-MX"/>
        </w:rPr>
        <w:t>total alcanza en promedio el 68 por ciento</w:t>
      </w:r>
      <w:r w:rsidRPr="007B1CA6">
        <w:rPr>
          <w:sz w:val="24"/>
          <w:szCs w:val="24"/>
          <w:lang w:val="es-MX"/>
        </w:rPr>
        <w:t>, lo que implica que el nivel de recursos que el municipio destina a la inversión le permite proporcionar mayores satisfactores de las necesidades del municipio.  Con la información disponible, no es posible determinar a detalle la existencia de asignaciones presupuestarias destinadas a proyectos de infraestructura productiva o bien hacia el fomento de actividades para la diversificación económica del municipio.</w:t>
      </w:r>
    </w:p>
    <w:p w14:paraId="7699B8FB" w14:textId="77777777" w:rsidR="008A5924" w:rsidRPr="007B1CA6" w:rsidRDefault="008A5924" w:rsidP="008A5924">
      <w:pPr>
        <w:jc w:val="both"/>
        <w:rPr>
          <w:sz w:val="24"/>
          <w:szCs w:val="24"/>
          <w:lang w:val="es-MX"/>
        </w:rPr>
      </w:pPr>
    </w:p>
    <w:p w14:paraId="025A7A56" w14:textId="77777777" w:rsidR="008A5924" w:rsidRPr="007B1CA6" w:rsidRDefault="008A5924" w:rsidP="008A5924">
      <w:pPr>
        <w:jc w:val="both"/>
        <w:rPr>
          <w:sz w:val="24"/>
          <w:szCs w:val="24"/>
          <w:lang w:val="es-MX"/>
        </w:rPr>
      </w:pPr>
      <w:r w:rsidRPr="007B1CA6">
        <w:rPr>
          <w:sz w:val="24"/>
          <w:szCs w:val="24"/>
          <w:lang w:val="es-MX"/>
        </w:rPr>
        <w:t>Este caso, considerado emblemático en función de la permanente conflictividad que los proyectos mineros han representado</w:t>
      </w:r>
      <w:r w:rsidRPr="00184700">
        <w:rPr>
          <w:lang w:val="es-MX"/>
        </w:rPr>
        <w:t xml:space="preserve"> </w:t>
      </w:r>
      <w:r w:rsidRPr="007B1CA6">
        <w:rPr>
          <w:sz w:val="24"/>
          <w:szCs w:val="24"/>
          <w:lang w:val="es-MX"/>
        </w:rPr>
        <w:t xml:space="preserve">desde su inicio, devela las debilidades institucionales y técnicas que afrontan los gobiernos locales.  De allí que resulte imperioso en pro del fortalecimiento de las finanzas municipales, la implementación de un plan de recaudación que le permita mejorar sus ingresos </w:t>
      </w:r>
      <w:r w:rsidR="00662971">
        <w:rPr>
          <w:sz w:val="24"/>
          <w:szCs w:val="24"/>
          <w:lang w:val="es-MX"/>
        </w:rPr>
        <w:t>y disminuir la dependencia del S</w:t>
      </w:r>
      <w:r w:rsidRPr="007B1CA6">
        <w:rPr>
          <w:sz w:val="24"/>
          <w:szCs w:val="24"/>
          <w:lang w:val="es-MX"/>
        </w:rPr>
        <w:t>ituado Constitucional y de los aportes de la minería.</w:t>
      </w:r>
    </w:p>
    <w:p w14:paraId="6413E02D" w14:textId="77777777" w:rsidR="008A5924" w:rsidRPr="007B1CA6" w:rsidRDefault="008A5924" w:rsidP="008A5924">
      <w:pPr>
        <w:rPr>
          <w:sz w:val="24"/>
          <w:szCs w:val="24"/>
          <w:lang w:val="es-MX"/>
        </w:rPr>
      </w:pPr>
    </w:p>
    <w:p w14:paraId="698BFB42" w14:textId="77777777" w:rsidR="008A5924" w:rsidRPr="007B1CA6" w:rsidRDefault="008A5924" w:rsidP="008A5924">
      <w:pPr>
        <w:jc w:val="both"/>
        <w:rPr>
          <w:sz w:val="24"/>
          <w:szCs w:val="24"/>
          <w:lang w:val="es-MX"/>
        </w:rPr>
      </w:pPr>
      <w:r w:rsidRPr="007B1CA6">
        <w:rPr>
          <w:sz w:val="24"/>
          <w:szCs w:val="24"/>
          <w:lang w:val="es-MX"/>
        </w:rPr>
        <w:t>Durante el periodo 2014-2018, la Municipalidad de San Rafael las Flores, destinó la ejecución de su gasto (ingresos provenientes de todas las fuentes) hacia las siguientes funciones.</w:t>
      </w:r>
    </w:p>
    <w:p w14:paraId="3A330CD0" w14:textId="77777777" w:rsidR="008B4420" w:rsidRPr="007B1CA6" w:rsidRDefault="008B4420" w:rsidP="008A5924">
      <w:pPr>
        <w:jc w:val="both"/>
        <w:rPr>
          <w:sz w:val="24"/>
          <w:szCs w:val="24"/>
          <w:lang w:val="es-MX"/>
        </w:rPr>
      </w:pPr>
    </w:p>
    <w:p w14:paraId="537F4860" w14:textId="06F7C23A" w:rsidR="008A5924" w:rsidRPr="00184700" w:rsidRDefault="008A5924" w:rsidP="008A5924">
      <w:pPr>
        <w:pStyle w:val="Descripcin"/>
        <w:rPr>
          <w:sz w:val="16"/>
          <w:lang w:val="es-MX"/>
        </w:rPr>
      </w:pPr>
      <w:bookmarkStart w:id="225" w:name="_Toc16242961"/>
      <w:r w:rsidRPr="007B1CA6">
        <w:rPr>
          <w:color w:val="000000" w:themeColor="text1"/>
        </w:rPr>
        <w:t xml:space="preserve">Cuadro  </w:t>
      </w:r>
      <w:r w:rsidRPr="007B1CA6">
        <w:rPr>
          <w:color w:val="000000" w:themeColor="text1"/>
        </w:rPr>
        <w:fldChar w:fldCharType="begin"/>
      </w:r>
      <w:r w:rsidRPr="007B1CA6">
        <w:rPr>
          <w:color w:val="000000" w:themeColor="text1"/>
        </w:rPr>
        <w:instrText xml:space="preserve"> SEQ Cuadro_ \* ARABIC </w:instrText>
      </w:r>
      <w:r w:rsidRPr="007B1CA6">
        <w:rPr>
          <w:color w:val="000000" w:themeColor="text1"/>
        </w:rPr>
        <w:fldChar w:fldCharType="separate"/>
      </w:r>
      <w:r w:rsidR="004B2A60">
        <w:rPr>
          <w:noProof/>
          <w:color w:val="000000" w:themeColor="text1"/>
        </w:rPr>
        <w:t>11</w:t>
      </w:r>
      <w:r w:rsidRPr="007B1CA6">
        <w:rPr>
          <w:noProof/>
          <w:color w:val="000000" w:themeColor="text1"/>
        </w:rPr>
        <w:fldChar w:fldCharType="end"/>
      </w:r>
      <w:r w:rsidRPr="007B1CA6">
        <w:rPr>
          <w:color w:val="000000" w:themeColor="text1"/>
        </w:rPr>
        <w:t xml:space="preserve"> Gasto municipal por función</w:t>
      </w:r>
      <w:bookmarkEnd w:id="225"/>
      <w:r w:rsidRPr="00184700">
        <w:t xml:space="preserve"> </w:t>
      </w:r>
    </w:p>
    <w:p w14:paraId="55086949" w14:textId="77777777" w:rsidR="008A5924" w:rsidRPr="00184700" w:rsidRDefault="008A5924" w:rsidP="008A5924">
      <w:pPr>
        <w:jc w:val="center"/>
        <w:rPr>
          <w:sz w:val="16"/>
          <w:lang w:val="es-MX"/>
        </w:rPr>
      </w:pPr>
      <w:r w:rsidRPr="00184700">
        <w:rPr>
          <w:sz w:val="16"/>
          <w:lang w:val="es-MX"/>
        </w:rPr>
        <w:t>San Rafael las Flores, Departamento de Santa Rosa, Periodo 2014 – 2018</w:t>
      </w:r>
    </w:p>
    <w:p w14:paraId="3EBBEA44" w14:textId="77777777" w:rsidR="008A5924" w:rsidRDefault="008A5924" w:rsidP="008A5924">
      <w:pPr>
        <w:jc w:val="center"/>
        <w:rPr>
          <w:sz w:val="16"/>
          <w:lang w:val="es-MX"/>
        </w:rPr>
      </w:pPr>
      <w:r w:rsidRPr="00184700">
        <w:rPr>
          <w:sz w:val="16"/>
          <w:lang w:val="es-MX"/>
        </w:rPr>
        <w:t>Cifras en millones de quetzales y porcentajes</w:t>
      </w:r>
    </w:p>
    <w:p w14:paraId="4A16F6E3" w14:textId="77777777" w:rsidR="00056555" w:rsidRDefault="00056555" w:rsidP="008A5924">
      <w:pPr>
        <w:jc w:val="center"/>
        <w:rPr>
          <w:sz w:val="16"/>
          <w:lang w:val="es-MX"/>
        </w:rPr>
      </w:pPr>
    </w:p>
    <w:tbl>
      <w:tblPr>
        <w:tblW w:w="8809" w:type="dxa"/>
        <w:jc w:val="center"/>
        <w:tblCellMar>
          <w:left w:w="70" w:type="dxa"/>
          <w:right w:w="70" w:type="dxa"/>
        </w:tblCellMar>
        <w:tblLook w:val="04A0" w:firstRow="1" w:lastRow="0" w:firstColumn="1" w:lastColumn="0" w:noHBand="0" w:noVBand="1"/>
      </w:tblPr>
      <w:tblGrid>
        <w:gridCol w:w="5139"/>
        <w:gridCol w:w="1346"/>
        <w:gridCol w:w="926"/>
        <w:gridCol w:w="1398"/>
      </w:tblGrid>
      <w:tr w:rsidR="008A5924" w:rsidRPr="00184700" w14:paraId="77F11DE0" w14:textId="77777777" w:rsidTr="00EC5B09">
        <w:trPr>
          <w:trHeight w:val="253"/>
          <w:jc w:val="center"/>
        </w:trPr>
        <w:tc>
          <w:tcPr>
            <w:tcW w:w="513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6E0A478A" w14:textId="77777777" w:rsidR="008A5924" w:rsidRPr="00184700" w:rsidRDefault="008A5924" w:rsidP="008A5924">
            <w:pPr>
              <w:jc w:val="center"/>
              <w:rPr>
                <w:b/>
                <w:bCs/>
                <w:sz w:val="18"/>
                <w:szCs w:val="18"/>
                <w:lang w:eastAsia="es-GT"/>
              </w:rPr>
            </w:pPr>
            <w:r w:rsidRPr="00184700">
              <w:rPr>
                <w:b/>
                <w:bCs/>
                <w:sz w:val="18"/>
                <w:szCs w:val="18"/>
                <w:lang w:eastAsia="es-GT"/>
              </w:rPr>
              <w:t xml:space="preserve">Función </w:t>
            </w:r>
          </w:p>
        </w:tc>
        <w:tc>
          <w:tcPr>
            <w:tcW w:w="1346" w:type="dxa"/>
            <w:tcBorders>
              <w:top w:val="single" w:sz="4" w:space="0" w:color="auto"/>
              <w:left w:val="nil"/>
              <w:bottom w:val="single" w:sz="4" w:space="0" w:color="auto"/>
              <w:right w:val="single" w:sz="4" w:space="0" w:color="auto"/>
            </w:tcBorders>
            <w:shd w:val="clear" w:color="000000" w:fill="8DB4E2"/>
            <w:noWrap/>
            <w:vAlign w:val="center"/>
            <w:hideMark/>
          </w:tcPr>
          <w:p w14:paraId="1B677A9D" w14:textId="77777777" w:rsidR="008A5924" w:rsidRPr="00184700" w:rsidRDefault="008A5924" w:rsidP="008A5924">
            <w:pPr>
              <w:jc w:val="center"/>
              <w:rPr>
                <w:b/>
                <w:bCs/>
                <w:sz w:val="18"/>
                <w:szCs w:val="18"/>
                <w:lang w:eastAsia="es-GT"/>
              </w:rPr>
            </w:pPr>
            <w:r w:rsidRPr="00184700">
              <w:rPr>
                <w:b/>
                <w:bCs/>
                <w:sz w:val="18"/>
                <w:szCs w:val="18"/>
                <w:lang w:eastAsia="es-GT"/>
              </w:rPr>
              <w:t>Millones</w:t>
            </w:r>
          </w:p>
        </w:tc>
        <w:tc>
          <w:tcPr>
            <w:tcW w:w="926" w:type="dxa"/>
            <w:tcBorders>
              <w:top w:val="single" w:sz="4" w:space="0" w:color="auto"/>
              <w:left w:val="nil"/>
              <w:bottom w:val="single" w:sz="4" w:space="0" w:color="auto"/>
              <w:right w:val="single" w:sz="4" w:space="0" w:color="auto"/>
            </w:tcBorders>
            <w:shd w:val="clear" w:color="000000" w:fill="8DB4E2"/>
            <w:noWrap/>
            <w:vAlign w:val="center"/>
            <w:hideMark/>
          </w:tcPr>
          <w:p w14:paraId="6BD787B7" w14:textId="77777777" w:rsidR="008A5924" w:rsidRPr="00184700" w:rsidRDefault="008A5924" w:rsidP="008A5924">
            <w:pPr>
              <w:jc w:val="center"/>
              <w:rPr>
                <w:b/>
                <w:bCs/>
                <w:sz w:val="18"/>
                <w:szCs w:val="18"/>
                <w:lang w:eastAsia="es-GT"/>
              </w:rPr>
            </w:pPr>
            <w:r w:rsidRPr="00184700">
              <w:rPr>
                <w:b/>
                <w:bCs/>
                <w:sz w:val="18"/>
                <w:szCs w:val="18"/>
                <w:lang w:eastAsia="es-GT"/>
              </w:rPr>
              <w:t>%</w:t>
            </w:r>
          </w:p>
        </w:tc>
        <w:tc>
          <w:tcPr>
            <w:tcW w:w="1398" w:type="dxa"/>
            <w:tcBorders>
              <w:top w:val="single" w:sz="4" w:space="0" w:color="auto"/>
              <w:left w:val="nil"/>
              <w:bottom w:val="single" w:sz="4" w:space="0" w:color="auto"/>
              <w:right w:val="single" w:sz="4" w:space="0" w:color="auto"/>
            </w:tcBorders>
            <w:shd w:val="clear" w:color="000000" w:fill="8DB4E2"/>
            <w:noWrap/>
            <w:vAlign w:val="center"/>
            <w:hideMark/>
          </w:tcPr>
          <w:p w14:paraId="467E578A" w14:textId="77777777" w:rsidR="008A5924" w:rsidRPr="00184700" w:rsidRDefault="008A5924" w:rsidP="008A5924">
            <w:pPr>
              <w:jc w:val="center"/>
              <w:rPr>
                <w:b/>
                <w:bCs/>
                <w:sz w:val="18"/>
                <w:szCs w:val="18"/>
                <w:lang w:eastAsia="es-GT"/>
              </w:rPr>
            </w:pPr>
            <w:r w:rsidRPr="00184700">
              <w:rPr>
                <w:b/>
                <w:bCs/>
                <w:sz w:val="18"/>
                <w:szCs w:val="18"/>
                <w:lang w:eastAsia="es-GT"/>
              </w:rPr>
              <w:t xml:space="preserve">% acumulado </w:t>
            </w:r>
          </w:p>
        </w:tc>
      </w:tr>
      <w:tr w:rsidR="008A5924" w:rsidRPr="00184700" w14:paraId="353B762F"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781404EC" w14:textId="77777777" w:rsidR="008A5924" w:rsidRPr="00184700" w:rsidRDefault="008A5924" w:rsidP="008A5924">
            <w:pPr>
              <w:rPr>
                <w:sz w:val="18"/>
                <w:szCs w:val="18"/>
                <w:lang w:eastAsia="es-GT"/>
              </w:rPr>
            </w:pPr>
            <w:r w:rsidRPr="00184700">
              <w:rPr>
                <w:sz w:val="18"/>
                <w:szCs w:val="18"/>
                <w:lang w:eastAsia="es-GT"/>
              </w:rPr>
              <w:t>Administración Ejecutiva</w:t>
            </w:r>
          </w:p>
        </w:tc>
        <w:tc>
          <w:tcPr>
            <w:tcW w:w="1346" w:type="dxa"/>
            <w:tcBorders>
              <w:top w:val="nil"/>
              <w:left w:val="nil"/>
              <w:bottom w:val="single" w:sz="4" w:space="0" w:color="auto"/>
              <w:right w:val="single" w:sz="4" w:space="0" w:color="auto"/>
            </w:tcBorders>
            <w:shd w:val="clear" w:color="auto" w:fill="auto"/>
            <w:noWrap/>
            <w:vAlign w:val="bottom"/>
            <w:hideMark/>
          </w:tcPr>
          <w:p w14:paraId="330DB6F7" w14:textId="77777777" w:rsidR="008A5924" w:rsidRPr="00184700" w:rsidRDefault="008A5924" w:rsidP="008A5924">
            <w:pPr>
              <w:rPr>
                <w:sz w:val="18"/>
                <w:szCs w:val="18"/>
                <w:lang w:eastAsia="es-GT"/>
              </w:rPr>
            </w:pPr>
            <w:r w:rsidRPr="00184700">
              <w:rPr>
                <w:sz w:val="18"/>
                <w:szCs w:val="18"/>
                <w:lang w:eastAsia="es-GT"/>
              </w:rPr>
              <w:t xml:space="preserve">               29.63 </w:t>
            </w:r>
          </w:p>
        </w:tc>
        <w:tc>
          <w:tcPr>
            <w:tcW w:w="926" w:type="dxa"/>
            <w:tcBorders>
              <w:top w:val="nil"/>
              <w:left w:val="nil"/>
              <w:bottom w:val="single" w:sz="4" w:space="0" w:color="auto"/>
              <w:right w:val="single" w:sz="4" w:space="0" w:color="auto"/>
            </w:tcBorders>
            <w:shd w:val="clear" w:color="auto" w:fill="auto"/>
            <w:noWrap/>
            <w:vAlign w:val="bottom"/>
            <w:hideMark/>
          </w:tcPr>
          <w:p w14:paraId="3030E47E" w14:textId="77777777" w:rsidR="008A5924" w:rsidRPr="00184700" w:rsidRDefault="008A5924" w:rsidP="008A5924">
            <w:pPr>
              <w:jc w:val="right"/>
              <w:rPr>
                <w:sz w:val="18"/>
                <w:szCs w:val="18"/>
                <w:lang w:eastAsia="es-GT"/>
              </w:rPr>
            </w:pPr>
            <w:r w:rsidRPr="00184700">
              <w:rPr>
                <w:sz w:val="18"/>
                <w:szCs w:val="18"/>
                <w:lang w:eastAsia="es-GT"/>
              </w:rPr>
              <w:t>34.44%</w:t>
            </w:r>
          </w:p>
        </w:tc>
        <w:tc>
          <w:tcPr>
            <w:tcW w:w="1398" w:type="dxa"/>
            <w:tcBorders>
              <w:top w:val="nil"/>
              <w:left w:val="nil"/>
              <w:bottom w:val="single" w:sz="4" w:space="0" w:color="auto"/>
              <w:right w:val="single" w:sz="4" w:space="0" w:color="auto"/>
            </w:tcBorders>
            <w:shd w:val="clear" w:color="auto" w:fill="auto"/>
            <w:noWrap/>
            <w:vAlign w:val="bottom"/>
            <w:hideMark/>
          </w:tcPr>
          <w:p w14:paraId="5EBA898B" w14:textId="77777777" w:rsidR="008A5924" w:rsidRPr="00184700" w:rsidRDefault="008A5924" w:rsidP="008A5924">
            <w:pPr>
              <w:jc w:val="right"/>
              <w:rPr>
                <w:sz w:val="18"/>
                <w:szCs w:val="18"/>
                <w:lang w:eastAsia="es-GT"/>
              </w:rPr>
            </w:pPr>
            <w:r w:rsidRPr="00184700">
              <w:rPr>
                <w:sz w:val="18"/>
                <w:szCs w:val="18"/>
                <w:lang w:eastAsia="es-GT"/>
              </w:rPr>
              <w:t>34.44%</w:t>
            </w:r>
          </w:p>
        </w:tc>
      </w:tr>
      <w:tr w:rsidR="008A5924" w:rsidRPr="00184700" w14:paraId="47BAD211"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4531B700" w14:textId="77777777" w:rsidR="008A5924" w:rsidRPr="00184700" w:rsidRDefault="008A5924" w:rsidP="008A5924">
            <w:pPr>
              <w:rPr>
                <w:sz w:val="18"/>
                <w:szCs w:val="18"/>
                <w:lang w:eastAsia="es-GT"/>
              </w:rPr>
            </w:pPr>
            <w:r w:rsidRPr="00184700">
              <w:rPr>
                <w:sz w:val="18"/>
                <w:szCs w:val="18"/>
                <w:lang w:eastAsia="es-GT"/>
              </w:rPr>
              <w:t>Protección ambiental n.c.d</w:t>
            </w:r>
          </w:p>
        </w:tc>
        <w:tc>
          <w:tcPr>
            <w:tcW w:w="1346" w:type="dxa"/>
            <w:tcBorders>
              <w:top w:val="nil"/>
              <w:left w:val="nil"/>
              <w:bottom w:val="single" w:sz="4" w:space="0" w:color="auto"/>
              <w:right w:val="single" w:sz="4" w:space="0" w:color="auto"/>
            </w:tcBorders>
            <w:shd w:val="clear" w:color="auto" w:fill="auto"/>
            <w:noWrap/>
            <w:vAlign w:val="bottom"/>
            <w:hideMark/>
          </w:tcPr>
          <w:p w14:paraId="1F46513F" w14:textId="77777777" w:rsidR="008A5924" w:rsidRPr="00184700" w:rsidRDefault="008A5924" w:rsidP="008A5924">
            <w:pPr>
              <w:rPr>
                <w:sz w:val="18"/>
                <w:szCs w:val="18"/>
                <w:lang w:eastAsia="es-GT"/>
              </w:rPr>
            </w:pPr>
            <w:r w:rsidRPr="00184700">
              <w:rPr>
                <w:sz w:val="18"/>
                <w:szCs w:val="18"/>
                <w:lang w:eastAsia="es-GT"/>
              </w:rPr>
              <w:t xml:space="preserve">               11.96 </w:t>
            </w:r>
          </w:p>
        </w:tc>
        <w:tc>
          <w:tcPr>
            <w:tcW w:w="926" w:type="dxa"/>
            <w:tcBorders>
              <w:top w:val="nil"/>
              <w:left w:val="nil"/>
              <w:bottom w:val="single" w:sz="4" w:space="0" w:color="auto"/>
              <w:right w:val="single" w:sz="4" w:space="0" w:color="auto"/>
            </w:tcBorders>
            <w:shd w:val="clear" w:color="auto" w:fill="auto"/>
            <w:noWrap/>
            <w:vAlign w:val="bottom"/>
            <w:hideMark/>
          </w:tcPr>
          <w:p w14:paraId="67A793FC" w14:textId="77777777" w:rsidR="008A5924" w:rsidRPr="00184700" w:rsidRDefault="008A5924" w:rsidP="008A5924">
            <w:pPr>
              <w:jc w:val="right"/>
              <w:rPr>
                <w:sz w:val="18"/>
                <w:szCs w:val="18"/>
                <w:lang w:eastAsia="es-GT"/>
              </w:rPr>
            </w:pPr>
            <w:r w:rsidRPr="00184700">
              <w:rPr>
                <w:sz w:val="18"/>
                <w:szCs w:val="18"/>
                <w:lang w:eastAsia="es-GT"/>
              </w:rPr>
              <w:t>13.89%</w:t>
            </w:r>
          </w:p>
        </w:tc>
        <w:tc>
          <w:tcPr>
            <w:tcW w:w="1398" w:type="dxa"/>
            <w:tcBorders>
              <w:top w:val="nil"/>
              <w:left w:val="nil"/>
              <w:bottom w:val="single" w:sz="4" w:space="0" w:color="auto"/>
              <w:right w:val="single" w:sz="4" w:space="0" w:color="auto"/>
            </w:tcBorders>
            <w:shd w:val="clear" w:color="auto" w:fill="auto"/>
            <w:noWrap/>
            <w:vAlign w:val="bottom"/>
            <w:hideMark/>
          </w:tcPr>
          <w:p w14:paraId="22E509EF" w14:textId="77777777" w:rsidR="008A5924" w:rsidRPr="00184700" w:rsidRDefault="008A5924" w:rsidP="008A5924">
            <w:pPr>
              <w:jc w:val="right"/>
              <w:rPr>
                <w:sz w:val="18"/>
                <w:szCs w:val="18"/>
                <w:lang w:eastAsia="es-GT"/>
              </w:rPr>
            </w:pPr>
            <w:r w:rsidRPr="00184700">
              <w:rPr>
                <w:sz w:val="18"/>
                <w:szCs w:val="18"/>
                <w:lang w:eastAsia="es-GT"/>
              </w:rPr>
              <w:t>48.33%</w:t>
            </w:r>
          </w:p>
        </w:tc>
      </w:tr>
      <w:tr w:rsidR="008A5924" w:rsidRPr="00184700" w14:paraId="672F7157"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6519B183" w14:textId="77777777" w:rsidR="008A5924" w:rsidRPr="00184700" w:rsidRDefault="008A5924" w:rsidP="008A5924">
            <w:pPr>
              <w:rPr>
                <w:sz w:val="18"/>
                <w:szCs w:val="18"/>
                <w:lang w:eastAsia="es-GT"/>
              </w:rPr>
            </w:pPr>
            <w:r w:rsidRPr="00184700">
              <w:rPr>
                <w:sz w:val="18"/>
                <w:szCs w:val="18"/>
                <w:lang w:eastAsia="es-GT"/>
              </w:rPr>
              <w:t>Transporte por carretera</w:t>
            </w:r>
          </w:p>
        </w:tc>
        <w:tc>
          <w:tcPr>
            <w:tcW w:w="1346" w:type="dxa"/>
            <w:tcBorders>
              <w:top w:val="nil"/>
              <w:left w:val="nil"/>
              <w:bottom w:val="single" w:sz="4" w:space="0" w:color="auto"/>
              <w:right w:val="single" w:sz="4" w:space="0" w:color="auto"/>
            </w:tcBorders>
            <w:shd w:val="clear" w:color="auto" w:fill="auto"/>
            <w:noWrap/>
            <w:vAlign w:val="bottom"/>
            <w:hideMark/>
          </w:tcPr>
          <w:p w14:paraId="25BBD88A" w14:textId="77777777" w:rsidR="008A5924" w:rsidRPr="00184700" w:rsidRDefault="008A5924" w:rsidP="008A5924">
            <w:pPr>
              <w:rPr>
                <w:sz w:val="18"/>
                <w:szCs w:val="18"/>
                <w:lang w:eastAsia="es-GT"/>
              </w:rPr>
            </w:pPr>
            <w:r w:rsidRPr="00184700">
              <w:rPr>
                <w:sz w:val="18"/>
                <w:szCs w:val="18"/>
                <w:lang w:eastAsia="es-GT"/>
              </w:rPr>
              <w:t xml:space="preserve">               10.34 </w:t>
            </w:r>
          </w:p>
        </w:tc>
        <w:tc>
          <w:tcPr>
            <w:tcW w:w="926" w:type="dxa"/>
            <w:tcBorders>
              <w:top w:val="nil"/>
              <w:left w:val="nil"/>
              <w:bottom w:val="single" w:sz="4" w:space="0" w:color="auto"/>
              <w:right w:val="single" w:sz="4" w:space="0" w:color="auto"/>
            </w:tcBorders>
            <w:shd w:val="clear" w:color="auto" w:fill="auto"/>
            <w:noWrap/>
            <w:vAlign w:val="bottom"/>
            <w:hideMark/>
          </w:tcPr>
          <w:p w14:paraId="326EF9D4" w14:textId="77777777" w:rsidR="008A5924" w:rsidRPr="00184700" w:rsidRDefault="008A5924" w:rsidP="008A5924">
            <w:pPr>
              <w:jc w:val="right"/>
              <w:rPr>
                <w:sz w:val="18"/>
                <w:szCs w:val="18"/>
                <w:lang w:eastAsia="es-GT"/>
              </w:rPr>
            </w:pPr>
            <w:r w:rsidRPr="00184700">
              <w:rPr>
                <w:sz w:val="18"/>
                <w:szCs w:val="18"/>
                <w:lang w:eastAsia="es-GT"/>
              </w:rPr>
              <w:t>12.02%</w:t>
            </w:r>
          </w:p>
        </w:tc>
        <w:tc>
          <w:tcPr>
            <w:tcW w:w="1398" w:type="dxa"/>
            <w:tcBorders>
              <w:top w:val="nil"/>
              <w:left w:val="nil"/>
              <w:bottom w:val="single" w:sz="4" w:space="0" w:color="auto"/>
              <w:right w:val="single" w:sz="4" w:space="0" w:color="auto"/>
            </w:tcBorders>
            <w:shd w:val="clear" w:color="auto" w:fill="auto"/>
            <w:noWrap/>
            <w:vAlign w:val="bottom"/>
            <w:hideMark/>
          </w:tcPr>
          <w:p w14:paraId="66730FBB" w14:textId="77777777" w:rsidR="008A5924" w:rsidRPr="00184700" w:rsidRDefault="008A5924" w:rsidP="008A5924">
            <w:pPr>
              <w:jc w:val="right"/>
              <w:rPr>
                <w:sz w:val="18"/>
                <w:szCs w:val="18"/>
                <w:lang w:eastAsia="es-GT"/>
              </w:rPr>
            </w:pPr>
            <w:r w:rsidRPr="00184700">
              <w:rPr>
                <w:sz w:val="18"/>
                <w:szCs w:val="18"/>
                <w:lang w:eastAsia="es-GT"/>
              </w:rPr>
              <w:t>60.35%</w:t>
            </w:r>
          </w:p>
        </w:tc>
      </w:tr>
      <w:tr w:rsidR="008A5924" w:rsidRPr="00184700" w14:paraId="1083A024"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221C12D7" w14:textId="77777777" w:rsidR="008A5924" w:rsidRPr="00184700" w:rsidRDefault="008A5924" w:rsidP="008A5924">
            <w:pPr>
              <w:rPr>
                <w:sz w:val="18"/>
                <w:szCs w:val="18"/>
                <w:lang w:eastAsia="es-GT"/>
              </w:rPr>
            </w:pPr>
            <w:r w:rsidRPr="00184700">
              <w:rPr>
                <w:sz w:val="18"/>
                <w:szCs w:val="18"/>
                <w:lang w:eastAsia="es-GT"/>
              </w:rPr>
              <w:t>Actividades deportivas, recreativas, cultura y religión n.c.d. (SC)</w:t>
            </w:r>
          </w:p>
        </w:tc>
        <w:tc>
          <w:tcPr>
            <w:tcW w:w="1346" w:type="dxa"/>
            <w:tcBorders>
              <w:top w:val="nil"/>
              <w:left w:val="nil"/>
              <w:bottom w:val="single" w:sz="4" w:space="0" w:color="auto"/>
              <w:right w:val="single" w:sz="4" w:space="0" w:color="auto"/>
            </w:tcBorders>
            <w:shd w:val="clear" w:color="auto" w:fill="auto"/>
            <w:noWrap/>
            <w:vAlign w:val="bottom"/>
            <w:hideMark/>
          </w:tcPr>
          <w:p w14:paraId="2A0B7BBA" w14:textId="77777777" w:rsidR="008A5924" w:rsidRPr="00184700" w:rsidRDefault="008A5924" w:rsidP="008A5924">
            <w:pPr>
              <w:rPr>
                <w:sz w:val="18"/>
                <w:szCs w:val="18"/>
                <w:lang w:eastAsia="es-GT"/>
              </w:rPr>
            </w:pPr>
            <w:r w:rsidRPr="00184700">
              <w:rPr>
                <w:sz w:val="18"/>
                <w:szCs w:val="18"/>
                <w:lang w:eastAsia="es-GT"/>
              </w:rPr>
              <w:t xml:space="preserve">                 7.01 </w:t>
            </w:r>
          </w:p>
        </w:tc>
        <w:tc>
          <w:tcPr>
            <w:tcW w:w="926" w:type="dxa"/>
            <w:tcBorders>
              <w:top w:val="nil"/>
              <w:left w:val="nil"/>
              <w:bottom w:val="single" w:sz="4" w:space="0" w:color="auto"/>
              <w:right w:val="single" w:sz="4" w:space="0" w:color="auto"/>
            </w:tcBorders>
            <w:shd w:val="clear" w:color="auto" w:fill="auto"/>
            <w:noWrap/>
            <w:vAlign w:val="bottom"/>
            <w:hideMark/>
          </w:tcPr>
          <w:p w14:paraId="15965C33" w14:textId="77777777" w:rsidR="008A5924" w:rsidRPr="00184700" w:rsidRDefault="008A5924" w:rsidP="008A5924">
            <w:pPr>
              <w:jc w:val="right"/>
              <w:rPr>
                <w:sz w:val="18"/>
                <w:szCs w:val="18"/>
                <w:lang w:eastAsia="es-GT"/>
              </w:rPr>
            </w:pPr>
            <w:r w:rsidRPr="00184700">
              <w:rPr>
                <w:sz w:val="18"/>
                <w:szCs w:val="18"/>
                <w:lang w:eastAsia="es-GT"/>
              </w:rPr>
              <w:t>8.15%</w:t>
            </w:r>
          </w:p>
        </w:tc>
        <w:tc>
          <w:tcPr>
            <w:tcW w:w="1398" w:type="dxa"/>
            <w:tcBorders>
              <w:top w:val="nil"/>
              <w:left w:val="nil"/>
              <w:bottom w:val="single" w:sz="4" w:space="0" w:color="auto"/>
              <w:right w:val="single" w:sz="4" w:space="0" w:color="auto"/>
            </w:tcBorders>
            <w:shd w:val="clear" w:color="auto" w:fill="auto"/>
            <w:noWrap/>
            <w:vAlign w:val="bottom"/>
            <w:hideMark/>
          </w:tcPr>
          <w:p w14:paraId="445BCAE6" w14:textId="77777777" w:rsidR="008A5924" w:rsidRPr="00184700" w:rsidRDefault="008A5924" w:rsidP="008A5924">
            <w:pPr>
              <w:jc w:val="right"/>
              <w:rPr>
                <w:sz w:val="18"/>
                <w:szCs w:val="18"/>
                <w:lang w:eastAsia="es-GT"/>
              </w:rPr>
            </w:pPr>
            <w:r w:rsidRPr="00184700">
              <w:rPr>
                <w:sz w:val="18"/>
                <w:szCs w:val="18"/>
                <w:lang w:eastAsia="es-GT"/>
              </w:rPr>
              <w:t>68.49%</w:t>
            </w:r>
          </w:p>
        </w:tc>
      </w:tr>
      <w:tr w:rsidR="008A5924" w:rsidRPr="00184700" w14:paraId="44040A8E"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24A33C9A" w14:textId="77777777" w:rsidR="008A5924" w:rsidRPr="00184700" w:rsidRDefault="008A5924" w:rsidP="008A5924">
            <w:pPr>
              <w:rPr>
                <w:sz w:val="18"/>
                <w:szCs w:val="18"/>
                <w:lang w:eastAsia="es-GT"/>
              </w:rPr>
            </w:pPr>
            <w:r w:rsidRPr="00184700">
              <w:rPr>
                <w:sz w:val="18"/>
                <w:szCs w:val="18"/>
                <w:lang w:eastAsia="es-GT"/>
              </w:rPr>
              <w:t>Salud n.c.d</w:t>
            </w:r>
          </w:p>
        </w:tc>
        <w:tc>
          <w:tcPr>
            <w:tcW w:w="1346" w:type="dxa"/>
            <w:tcBorders>
              <w:top w:val="nil"/>
              <w:left w:val="nil"/>
              <w:bottom w:val="single" w:sz="4" w:space="0" w:color="auto"/>
              <w:right w:val="single" w:sz="4" w:space="0" w:color="auto"/>
            </w:tcBorders>
            <w:shd w:val="clear" w:color="auto" w:fill="auto"/>
            <w:noWrap/>
            <w:vAlign w:val="bottom"/>
            <w:hideMark/>
          </w:tcPr>
          <w:p w14:paraId="2558AA47" w14:textId="77777777" w:rsidR="008A5924" w:rsidRPr="00184700" w:rsidRDefault="008A5924" w:rsidP="008A5924">
            <w:pPr>
              <w:rPr>
                <w:sz w:val="18"/>
                <w:szCs w:val="18"/>
                <w:lang w:eastAsia="es-GT"/>
              </w:rPr>
            </w:pPr>
            <w:r w:rsidRPr="00184700">
              <w:rPr>
                <w:sz w:val="18"/>
                <w:szCs w:val="18"/>
                <w:lang w:eastAsia="es-GT"/>
              </w:rPr>
              <w:t xml:space="preserve">                 5.69 </w:t>
            </w:r>
          </w:p>
        </w:tc>
        <w:tc>
          <w:tcPr>
            <w:tcW w:w="926" w:type="dxa"/>
            <w:tcBorders>
              <w:top w:val="nil"/>
              <w:left w:val="nil"/>
              <w:bottom w:val="single" w:sz="4" w:space="0" w:color="auto"/>
              <w:right w:val="single" w:sz="4" w:space="0" w:color="auto"/>
            </w:tcBorders>
            <w:shd w:val="clear" w:color="auto" w:fill="auto"/>
            <w:noWrap/>
            <w:vAlign w:val="bottom"/>
            <w:hideMark/>
          </w:tcPr>
          <w:p w14:paraId="55892076" w14:textId="77777777" w:rsidR="008A5924" w:rsidRPr="00184700" w:rsidRDefault="008A5924" w:rsidP="008A5924">
            <w:pPr>
              <w:jc w:val="right"/>
              <w:rPr>
                <w:sz w:val="18"/>
                <w:szCs w:val="18"/>
                <w:lang w:eastAsia="es-GT"/>
              </w:rPr>
            </w:pPr>
            <w:r w:rsidRPr="00184700">
              <w:rPr>
                <w:sz w:val="18"/>
                <w:szCs w:val="18"/>
                <w:lang w:eastAsia="es-GT"/>
              </w:rPr>
              <w:t>6.61%</w:t>
            </w:r>
          </w:p>
        </w:tc>
        <w:tc>
          <w:tcPr>
            <w:tcW w:w="1398" w:type="dxa"/>
            <w:tcBorders>
              <w:top w:val="nil"/>
              <w:left w:val="nil"/>
              <w:bottom w:val="single" w:sz="4" w:space="0" w:color="auto"/>
              <w:right w:val="single" w:sz="4" w:space="0" w:color="auto"/>
            </w:tcBorders>
            <w:shd w:val="clear" w:color="auto" w:fill="auto"/>
            <w:noWrap/>
            <w:vAlign w:val="bottom"/>
            <w:hideMark/>
          </w:tcPr>
          <w:p w14:paraId="08AF3154" w14:textId="77777777" w:rsidR="008A5924" w:rsidRPr="00184700" w:rsidRDefault="008A5924" w:rsidP="008A5924">
            <w:pPr>
              <w:jc w:val="right"/>
              <w:rPr>
                <w:sz w:val="18"/>
                <w:szCs w:val="18"/>
                <w:lang w:eastAsia="es-GT"/>
              </w:rPr>
            </w:pPr>
            <w:r w:rsidRPr="00184700">
              <w:rPr>
                <w:sz w:val="18"/>
                <w:szCs w:val="18"/>
                <w:lang w:eastAsia="es-GT"/>
              </w:rPr>
              <w:t>75.10%</w:t>
            </w:r>
          </w:p>
        </w:tc>
      </w:tr>
      <w:tr w:rsidR="008A5924" w:rsidRPr="00184700" w14:paraId="025C63B0"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6A15B569" w14:textId="77777777" w:rsidR="008A5924" w:rsidRPr="00184700" w:rsidRDefault="008A5924" w:rsidP="008A5924">
            <w:pPr>
              <w:rPr>
                <w:sz w:val="18"/>
                <w:szCs w:val="18"/>
                <w:lang w:eastAsia="es-GT"/>
              </w:rPr>
            </w:pPr>
            <w:r w:rsidRPr="00184700">
              <w:rPr>
                <w:sz w:val="18"/>
                <w:szCs w:val="18"/>
                <w:lang w:eastAsia="es-GT"/>
              </w:rPr>
              <w:t>Educación primaria</w:t>
            </w:r>
          </w:p>
        </w:tc>
        <w:tc>
          <w:tcPr>
            <w:tcW w:w="1346" w:type="dxa"/>
            <w:tcBorders>
              <w:top w:val="nil"/>
              <w:left w:val="nil"/>
              <w:bottom w:val="single" w:sz="4" w:space="0" w:color="auto"/>
              <w:right w:val="single" w:sz="4" w:space="0" w:color="auto"/>
            </w:tcBorders>
            <w:shd w:val="clear" w:color="auto" w:fill="auto"/>
            <w:noWrap/>
            <w:vAlign w:val="bottom"/>
            <w:hideMark/>
          </w:tcPr>
          <w:p w14:paraId="5DDD7674" w14:textId="77777777" w:rsidR="008A5924" w:rsidRPr="00184700" w:rsidRDefault="008A5924" w:rsidP="008A5924">
            <w:pPr>
              <w:rPr>
                <w:sz w:val="18"/>
                <w:szCs w:val="18"/>
                <w:lang w:eastAsia="es-GT"/>
              </w:rPr>
            </w:pPr>
            <w:r w:rsidRPr="00184700">
              <w:rPr>
                <w:sz w:val="18"/>
                <w:szCs w:val="18"/>
                <w:lang w:eastAsia="es-GT"/>
              </w:rPr>
              <w:t xml:space="preserve">                 5.32 </w:t>
            </w:r>
          </w:p>
        </w:tc>
        <w:tc>
          <w:tcPr>
            <w:tcW w:w="926" w:type="dxa"/>
            <w:tcBorders>
              <w:top w:val="nil"/>
              <w:left w:val="nil"/>
              <w:bottom w:val="single" w:sz="4" w:space="0" w:color="auto"/>
              <w:right w:val="single" w:sz="4" w:space="0" w:color="auto"/>
            </w:tcBorders>
            <w:shd w:val="clear" w:color="auto" w:fill="auto"/>
            <w:noWrap/>
            <w:vAlign w:val="bottom"/>
            <w:hideMark/>
          </w:tcPr>
          <w:p w14:paraId="14161CE8" w14:textId="77777777" w:rsidR="008A5924" w:rsidRPr="00184700" w:rsidRDefault="008A5924" w:rsidP="008A5924">
            <w:pPr>
              <w:jc w:val="right"/>
              <w:rPr>
                <w:sz w:val="18"/>
                <w:szCs w:val="18"/>
                <w:lang w:eastAsia="es-GT"/>
              </w:rPr>
            </w:pPr>
            <w:r w:rsidRPr="00184700">
              <w:rPr>
                <w:sz w:val="18"/>
                <w:szCs w:val="18"/>
                <w:lang w:eastAsia="es-GT"/>
              </w:rPr>
              <w:t>6.18%</w:t>
            </w:r>
          </w:p>
        </w:tc>
        <w:tc>
          <w:tcPr>
            <w:tcW w:w="1398" w:type="dxa"/>
            <w:tcBorders>
              <w:top w:val="nil"/>
              <w:left w:val="nil"/>
              <w:bottom w:val="single" w:sz="4" w:space="0" w:color="auto"/>
              <w:right w:val="single" w:sz="4" w:space="0" w:color="auto"/>
            </w:tcBorders>
            <w:shd w:val="clear" w:color="auto" w:fill="auto"/>
            <w:noWrap/>
            <w:vAlign w:val="bottom"/>
            <w:hideMark/>
          </w:tcPr>
          <w:p w14:paraId="2F5F9ED0" w14:textId="77777777" w:rsidR="008A5924" w:rsidRPr="00184700" w:rsidRDefault="008A5924" w:rsidP="008A5924">
            <w:pPr>
              <w:jc w:val="right"/>
              <w:rPr>
                <w:sz w:val="18"/>
                <w:szCs w:val="18"/>
                <w:lang w:eastAsia="es-GT"/>
              </w:rPr>
            </w:pPr>
            <w:r w:rsidRPr="00184700">
              <w:rPr>
                <w:sz w:val="18"/>
                <w:szCs w:val="18"/>
                <w:lang w:eastAsia="es-GT"/>
              </w:rPr>
              <w:t>81.29%</w:t>
            </w:r>
          </w:p>
        </w:tc>
      </w:tr>
      <w:tr w:rsidR="008A5924" w:rsidRPr="00184700" w14:paraId="3019186E"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2D690D69" w14:textId="77777777" w:rsidR="008A5924" w:rsidRPr="00184700" w:rsidRDefault="008A5924" w:rsidP="008A5924">
            <w:pPr>
              <w:rPr>
                <w:sz w:val="18"/>
                <w:szCs w:val="18"/>
                <w:lang w:eastAsia="es-GT"/>
              </w:rPr>
            </w:pPr>
            <w:r w:rsidRPr="00184700">
              <w:rPr>
                <w:sz w:val="18"/>
                <w:szCs w:val="18"/>
                <w:lang w:eastAsia="es-GT"/>
              </w:rPr>
              <w:t>Asuntos económicos n.c.d</w:t>
            </w:r>
          </w:p>
        </w:tc>
        <w:tc>
          <w:tcPr>
            <w:tcW w:w="1346" w:type="dxa"/>
            <w:tcBorders>
              <w:top w:val="nil"/>
              <w:left w:val="nil"/>
              <w:bottom w:val="single" w:sz="4" w:space="0" w:color="auto"/>
              <w:right w:val="single" w:sz="4" w:space="0" w:color="auto"/>
            </w:tcBorders>
            <w:shd w:val="clear" w:color="auto" w:fill="auto"/>
            <w:noWrap/>
            <w:vAlign w:val="bottom"/>
            <w:hideMark/>
          </w:tcPr>
          <w:p w14:paraId="32345103" w14:textId="77777777" w:rsidR="008A5924" w:rsidRPr="00184700" w:rsidRDefault="008A5924" w:rsidP="008A5924">
            <w:pPr>
              <w:rPr>
                <w:sz w:val="18"/>
                <w:szCs w:val="18"/>
                <w:lang w:eastAsia="es-GT"/>
              </w:rPr>
            </w:pPr>
            <w:r w:rsidRPr="00184700">
              <w:rPr>
                <w:sz w:val="18"/>
                <w:szCs w:val="18"/>
                <w:lang w:eastAsia="es-GT"/>
              </w:rPr>
              <w:t xml:space="preserve">                 4.13 </w:t>
            </w:r>
          </w:p>
        </w:tc>
        <w:tc>
          <w:tcPr>
            <w:tcW w:w="926" w:type="dxa"/>
            <w:tcBorders>
              <w:top w:val="nil"/>
              <w:left w:val="nil"/>
              <w:bottom w:val="single" w:sz="4" w:space="0" w:color="auto"/>
              <w:right w:val="single" w:sz="4" w:space="0" w:color="auto"/>
            </w:tcBorders>
            <w:shd w:val="clear" w:color="auto" w:fill="auto"/>
            <w:noWrap/>
            <w:vAlign w:val="bottom"/>
            <w:hideMark/>
          </w:tcPr>
          <w:p w14:paraId="1C149EBB" w14:textId="77777777" w:rsidR="008A5924" w:rsidRPr="00184700" w:rsidRDefault="008A5924" w:rsidP="008A5924">
            <w:pPr>
              <w:jc w:val="right"/>
              <w:rPr>
                <w:sz w:val="18"/>
                <w:szCs w:val="18"/>
                <w:lang w:eastAsia="es-GT"/>
              </w:rPr>
            </w:pPr>
            <w:r w:rsidRPr="00184700">
              <w:rPr>
                <w:sz w:val="18"/>
                <w:szCs w:val="18"/>
                <w:lang w:eastAsia="es-GT"/>
              </w:rPr>
              <w:t>4.80%</w:t>
            </w:r>
          </w:p>
        </w:tc>
        <w:tc>
          <w:tcPr>
            <w:tcW w:w="1398" w:type="dxa"/>
            <w:tcBorders>
              <w:top w:val="nil"/>
              <w:left w:val="nil"/>
              <w:bottom w:val="single" w:sz="4" w:space="0" w:color="auto"/>
              <w:right w:val="single" w:sz="4" w:space="0" w:color="auto"/>
            </w:tcBorders>
            <w:shd w:val="clear" w:color="auto" w:fill="auto"/>
            <w:noWrap/>
            <w:vAlign w:val="bottom"/>
            <w:hideMark/>
          </w:tcPr>
          <w:p w14:paraId="5E1A4014" w14:textId="77777777" w:rsidR="008A5924" w:rsidRPr="00184700" w:rsidRDefault="008A5924" w:rsidP="008A5924">
            <w:pPr>
              <w:jc w:val="right"/>
              <w:rPr>
                <w:sz w:val="18"/>
                <w:szCs w:val="18"/>
                <w:lang w:eastAsia="es-GT"/>
              </w:rPr>
            </w:pPr>
            <w:r w:rsidRPr="00184700">
              <w:rPr>
                <w:sz w:val="18"/>
                <w:szCs w:val="18"/>
                <w:lang w:eastAsia="es-GT"/>
              </w:rPr>
              <w:t>86.09%</w:t>
            </w:r>
          </w:p>
        </w:tc>
      </w:tr>
      <w:tr w:rsidR="008A5924" w:rsidRPr="00184700" w14:paraId="32C9C3D9"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4DCB13A5" w14:textId="77777777" w:rsidR="008A5924" w:rsidRPr="00184700" w:rsidRDefault="008A5924" w:rsidP="008A5924">
            <w:pPr>
              <w:rPr>
                <w:sz w:val="18"/>
                <w:szCs w:val="18"/>
                <w:lang w:eastAsia="es-GT"/>
              </w:rPr>
            </w:pPr>
            <w:r w:rsidRPr="00184700">
              <w:rPr>
                <w:sz w:val="18"/>
                <w:szCs w:val="18"/>
                <w:lang w:eastAsia="es-GT"/>
              </w:rPr>
              <w:t>Educación n.c.d</w:t>
            </w:r>
          </w:p>
        </w:tc>
        <w:tc>
          <w:tcPr>
            <w:tcW w:w="1346" w:type="dxa"/>
            <w:tcBorders>
              <w:top w:val="nil"/>
              <w:left w:val="nil"/>
              <w:bottom w:val="single" w:sz="4" w:space="0" w:color="auto"/>
              <w:right w:val="single" w:sz="4" w:space="0" w:color="auto"/>
            </w:tcBorders>
            <w:shd w:val="clear" w:color="auto" w:fill="auto"/>
            <w:noWrap/>
            <w:vAlign w:val="bottom"/>
            <w:hideMark/>
          </w:tcPr>
          <w:p w14:paraId="02BD7910" w14:textId="77777777" w:rsidR="008A5924" w:rsidRPr="00184700" w:rsidRDefault="008A5924" w:rsidP="008A5924">
            <w:pPr>
              <w:rPr>
                <w:sz w:val="18"/>
                <w:szCs w:val="18"/>
                <w:lang w:eastAsia="es-GT"/>
              </w:rPr>
            </w:pPr>
            <w:r w:rsidRPr="00184700">
              <w:rPr>
                <w:sz w:val="18"/>
                <w:szCs w:val="18"/>
                <w:lang w:eastAsia="es-GT"/>
              </w:rPr>
              <w:t xml:space="preserve">                 2.80 </w:t>
            </w:r>
          </w:p>
        </w:tc>
        <w:tc>
          <w:tcPr>
            <w:tcW w:w="926" w:type="dxa"/>
            <w:tcBorders>
              <w:top w:val="nil"/>
              <w:left w:val="nil"/>
              <w:bottom w:val="single" w:sz="4" w:space="0" w:color="auto"/>
              <w:right w:val="single" w:sz="4" w:space="0" w:color="auto"/>
            </w:tcBorders>
            <w:shd w:val="clear" w:color="auto" w:fill="auto"/>
            <w:noWrap/>
            <w:vAlign w:val="bottom"/>
            <w:hideMark/>
          </w:tcPr>
          <w:p w14:paraId="39D9FF4E" w14:textId="77777777" w:rsidR="008A5924" w:rsidRPr="00184700" w:rsidRDefault="008A5924" w:rsidP="008A5924">
            <w:pPr>
              <w:jc w:val="right"/>
              <w:rPr>
                <w:sz w:val="18"/>
                <w:szCs w:val="18"/>
                <w:lang w:eastAsia="es-GT"/>
              </w:rPr>
            </w:pPr>
            <w:r w:rsidRPr="00184700">
              <w:rPr>
                <w:sz w:val="18"/>
                <w:szCs w:val="18"/>
                <w:lang w:eastAsia="es-GT"/>
              </w:rPr>
              <w:t>3.26%</w:t>
            </w:r>
          </w:p>
        </w:tc>
        <w:tc>
          <w:tcPr>
            <w:tcW w:w="1398" w:type="dxa"/>
            <w:tcBorders>
              <w:top w:val="nil"/>
              <w:left w:val="nil"/>
              <w:bottom w:val="single" w:sz="4" w:space="0" w:color="auto"/>
              <w:right w:val="single" w:sz="4" w:space="0" w:color="auto"/>
            </w:tcBorders>
            <w:shd w:val="clear" w:color="auto" w:fill="auto"/>
            <w:noWrap/>
            <w:vAlign w:val="bottom"/>
            <w:hideMark/>
          </w:tcPr>
          <w:p w14:paraId="7B24186B" w14:textId="77777777" w:rsidR="008A5924" w:rsidRPr="00184700" w:rsidRDefault="008A5924" w:rsidP="008A5924">
            <w:pPr>
              <w:jc w:val="right"/>
              <w:rPr>
                <w:sz w:val="18"/>
                <w:szCs w:val="18"/>
                <w:lang w:eastAsia="es-GT"/>
              </w:rPr>
            </w:pPr>
            <w:r w:rsidRPr="00184700">
              <w:rPr>
                <w:sz w:val="18"/>
                <w:szCs w:val="18"/>
                <w:lang w:eastAsia="es-GT"/>
              </w:rPr>
              <w:t>89.35%</w:t>
            </w:r>
          </w:p>
        </w:tc>
      </w:tr>
      <w:tr w:rsidR="008A5924" w:rsidRPr="00184700" w14:paraId="12586151"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016B22CB" w14:textId="77777777" w:rsidR="008A5924" w:rsidRPr="00184700" w:rsidRDefault="008A5924" w:rsidP="008A5924">
            <w:pPr>
              <w:rPr>
                <w:sz w:val="18"/>
                <w:szCs w:val="18"/>
                <w:lang w:eastAsia="es-GT"/>
              </w:rPr>
            </w:pPr>
            <w:r w:rsidRPr="00184700">
              <w:rPr>
                <w:sz w:val="18"/>
                <w:szCs w:val="18"/>
                <w:lang w:eastAsia="es-GT"/>
              </w:rPr>
              <w:t>Servicios públicos generales n.c.d</w:t>
            </w:r>
          </w:p>
        </w:tc>
        <w:tc>
          <w:tcPr>
            <w:tcW w:w="1346" w:type="dxa"/>
            <w:tcBorders>
              <w:top w:val="nil"/>
              <w:left w:val="nil"/>
              <w:bottom w:val="single" w:sz="4" w:space="0" w:color="auto"/>
              <w:right w:val="single" w:sz="4" w:space="0" w:color="auto"/>
            </w:tcBorders>
            <w:shd w:val="clear" w:color="auto" w:fill="auto"/>
            <w:noWrap/>
            <w:vAlign w:val="bottom"/>
            <w:hideMark/>
          </w:tcPr>
          <w:p w14:paraId="062279C0" w14:textId="77777777" w:rsidR="008A5924" w:rsidRPr="00184700" w:rsidRDefault="008A5924" w:rsidP="008A5924">
            <w:pPr>
              <w:rPr>
                <w:sz w:val="18"/>
                <w:szCs w:val="18"/>
                <w:lang w:eastAsia="es-GT"/>
              </w:rPr>
            </w:pPr>
            <w:r w:rsidRPr="00184700">
              <w:rPr>
                <w:sz w:val="18"/>
                <w:szCs w:val="18"/>
                <w:lang w:eastAsia="es-GT"/>
              </w:rPr>
              <w:t xml:space="preserve">                 2.03 </w:t>
            </w:r>
          </w:p>
        </w:tc>
        <w:tc>
          <w:tcPr>
            <w:tcW w:w="926" w:type="dxa"/>
            <w:tcBorders>
              <w:top w:val="nil"/>
              <w:left w:val="nil"/>
              <w:bottom w:val="single" w:sz="4" w:space="0" w:color="auto"/>
              <w:right w:val="single" w:sz="4" w:space="0" w:color="auto"/>
            </w:tcBorders>
            <w:shd w:val="clear" w:color="auto" w:fill="auto"/>
            <w:noWrap/>
            <w:vAlign w:val="bottom"/>
            <w:hideMark/>
          </w:tcPr>
          <w:p w14:paraId="73A57079" w14:textId="77777777" w:rsidR="008A5924" w:rsidRPr="00184700" w:rsidRDefault="008A5924" w:rsidP="008A5924">
            <w:pPr>
              <w:jc w:val="right"/>
              <w:rPr>
                <w:sz w:val="18"/>
                <w:szCs w:val="18"/>
                <w:lang w:eastAsia="es-GT"/>
              </w:rPr>
            </w:pPr>
            <w:r w:rsidRPr="00184700">
              <w:rPr>
                <w:sz w:val="18"/>
                <w:szCs w:val="18"/>
                <w:lang w:eastAsia="es-GT"/>
              </w:rPr>
              <w:t>2.36%</w:t>
            </w:r>
          </w:p>
        </w:tc>
        <w:tc>
          <w:tcPr>
            <w:tcW w:w="1398" w:type="dxa"/>
            <w:tcBorders>
              <w:top w:val="nil"/>
              <w:left w:val="nil"/>
              <w:bottom w:val="single" w:sz="4" w:space="0" w:color="auto"/>
              <w:right w:val="single" w:sz="4" w:space="0" w:color="auto"/>
            </w:tcBorders>
            <w:shd w:val="clear" w:color="auto" w:fill="auto"/>
            <w:noWrap/>
            <w:vAlign w:val="bottom"/>
            <w:hideMark/>
          </w:tcPr>
          <w:p w14:paraId="2CD8C05C" w14:textId="77777777" w:rsidR="008A5924" w:rsidRPr="00184700" w:rsidRDefault="008A5924" w:rsidP="008A5924">
            <w:pPr>
              <w:jc w:val="right"/>
              <w:rPr>
                <w:sz w:val="18"/>
                <w:szCs w:val="18"/>
                <w:lang w:eastAsia="es-GT"/>
              </w:rPr>
            </w:pPr>
            <w:r w:rsidRPr="00184700">
              <w:rPr>
                <w:sz w:val="18"/>
                <w:szCs w:val="18"/>
                <w:lang w:eastAsia="es-GT"/>
              </w:rPr>
              <w:t>91.70%</w:t>
            </w:r>
          </w:p>
        </w:tc>
      </w:tr>
      <w:tr w:rsidR="008A5924" w:rsidRPr="00184700" w14:paraId="623C4276"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639A165F" w14:textId="77777777" w:rsidR="008A5924" w:rsidRPr="00184700" w:rsidRDefault="008A5924" w:rsidP="008A5924">
            <w:pPr>
              <w:rPr>
                <w:sz w:val="18"/>
                <w:szCs w:val="18"/>
                <w:lang w:eastAsia="es-GT"/>
              </w:rPr>
            </w:pPr>
            <w:r w:rsidRPr="00184700">
              <w:rPr>
                <w:sz w:val="18"/>
                <w:szCs w:val="18"/>
                <w:lang w:eastAsia="es-GT"/>
              </w:rPr>
              <w:t>Educación básica</w:t>
            </w:r>
          </w:p>
        </w:tc>
        <w:tc>
          <w:tcPr>
            <w:tcW w:w="1346" w:type="dxa"/>
            <w:tcBorders>
              <w:top w:val="nil"/>
              <w:left w:val="nil"/>
              <w:bottom w:val="single" w:sz="4" w:space="0" w:color="auto"/>
              <w:right w:val="single" w:sz="4" w:space="0" w:color="auto"/>
            </w:tcBorders>
            <w:shd w:val="clear" w:color="auto" w:fill="auto"/>
            <w:noWrap/>
            <w:vAlign w:val="bottom"/>
            <w:hideMark/>
          </w:tcPr>
          <w:p w14:paraId="29593253" w14:textId="77777777" w:rsidR="008A5924" w:rsidRPr="00184700" w:rsidRDefault="008A5924" w:rsidP="008A5924">
            <w:pPr>
              <w:rPr>
                <w:sz w:val="18"/>
                <w:szCs w:val="18"/>
                <w:lang w:eastAsia="es-GT"/>
              </w:rPr>
            </w:pPr>
            <w:r w:rsidRPr="00184700">
              <w:rPr>
                <w:sz w:val="18"/>
                <w:szCs w:val="18"/>
                <w:lang w:eastAsia="es-GT"/>
              </w:rPr>
              <w:t xml:space="preserve">                 1.67 </w:t>
            </w:r>
          </w:p>
        </w:tc>
        <w:tc>
          <w:tcPr>
            <w:tcW w:w="926" w:type="dxa"/>
            <w:tcBorders>
              <w:top w:val="nil"/>
              <w:left w:val="nil"/>
              <w:bottom w:val="single" w:sz="4" w:space="0" w:color="auto"/>
              <w:right w:val="single" w:sz="4" w:space="0" w:color="auto"/>
            </w:tcBorders>
            <w:shd w:val="clear" w:color="auto" w:fill="auto"/>
            <w:noWrap/>
            <w:vAlign w:val="bottom"/>
            <w:hideMark/>
          </w:tcPr>
          <w:p w14:paraId="5DEC5EA3" w14:textId="77777777" w:rsidR="008A5924" w:rsidRPr="00184700" w:rsidRDefault="008A5924" w:rsidP="008A5924">
            <w:pPr>
              <w:jc w:val="right"/>
              <w:rPr>
                <w:sz w:val="18"/>
                <w:szCs w:val="18"/>
                <w:lang w:eastAsia="es-GT"/>
              </w:rPr>
            </w:pPr>
            <w:r w:rsidRPr="00184700">
              <w:rPr>
                <w:sz w:val="18"/>
                <w:szCs w:val="18"/>
                <w:lang w:eastAsia="es-GT"/>
              </w:rPr>
              <w:t>1.94%</w:t>
            </w:r>
          </w:p>
        </w:tc>
        <w:tc>
          <w:tcPr>
            <w:tcW w:w="1398" w:type="dxa"/>
            <w:tcBorders>
              <w:top w:val="nil"/>
              <w:left w:val="nil"/>
              <w:bottom w:val="single" w:sz="4" w:space="0" w:color="auto"/>
              <w:right w:val="single" w:sz="4" w:space="0" w:color="auto"/>
            </w:tcBorders>
            <w:shd w:val="clear" w:color="auto" w:fill="auto"/>
            <w:noWrap/>
            <w:vAlign w:val="bottom"/>
            <w:hideMark/>
          </w:tcPr>
          <w:p w14:paraId="4FF76DCD" w14:textId="77777777" w:rsidR="008A5924" w:rsidRPr="00184700" w:rsidRDefault="008A5924" w:rsidP="008A5924">
            <w:pPr>
              <w:jc w:val="right"/>
              <w:rPr>
                <w:sz w:val="18"/>
                <w:szCs w:val="18"/>
                <w:lang w:eastAsia="es-GT"/>
              </w:rPr>
            </w:pPr>
            <w:r w:rsidRPr="00184700">
              <w:rPr>
                <w:sz w:val="18"/>
                <w:szCs w:val="18"/>
                <w:lang w:eastAsia="es-GT"/>
              </w:rPr>
              <w:t>93.64%</w:t>
            </w:r>
          </w:p>
        </w:tc>
      </w:tr>
      <w:tr w:rsidR="008A5924" w:rsidRPr="00184700" w14:paraId="22AD9029"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3CCEA5C6" w14:textId="77777777" w:rsidR="008A5924" w:rsidRPr="00184700" w:rsidRDefault="008A5924" w:rsidP="008A5924">
            <w:pPr>
              <w:rPr>
                <w:sz w:val="18"/>
                <w:szCs w:val="18"/>
                <w:lang w:eastAsia="es-GT"/>
              </w:rPr>
            </w:pPr>
            <w:r w:rsidRPr="00184700">
              <w:rPr>
                <w:sz w:val="18"/>
                <w:szCs w:val="18"/>
                <w:lang w:eastAsia="es-GT"/>
              </w:rPr>
              <w:t>Legislativa</w:t>
            </w:r>
          </w:p>
        </w:tc>
        <w:tc>
          <w:tcPr>
            <w:tcW w:w="1346" w:type="dxa"/>
            <w:tcBorders>
              <w:top w:val="nil"/>
              <w:left w:val="nil"/>
              <w:bottom w:val="single" w:sz="4" w:space="0" w:color="auto"/>
              <w:right w:val="single" w:sz="4" w:space="0" w:color="auto"/>
            </w:tcBorders>
            <w:shd w:val="clear" w:color="auto" w:fill="auto"/>
            <w:noWrap/>
            <w:vAlign w:val="bottom"/>
            <w:hideMark/>
          </w:tcPr>
          <w:p w14:paraId="5EBA6EE6" w14:textId="77777777" w:rsidR="008A5924" w:rsidRPr="00184700" w:rsidRDefault="008A5924" w:rsidP="008A5924">
            <w:pPr>
              <w:rPr>
                <w:sz w:val="18"/>
                <w:szCs w:val="18"/>
                <w:lang w:eastAsia="es-GT"/>
              </w:rPr>
            </w:pPr>
            <w:r w:rsidRPr="00184700">
              <w:rPr>
                <w:sz w:val="18"/>
                <w:szCs w:val="18"/>
                <w:lang w:eastAsia="es-GT"/>
              </w:rPr>
              <w:t xml:space="preserve">                 1.11 </w:t>
            </w:r>
          </w:p>
        </w:tc>
        <w:tc>
          <w:tcPr>
            <w:tcW w:w="926" w:type="dxa"/>
            <w:tcBorders>
              <w:top w:val="nil"/>
              <w:left w:val="nil"/>
              <w:bottom w:val="single" w:sz="4" w:space="0" w:color="auto"/>
              <w:right w:val="single" w:sz="4" w:space="0" w:color="auto"/>
            </w:tcBorders>
            <w:shd w:val="clear" w:color="auto" w:fill="auto"/>
            <w:noWrap/>
            <w:vAlign w:val="bottom"/>
            <w:hideMark/>
          </w:tcPr>
          <w:p w14:paraId="313D62D2" w14:textId="77777777" w:rsidR="008A5924" w:rsidRPr="00184700" w:rsidRDefault="008A5924" w:rsidP="008A5924">
            <w:pPr>
              <w:jc w:val="right"/>
              <w:rPr>
                <w:sz w:val="18"/>
                <w:szCs w:val="18"/>
                <w:lang w:eastAsia="es-GT"/>
              </w:rPr>
            </w:pPr>
            <w:r w:rsidRPr="00184700">
              <w:rPr>
                <w:sz w:val="18"/>
                <w:szCs w:val="18"/>
                <w:lang w:eastAsia="es-GT"/>
              </w:rPr>
              <w:t>1.29%</w:t>
            </w:r>
          </w:p>
        </w:tc>
        <w:tc>
          <w:tcPr>
            <w:tcW w:w="1398" w:type="dxa"/>
            <w:tcBorders>
              <w:top w:val="nil"/>
              <w:left w:val="nil"/>
              <w:bottom w:val="single" w:sz="4" w:space="0" w:color="auto"/>
              <w:right w:val="single" w:sz="4" w:space="0" w:color="auto"/>
            </w:tcBorders>
            <w:shd w:val="clear" w:color="auto" w:fill="auto"/>
            <w:noWrap/>
            <w:vAlign w:val="bottom"/>
            <w:hideMark/>
          </w:tcPr>
          <w:p w14:paraId="1B04D008" w14:textId="77777777" w:rsidR="008A5924" w:rsidRPr="00184700" w:rsidRDefault="008A5924" w:rsidP="008A5924">
            <w:pPr>
              <w:jc w:val="right"/>
              <w:rPr>
                <w:sz w:val="18"/>
                <w:szCs w:val="18"/>
                <w:lang w:eastAsia="es-GT"/>
              </w:rPr>
            </w:pPr>
            <w:r w:rsidRPr="00184700">
              <w:rPr>
                <w:sz w:val="18"/>
                <w:szCs w:val="18"/>
                <w:lang w:eastAsia="es-GT"/>
              </w:rPr>
              <w:t>94.93%</w:t>
            </w:r>
          </w:p>
        </w:tc>
      </w:tr>
      <w:tr w:rsidR="008A5924" w:rsidRPr="00184700" w14:paraId="6B2ED76F"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778032C8" w14:textId="77777777" w:rsidR="008A5924" w:rsidRPr="00184700" w:rsidRDefault="008A5924" w:rsidP="008A5924">
            <w:pPr>
              <w:rPr>
                <w:sz w:val="18"/>
                <w:szCs w:val="18"/>
                <w:lang w:eastAsia="es-GT"/>
              </w:rPr>
            </w:pPr>
            <w:r w:rsidRPr="00184700">
              <w:rPr>
                <w:sz w:val="18"/>
                <w:szCs w:val="18"/>
                <w:lang w:eastAsia="es-GT"/>
              </w:rPr>
              <w:t>Electricidad</w:t>
            </w:r>
          </w:p>
        </w:tc>
        <w:tc>
          <w:tcPr>
            <w:tcW w:w="1346" w:type="dxa"/>
            <w:tcBorders>
              <w:top w:val="nil"/>
              <w:left w:val="nil"/>
              <w:bottom w:val="single" w:sz="4" w:space="0" w:color="auto"/>
              <w:right w:val="single" w:sz="4" w:space="0" w:color="auto"/>
            </w:tcBorders>
            <w:shd w:val="clear" w:color="auto" w:fill="auto"/>
            <w:noWrap/>
            <w:vAlign w:val="bottom"/>
            <w:hideMark/>
          </w:tcPr>
          <w:p w14:paraId="0C292436" w14:textId="77777777" w:rsidR="008A5924" w:rsidRPr="00184700" w:rsidRDefault="008A5924" w:rsidP="008A5924">
            <w:pPr>
              <w:rPr>
                <w:sz w:val="18"/>
                <w:szCs w:val="18"/>
                <w:lang w:eastAsia="es-GT"/>
              </w:rPr>
            </w:pPr>
            <w:r w:rsidRPr="00184700">
              <w:rPr>
                <w:sz w:val="18"/>
                <w:szCs w:val="18"/>
                <w:lang w:eastAsia="es-GT"/>
              </w:rPr>
              <w:t xml:space="preserve">                 1.05 </w:t>
            </w:r>
          </w:p>
        </w:tc>
        <w:tc>
          <w:tcPr>
            <w:tcW w:w="926" w:type="dxa"/>
            <w:tcBorders>
              <w:top w:val="nil"/>
              <w:left w:val="nil"/>
              <w:bottom w:val="single" w:sz="4" w:space="0" w:color="auto"/>
              <w:right w:val="single" w:sz="4" w:space="0" w:color="auto"/>
            </w:tcBorders>
            <w:shd w:val="clear" w:color="auto" w:fill="auto"/>
            <w:noWrap/>
            <w:vAlign w:val="bottom"/>
            <w:hideMark/>
          </w:tcPr>
          <w:p w14:paraId="215EE158" w14:textId="77777777" w:rsidR="008A5924" w:rsidRPr="00184700" w:rsidRDefault="008A5924" w:rsidP="008A5924">
            <w:pPr>
              <w:jc w:val="right"/>
              <w:rPr>
                <w:sz w:val="18"/>
                <w:szCs w:val="18"/>
                <w:lang w:eastAsia="es-GT"/>
              </w:rPr>
            </w:pPr>
            <w:r w:rsidRPr="00184700">
              <w:rPr>
                <w:sz w:val="18"/>
                <w:szCs w:val="18"/>
                <w:lang w:eastAsia="es-GT"/>
              </w:rPr>
              <w:t>1.22%</w:t>
            </w:r>
          </w:p>
        </w:tc>
        <w:tc>
          <w:tcPr>
            <w:tcW w:w="1398" w:type="dxa"/>
            <w:tcBorders>
              <w:top w:val="nil"/>
              <w:left w:val="nil"/>
              <w:bottom w:val="single" w:sz="4" w:space="0" w:color="auto"/>
              <w:right w:val="single" w:sz="4" w:space="0" w:color="auto"/>
            </w:tcBorders>
            <w:shd w:val="clear" w:color="auto" w:fill="auto"/>
            <w:noWrap/>
            <w:vAlign w:val="bottom"/>
            <w:hideMark/>
          </w:tcPr>
          <w:p w14:paraId="4FF7A983" w14:textId="77777777" w:rsidR="008A5924" w:rsidRPr="00184700" w:rsidRDefault="008A5924" w:rsidP="008A5924">
            <w:pPr>
              <w:jc w:val="right"/>
              <w:rPr>
                <w:sz w:val="18"/>
                <w:szCs w:val="18"/>
                <w:lang w:eastAsia="es-GT"/>
              </w:rPr>
            </w:pPr>
            <w:r w:rsidRPr="00184700">
              <w:rPr>
                <w:sz w:val="18"/>
                <w:szCs w:val="18"/>
                <w:lang w:eastAsia="es-GT"/>
              </w:rPr>
              <w:t>96.15%</w:t>
            </w:r>
          </w:p>
        </w:tc>
      </w:tr>
      <w:tr w:rsidR="008A5924" w:rsidRPr="00184700" w14:paraId="02463EC1" w14:textId="77777777" w:rsidTr="00EC5B09">
        <w:trPr>
          <w:trHeight w:val="253"/>
          <w:jc w:val="center"/>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14:paraId="7F0BBD26" w14:textId="77777777" w:rsidR="008A5924" w:rsidRPr="00184700" w:rsidRDefault="008A5924" w:rsidP="008A5924">
            <w:pPr>
              <w:rPr>
                <w:sz w:val="18"/>
                <w:szCs w:val="18"/>
                <w:lang w:eastAsia="es-GT"/>
              </w:rPr>
            </w:pPr>
            <w:r w:rsidRPr="00184700">
              <w:rPr>
                <w:sz w:val="18"/>
                <w:szCs w:val="18"/>
                <w:lang w:eastAsia="es-GT"/>
              </w:rPr>
              <w:t>Agricultura</w:t>
            </w:r>
          </w:p>
        </w:tc>
        <w:tc>
          <w:tcPr>
            <w:tcW w:w="1346" w:type="dxa"/>
            <w:tcBorders>
              <w:top w:val="nil"/>
              <w:left w:val="nil"/>
              <w:bottom w:val="single" w:sz="4" w:space="0" w:color="auto"/>
              <w:right w:val="single" w:sz="4" w:space="0" w:color="auto"/>
            </w:tcBorders>
            <w:shd w:val="clear" w:color="auto" w:fill="auto"/>
            <w:noWrap/>
            <w:vAlign w:val="bottom"/>
            <w:hideMark/>
          </w:tcPr>
          <w:p w14:paraId="00645684" w14:textId="77777777" w:rsidR="008A5924" w:rsidRPr="00184700" w:rsidRDefault="008A5924" w:rsidP="008A5924">
            <w:pPr>
              <w:rPr>
                <w:sz w:val="18"/>
                <w:szCs w:val="18"/>
                <w:lang w:eastAsia="es-GT"/>
              </w:rPr>
            </w:pPr>
            <w:r w:rsidRPr="00184700">
              <w:rPr>
                <w:sz w:val="18"/>
                <w:szCs w:val="18"/>
                <w:lang w:eastAsia="es-GT"/>
              </w:rPr>
              <w:t xml:space="preserve">                 0.63 </w:t>
            </w:r>
          </w:p>
        </w:tc>
        <w:tc>
          <w:tcPr>
            <w:tcW w:w="926" w:type="dxa"/>
            <w:tcBorders>
              <w:top w:val="nil"/>
              <w:left w:val="nil"/>
              <w:bottom w:val="single" w:sz="4" w:space="0" w:color="auto"/>
              <w:right w:val="single" w:sz="4" w:space="0" w:color="auto"/>
            </w:tcBorders>
            <w:shd w:val="clear" w:color="auto" w:fill="auto"/>
            <w:noWrap/>
            <w:vAlign w:val="bottom"/>
            <w:hideMark/>
          </w:tcPr>
          <w:p w14:paraId="2457B53C" w14:textId="77777777" w:rsidR="008A5924" w:rsidRPr="00184700" w:rsidRDefault="008A5924" w:rsidP="008A5924">
            <w:pPr>
              <w:jc w:val="right"/>
              <w:rPr>
                <w:sz w:val="18"/>
                <w:szCs w:val="18"/>
                <w:lang w:eastAsia="es-GT"/>
              </w:rPr>
            </w:pPr>
            <w:r w:rsidRPr="00184700">
              <w:rPr>
                <w:sz w:val="18"/>
                <w:szCs w:val="18"/>
                <w:lang w:eastAsia="es-GT"/>
              </w:rPr>
              <w:t>0.73%</w:t>
            </w:r>
          </w:p>
        </w:tc>
        <w:tc>
          <w:tcPr>
            <w:tcW w:w="1398" w:type="dxa"/>
            <w:tcBorders>
              <w:top w:val="nil"/>
              <w:left w:val="nil"/>
              <w:bottom w:val="single" w:sz="4" w:space="0" w:color="auto"/>
              <w:right w:val="single" w:sz="4" w:space="0" w:color="auto"/>
            </w:tcBorders>
            <w:shd w:val="clear" w:color="auto" w:fill="auto"/>
            <w:noWrap/>
            <w:vAlign w:val="bottom"/>
            <w:hideMark/>
          </w:tcPr>
          <w:p w14:paraId="53D089E0" w14:textId="77777777" w:rsidR="008A5924" w:rsidRPr="00184700" w:rsidRDefault="008A5924" w:rsidP="008A5924">
            <w:pPr>
              <w:jc w:val="right"/>
              <w:rPr>
                <w:sz w:val="18"/>
                <w:szCs w:val="18"/>
                <w:lang w:eastAsia="es-GT"/>
              </w:rPr>
            </w:pPr>
            <w:r w:rsidRPr="00184700">
              <w:rPr>
                <w:sz w:val="18"/>
                <w:szCs w:val="18"/>
                <w:lang w:eastAsia="es-GT"/>
              </w:rPr>
              <w:t>96.89%</w:t>
            </w:r>
          </w:p>
        </w:tc>
      </w:tr>
    </w:tbl>
    <w:p w14:paraId="5BE22690" w14:textId="77777777" w:rsidR="008A5924" w:rsidRPr="00184700" w:rsidRDefault="00595203" w:rsidP="008A5924">
      <w:pPr>
        <w:rPr>
          <w:sz w:val="14"/>
          <w:lang w:val="es-MX"/>
        </w:rPr>
      </w:pPr>
      <w:r w:rsidRPr="00E75187">
        <w:rPr>
          <w:b/>
          <w:sz w:val="14"/>
          <w:lang w:val="es-MX"/>
        </w:rPr>
        <w:t xml:space="preserve">                </w:t>
      </w:r>
      <w:r w:rsidR="00E75187" w:rsidRPr="00E75187">
        <w:rPr>
          <w:b/>
          <w:sz w:val="18"/>
          <w:lang w:val="es-MX"/>
        </w:rPr>
        <w:t>Fuente</w:t>
      </w:r>
      <w:r w:rsidR="00E75187">
        <w:rPr>
          <w:sz w:val="18"/>
          <w:lang w:val="es-MX"/>
        </w:rPr>
        <w:t xml:space="preserve">: Sistema de Contabilidad Integrada </w:t>
      </w:r>
      <w:r w:rsidR="008A5924" w:rsidRPr="00EC5B09">
        <w:rPr>
          <w:sz w:val="18"/>
          <w:lang w:val="es-MX"/>
        </w:rPr>
        <w:t>de los Gobiernos Locales –SICOIN-GL Ministerio de Finanzas Públicas</w:t>
      </w:r>
      <w:r w:rsidR="008A5924" w:rsidRPr="00184700">
        <w:rPr>
          <w:sz w:val="14"/>
          <w:lang w:val="es-MX"/>
        </w:rPr>
        <w:t>.</w:t>
      </w:r>
    </w:p>
    <w:p w14:paraId="0DEE41DA" w14:textId="77777777" w:rsidR="008A5924" w:rsidRPr="00184700" w:rsidRDefault="008A5924" w:rsidP="008A5924">
      <w:pPr>
        <w:spacing w:line="276" w:lineRule="auto"/>
        <w:jc w:val="both"/>
        <w:rPr>
          <w:lang w:val="es-MX"/>
        </w:rPr>
      </w:pPr>
    </w:p>
    <w:p w14:paraId="08610305" w14:textId="77777777" w:rsidR="008A5924" w:rsidRPr="007B1CA6" w:rsidRDefault="008A5924" w:rsidP="00DD6292">
      <w:pPr>
        <w:pStyle w:val="Prrafodelista"/>
        <w:widowControl/>
        <w:numPr>
          <w:ilvl w:val="0"/>
          <w:numId w:val="15"/>
        </w:numPr>
        <w:spacing w:after="200" w:line="276" w:lineRule="auto"/>
        <w:jc w:val="both"/>
        <w:rPr>
          <w:sz w:val="24"/>
          <w:szCs w:val="24"/>
          <w:lang w:val="es-MX"/>
        </w:rPr>
      </w:pPr>
      <w:r w:rsidRPr="007B1CA6">
        <w:rPr>
          <w:sz w:val="24"/>
          <w:szCs w:val="24"/>
          <w:lang w:val="es-MX"/>
        </w:rPr>
        <w:t xml:space="preserve">Protección ambiental n.c.d. (SC) </w:t>
      </w:r>
    </w:p>
    <w:p w14:paraId="0CBD7A7C" w14:textId="77777777" w:rsidR="008A5924" w:rsidRPr="007B1CA6" w:rsidRDefault="008A5924" w:rsidP="008A5924">
      <w:pPr>
        <w:jc w:val="both"/>
        <w:rPr>
          <w:sz w:val="24"/>
          <w:szCs w:val="24"/>
          <w:lang w:val="es-MX"/>
        </w:rPr>
      </w:pPr>
      <w:r w:rsidRPr="007B1CA6">
        <w:rPr>
          <w:sz w:val="24"/>
          <w:szCs w:val="24"/>
          <w:lang w:val="es-MX"/>
        </w:rPr>
        <w:t>Administración, dirección, regulación, supervisión, gestión y apoyo de actividades como formulación, administración, coordinación y vigilancia de políticas, planes, programas y presupuestos generales para promover la protección del medio ambiente; preparación y ejecución de legislación y normas de actuación en lo referente a la prestación de servicios de protección del medio ambiente; producción y difusión de información general, documentación técnica y estadísticas sobre la protección del medio ambiente.</w:t>
      </w:r>
    </w:p>
    <w:p w14:paraId="5C10AC34" w14:textId="77777777" w:rsidR="008A5924" w:rsidRPr="007B1CA6" w:rsidRDefault="008A5924" w:rsidP="00DD6292">
      <w:pPr>
        <w:pStyle w:val="Prrafodelista"/>
        <w:widowControl/>
        <w:numPr>
          <w:ilvl w:val="0"/>
          <w:numId w:val="15"/>
        </w:numPr>
        <w:spacing w:after="200" w:line="276" w:lineRule="auto"/>
        <w:jc w:val="both"/>
        <w:rPr>
          <w:sz w:val="24"/>
          <w:szCs w:val="24"/>
          <w:lang w:val="es-MX"/>
        </w:rPr>
      </w:pPr>
      <w:r w:rsidRPr="007B1CA6">
        <w:rPr>
          <w:sz w:val="24"/>
          <w:szCs w:val="24"/>
          <w:lang w:val="es-MX"/>
        </w:rPr>
        <w:t xml:space="preserve">Actividades deportivas, recreativas, cultura y religión n.c.d. (SC) </w:t>
      </w:r>
    </w:p>
    <w:p w14:paraId="06AB39D6" w14:textId="77777777" w:rsidR="008A5924" w:rsidRPr="007B1CA6" w:rsidRDefault="008A5924" w:rsidP="008A5924">
      <w:pPr>
        <w:jc w:val="both"/>
        <w:rPr>
          <w:sz w:val="24"/>
          <w:szCs w:val="24"/>
          <w:lang w:val="es-MX"/>
        </w:rPr>
      </w:pPr>
      <w:r w:rsidRPr="007B1CA6">
        <w:rPr>
          <w:sz w:val="24"/>
          <w:szCs w:val="24"/>
          <w:lang w:val="es-MX"/>
        </w:rPr>
        <w:t>Administración, gestión o apoyo de actividades como formulación, administración, coordinación y vigilancia de políticas, planes, programas y presupuestos generales para la promoción del deporte, el esparcimiento, la cultura y la religión; preparación y ejecución de legislación y normas de actuación en relación con la prestación de servicios recreativos y culturales; producción y difusión de información general, documentación técnica y estadística sobre esparcimiento, cultura y religión.</w:t>
      </w:r>
    </w:p>
    <w:p w14:paraId="71D66C47" w14:textId="77777777" w:rsidR="008A5924" w:rsidRPr="007B1CA6" w:rsidRDefault="008A5924" w:rsidP="008A5924">
      <w:pPr>
        <w:jc w:val="both"/>
        <w:rPr>
          <w:sz w:val="24"/>
          <w:szCs w:val="24"/>
          <w:lang w:val="es-MX"/>
        </w:rPr>
      </w:pPr>
    </w:p>
    <w:p w14:paraId="4A04E012" w14:textId="77777777" w:rsidR="008A5924" w:rsidRPr="007B1CA6" w:rsidRDefault="008A5924" w:rsidP="008A5924">
      <w:pPr>
        <w:jc w:val="both"/>
        <w:rPr>
          <w:sz w:val="24"/>
          <w:szCs w:val="24"/>
          <w:lang w:val="es-MX"/>
        </w:rPr>
      </w:pPr>
      <w:r w:rsidRPr="007B1CA6">
        <w:rPr>
          <w:sz w:val="24"/>
          <w:szCs w:val="24"/>
          <w:lang w:val="es-MX"/>
        </w:rPr>
        <w:t xml:space="preserve">Con la información disponible, se pudo determinar que adicional al gasto de funcionamiento, la municipalidad asignó </w:t>
      </w:r>
      <w:r w:rsidR="008B4420" w:rsidRPr="007B1CA6">
        <w:rPr>
          <w:sz w:val="24"/>
          <w:szCs w:val="24"/>
          <w:lang w:val="es-MX"/>
        </w:rPr>
        <w:t>durante el periodo cerca del 14 por ciento</w:t>
      </w:r>
      <w:r w:rsidRPr="007B1CA6">
        <w:rPr>
          <w:sz w:val="24"/>
          <w:szCs w:val="24"/>
          <w:lang w:val="es-MX"/>
        </w:rPr>
        <w:t xml:space="preserve"> del gasto en actividades destinadas la protección ambiental lo que en promedio representa.</w:t>
      </w:r>
    </w:p>
    <w:p w14:paraId="3814EB2E" w14:textId="77777777" w:rsidR="008A5924" w:rsidRPr="007B1CA6" w:rsidRDefault="008A5924" w:rsidP="008A5924">
      <w:pPr>
        <w:rPr>
          <w:sz w:val="24"/>
          <w:szCs w:val="24"/>
          <w:lang w:val="es-MX"/>
        </w:rPr>
      </w:pPr>
    </w:p>
    <w:p w14:paraId="158F18FB" w14:textId="77777777" w:rsidR="008A5924" w:rsidRPr="007B1CA6" w:rsidRDefault="008A5924" w:rsidP="00DD6292">
      <w:pPr>
        <w:pStyle w:val="Ttulo2"/>
        <w:widowControl/>
        <w:numPr>
          <w:ilvl w:val="1"/>
          <w:numId w:val="5"/>
        </w:numPr>
        <w:spacing w:before="240" w:after="60"/>
        <w:ind w:left="993" w:hanging="633"/>
        <w:rPr>
          <w:sz w:val="24"/>
          <w:szCs w:val="24"/>
        </w:rPr>
      </w:pPr>
      <w:bookmarkStart w:id="226" w:name="_Toc16519918"/>
      <w:r w:rsidRPr="007B1CA6">
        <w:rPr>
          <w:sz w:val="24"/>
          <w:szCs w:val="24"/>
        </w:rPr>
        <w:t>Líneas de investigación futura sobre Riesgos Fiscales Específicos</w:t>
      </w:r>
      <w:bookmarkEnd w:id="226"/>
      <w:r w:rsidRPr="007B1CA6">
        <w:rPr>
          <w:sz w:val="24"/>
          <w:szCs w:val="24"/>
        </w:rPr>
        <w:t xml:space="preserve"> </w:t>
      </w:r>
    </w:p>
    <w:p w14:paraId="2DBE23C9" w14:textId="77777777" w:rsidR="008A5924" w:rsidRPr="007B1CA6" w:rsidRDefault="008A5924" w:rsidP="008A5924">
      <w:pPr>
        <w:jc w:val="both"/>
        <w:rPr>
          <w:sz w:val="24"/>
          <w:szCs w:val="24"/>
          <w:lang w:val="es-MX"/>
        </w:rPr>
      </w:pPr>
    </w:p>
    <w:p w14:paraId="726F9E3F" w14:textId="77777777" w:rsidR="008A5924" w:rsidRPr="007B1CA6" w:rsidRDefault="008A5924" w:rsidP="00DD6292">
      <w:pPr>
        <w:pStyle w:val="Ttulo3"/>
        <w:widowControl/>
        <w:numPr>
          <w:ilvl w:val="2"/>
          <w:numId w:val="5"/>
        </w:numPr>
        <w:spacing w:before="240" w:after="60"/>
        <w:ind w:left="1701" w:hanging="981"/>
        <w:jc w:val="both"/>
        <w:rPr>
          <w:sz w:val="24"/>
          <w:szCs w:val="24"/>
        </w:rPr>
      </w:pPr>
      <w:bookmarkStart w:id="227" w:name="_Toc16519919"/>
      <w:r w:rsidRPr="007B1CA6">
        <w:rPr>
          <w:sz w:val="24"/>
          <w:szCs w:val="24"/>
        </w:rPr>
        <w:t>Mecanismos de Protección Financiera Sobre Impactos del Cambio Climático sob</w:t>
      </w:r>
      <w:r w:rsidR="00AD6B9F">
        <w:rPr>
          <w:sz w:val="24"/>
          <w:szCs w:val="24"/>
        </w:rPr>
        <w:t>re el Sector Agroforestal (Sequí</w:t>
      </w:r>
      <w:r w:rsidRPr="007B1CA6">
        <w:rPr>
          <w:sz w:val="24"/>
          <w:szCs w:val="24"/>
        </w:rPr>
        <w:t>a e Incendios Forestales)</w:t>
      </w:r>
      <w:bookmarkEnd w:id="227"/>
    </w:p>
    <w:p w14:paraId="3F16DAFC" w14:textId="77777777" w:rsidR="008A5924" w:rsidRPr="007B1CA6" w:rsidRDefault="008A5924" w:rsidP="008A5924">
      <w:pPr>
        <w:jc w:val="both"/>
        <w:rPr>
          <w:sz w:val="24"/>
          <w:szCs w:val="24"/>
          <w:lang w:val="es-MX"/>
        </w:rPr>
      </w:pPr>
    </w:p>
    <w:p w14:paraId="6ADBD860" w14:textId="77777777" w:rsidR="008A5924" w:rsidRPr="007B1CA6" w:rsidRDefault="008A5924" w:rsidP="008A5924">
      <w:pPr>
        <w:jc w:val="both"/>
        <w:rPr>
          <w:sz w:val="24"/>
          <w:szCs w:val="24"/>
          <w:lang w:val="es-MX"/>
        </w:rPr>
      </w:pPr>
      <w:r w:rsidRPr="007B1CA6">
        <w:rPr>
          <w:sz w:val="24"/>
          <w:szCs w:val="24"/>
          <w:lang w:val="es-MX"/>
        </w:rPr>
        <w:t>En función de los graves impactos que el cambio climático tiene sobre el sector agroforestal, particularmente los derivados de eventos climáticos extremos que han impactado al país en los últimos años y ante las amenazas cada vez mayores de episodios de sequía y temperaturas extremas que propician brotes e incidencia de enfermedades y plagas que afectan la producción agrícola, y la recurrencia de incendios forestales, es necesario profundizar en el diseño e implementación de programas de respuesta que incluyan la protección financiera contra estos impactos.</w:t>
      </w:r>
    </w:p>
    <w:p w14:paraId="0F08CB1F" w14:textId="77777777" w:rsidR="008A5924" w:rsidRPr="007B1CA6" w:rsidRDefault="008A5924" w:rsidP="008A5924">
      <w:pPr>
        <w:jc w:val="both"/>
        <w:rPr>
          <w:sz w:val="24"/>
          <w:szCs w:val="24"/>
          <w:lang w:val="es-MX"/>
        </w:rPr>
      </w:pPr>
    </w:p>
    <w:p w14:paraId="5F651BA2" w14:textId="77777777" w:rsidR="008A5924" w:rsidRPr="007B1CA6" w:rsidRDefault="001C46BE" w:rsidP="008A5924">
      <w:pPr>
        <w:jc w:val="both"/>
        <w:rPr>
          <w:sz w:val="24"/>
          <w:szCs w:val="24"/>
        </w:rPr>
      </w:pPr>
      <w:r>
        <w:rPr>
          <w:sz w:val="24"/>
          <w:szCs w:val="24"/>
          <w:lang w:val="es-MX"/>
        </w:rPr>
        <w:t xml:space="preserve">Como parte de los </w:t>
      </w:r>
      <w:r w:rsidRPr="007B1CA6">
        <w:rPr>
          <w:sz w:val="24"/>
          <w:szCs w:val="24"/>
        </w:rPr>
        <w:t>lineamientos</w:t>
      </w:r>
      <w:r w:rsidR="008A5924" w:rsidRPr="007B1CA6">
        <w:rPr>
          <w:sz w:val="24"/>
          <w:szCs w:val="24"/>
        </w:rPr>
        <w:t xml:space="preserve"> y las Orientaciones dadas por la Política Nacional de Cambio Climático, la Ley de Cambio Climático y en particular el Plan de Acción Nacional de Cambio Climático, al Ministerio de Finanzas Publicas le corresponde: </w:t>
      </w:r>
    </w:p>
    <w:p w14:paraId="44E1F89B" w14:textId="77777777" w:rsidR="008A5924" w:rsidRPr="007B1CA6" w:rsidRDefault="008A5924" w:rsidP="008A5924">
      <w:pPr>
        <w:jc w:val="both"/>
        <w:rPr>
          <w:sz w:val="24"/>
          <w:szCs w:val="24"/>
        </w:rPr>
      </w:pPr>
    </w:p>
    <w:p w14:paraId="2C0B3B96" w14:textId="77777777" w:rsidR="008A5924" w:rsidRPr="007B1CA6" w:rsidRDefault="008A5924" w:rsidP="00DD6292">
      <w:pPr>
        <w:pStyle w:val="Prrafodelista"/>
        <w:widowControl/>
        <w:numPr>
          <w:ilvl w:val="0"/>
          <w:numId w:val="15"/>
        </w:numPr>
        <w:spacing w:after="200" w:line="276" w:lineRule="auto"/>
        <w:jc w:val="both"/>
        <w:rPr>
          <w:sz w:val="24"/>
          <w:szCs w:val="24"/>
        </w:rPr>
      </w:pPr>
      <w:r w:rsidRPr="007B1CA6">
        <w:rPr>
          <w:sz w:val="24"/>
          <w:szCs w:val="24"/>
        </w:rPr>
        <w:t>Crear y establecer mecanismos de aseguramiento de la producción agropecuaria (Programa de seguro agrícola).</w:t>
      </w:r>
    </w:p>
    <w:p w14:paraId="45F9A4D6" w14:textId="77777777" w:rsidR="008A5924" w:rsidRPr="007B1CA6" w:rsidRDefault="008A5924" w:rsidP="008A5924">
      <w:pPr>
        <w:pStyle w:val="Prrafodelista"/>
        <w:jc w:val="both"/>
        <w:rPr>
          <w:sz w:val="24"/>
          <w:szCs w:val="24"/>
        </w:rPr>
      </w:pPr>
    </w:p>
    <w:p w14:paraId="15357A30" w14:textId="77777777" w:rsidR="008A5924" w:rsidRPr="007B1CA6" w:rsidRDefault="008A5924" w:rsidP="00DD6292">
      <w:pPr>
        <w:pStyle w:val="Prrafodelista"/>
        <w:widowControl/>
        <w:numPr>
          <w:ilvl w:val="0"/>
          <w:numId w:val="15"/>
        </w:numPr>
        <w:spacing w:after="200" w:line="276" w:lineRule="auto"/>
        <w:jc w:val="both"/>
        <w:rPr>
          <w:sz w:val="24"/>
          <w:szCs w:val="24"/>
        </w:rPr>
      </w:pPr>
      <w:r w:rsidRPr="007B1CA6">
        <w:rPr>
          <w:sz w:val="24"/>
          <w:szCs w:val="24"/>
        </w:rPr>
        <w:t>Fortalecer las capacidades financieras, de Gestión y Coordinación del Sistema Nacional de Prevención y Control de Incendios Forestales –SIPECIF-.</w:t>
      </w:r>
      <w:r w:rsidRPr="007B1CA6">
        <w:rPr>
          <w:rStyle w:val="Refdenotaalpie"/>
          <w:sz w:val="24"/>
          <w:szCs w:val="24"/>
        </w:rPr>
        <w:footnoteReference w:id="18"/>
      </w:r>
    </w:p>
    <w:p w14:paraId="3F9D521D" w14:textId="77777777" w:rsidR="008A5924" w:rsidRPr="007B1CA6" w:rsidRDefault="008A5924" w:rsidP="008A5924">
      <w:pPr>
        <w:pStyle w:val="Prrafodelista"/>
        <w:rPr>
          <w:sz w:val="24"/>
          <w:szCs w:val="24"/>
        </w:rPr>
      </w:pPr>
    </w:p>
    <w:p w14:paraId="1163F1BD" w14:textId="77777777" w:rsidR="008A5924" w:rsidRPr="007B1CA6" w:rsidRDefault="008A5924" w:rsidP="00DD6292">
      <w:pPr>
        <w:pStyle w:val="Prrafodelista"/>
        <w:widowControl/>
        <w:numPr>
          <w:ilvl w:val="0"/>
          <w:numId w:val="15"/>
        </w:numPr>
        <w:spacing w:after="200" w:line="276" w:lineRule="auto"/>
        <w:jc w:val="both"/>
        <w:rPr>
          <w:sz w:val="24"/>
          <w:szCs w:val="24"/>
        </w:rPr>
      </w:pPr>
      <w:r w:rsidRPr="007B1CA6">
        <w:rPr>
          <w:sz w:val="24"/>
          <w:szCs w:val="24"/>
        </w:rPr>
        <w:t>Implementar el marco jurídico legal que respalda la implementación de opciones de estrategia REDD+.</w:t>
      </w:r>
    </w:p>
    <w:p w14:paraId="423D92E9" w14:textId="77777777" w:rsidR="009B2211" w:rsidRDefault="009B2211" w:rsidP="008A5924">
      <w:pPr>
        <w:jc w:val="both"/>
        <w:rPr>
          <w:sz w:val="24"/>
          <w:szCs w:val="24"/>
          <w:lang w:val="es-MX"/>
        </w:rPr>
      </w:pPr>
    </w:p>
    <w:p w14:paraId="4F39D7C6" w14:textId="77777777" w:rsidR="009B2211" w:rsidRDefault="009B2211" w:rsidP="008A5924">
      <w:pPr>
        <w:jc w:val="both"/>
        <w:rPr>
          <w:sz w:val="24"/>
          <w:szCs w:val="24"/>
          <w:lang w:val="es-MX"/>
        </w:rPr>
      </w:pPr>
    </w:p>
    <w:p w14:paraId="7917ACAE" w14:textId="77777777" w:rsidR="009B2211" w:rsidRDefault="009B2211" w:rsidP="008A5924">
      <w:pPr>
        <w:jc w:val="both"/>
        <w:rPr>
          <w:sz w:val="24"/>
          <w:szCs w:val="24"/>
          <w:lang w:val="es-MX"/>
        </w:rPr>
      </w:pPr>
    </w:p>
    <w:p w14:paraId="1C4882AE" w14:textId="77777777" w:rsidR="008A5924" w:rsidRPr="007B1CA6" w:rsidRDefault="008A5924" w:rsidP="008A5924">
      <w:pPr>
        <w:jc w:val="both"/>
        <w:rPr>
          <w:sz w:val="24"/>
          <w:szCs w:val="24"/>
          <w:lang w:val="es-MX"/>
        </w:rPr>
      </w:pPr>
      <w:r w:rsidRPr="007B1CA6">
        <w:rPr>
          <w:sz w:val="24"/>
          <w:szCs w:val="24"/>
          <w:lang w:val="es-MX"/>
        </w:rPr>
        <w:t>Lo anterior conlleva analizar de forma conjunta con los entes rectores sectoriales: Ministerio de Agricultura, Ganadería y Alimentación, MAGA, Secretaria de Seguridad Alimentaria y Nutricional SESAN, INAB, CONAP, y CONRED la viabilidad de implementación de mecanismos de protección financiera ya sea de retención de riesgo a través de fondos patrimoniales o el fortalecimiento de las asignaciones presupuestarias dirigidas a si sistemas de protección y combate a incendios forestales (como el extinto SIPECIF).</w:t>
      </w:r>
    </w:p>
    <w:p w14:paraId="24C9FD3E" w14:textId="77777777" w:rsidR="008A5924" w:rsidRPr="007B1CA6" w:rsidRDefault="008A5924" w:rsidP="008A5924">
      <w:pPr>
        <w:jc w:val="both"/>
        <w:rPr>
          <w:sz w:val="24"/>
          <w:szCs w:val="24"/>
          <w:lang w:val="es-MX"/>
        </w:rPr>
      </w:pPr>
    </w:p>
    <w:p w14:paraId="7404F78E" w14:textId="77777777" w:rsidR="008A5924" w:rsidRPr="007B1CA6" w:rsidRDefault="008A5924" w:rsidP="00DD6292">
      <w:pPr>
        <w:pStyle w:val="Ttulo3"/>
        <w:widowControl/>
        <w:numPr>
          <w:ilvl w:val="2"/>
          <w:numId w:val="5"/>
        </w:numPr>
        <w:spacing w:before="240" w:after="60"/>
        <w:ind w:left="1701" w:hanging="981"/>
        <w:jc w:val="both"/>
        <w:rPr>
          <w:sz w:val="24"/>
          <w:szCs w:val="24"/>
        </w:rPr>
      </w:pPr>
      <w:bookmarkStart w:id="228" w:name="_Toc16519920"/>
      <w:r w:rsidRPr="007B1CA6">
        <w:rPr>
          <w:sz w:val="24"/>
          <w:szCs w:val="24"/>
        </w:rPr>
        <w:t>La sequía y los incendios forestales como riesgos fiscales</w:t>
      </w:r>
      <w:bookmarkEnd w:id="228"/>
    </w:p>
    <w:p w14:paraId="7D9A0016" w14:textId="77777777" w:rsidR="008A5924" w:rsidRPr="007B1CA6" w:rsidRDefault="008A5924" w:rsidP="008A5924">
      <w:pPr>
        <w:jc w:val="both"/>
        <w:rPr>
          <w:sz w:val="24"/>
          <w:szCs w:val="24"/>
          <w:shd w:val="clear" w:color="auto" w:fill="FFFFFF"/>
        </w:rPr>
      </w:pPr>
    </w:p>
    <w:p w14:paraId="180255CA" w14:textId="77777777" w:rsidR="008A5924" w:rsidRPr="007B1CA6" w:rsidRDefault="008A5924" w:rsidP="008A5924">
      <w:pPr>
        <w:jc w:val="both"/>
        <w:rPr>
          <w:sz w:val="24"/>
          <w:szCs w:val="24"/>
          <w:shd w:val="clear" w:color="auto" w:fill="FFFFFF"/>
        </w:rPr>
      </w:pPr>
      <w:r w:rsidRPr="007B1CA6">
        <w:rPr>
          <w:sz w:val="24"/>
          <w:szCs w:val="24"/>
          <w:shd w:val="clear" w:color="auto" w:fill="FFFFFF"/>
        </w:rPr>
        <w:t xml:space="preserve">El Código de Transparencia Fiscal del Fondo Monetario Internacional, incluye dentro de los Riesgos Fiscales Específicos, los denominados “riesgos ambientales”; definiéndolos como aquellos riesgos provenientes de la potencial exposición fiscal a desastres naturales y otros riesgos ambientales de importancia. </w:t>
      </w:r>
    </w:p>
    <w:p w14:paraId="2CA1DB5C" w14:textId="77777777" w:rsidR="008A5924" w:rsidRPr="007B1CA6" w:rsidRDefault="008A5924" w:rsidP="008A5924">
      <w:pPr>
        <w:jc w:val="both"/>
        <w:rPr>
          <w:sz w:val="24"/>
          <w:szCs w:val="24"/>
          <w:shd w:val="clear" w:color="auto" w:fill="FFFFFF"/>
        </w:rPr>
      </w:pPr>
    </w:p>
    <w:p w14:paraId="58691C02" w14:textId="77777777" w:rsidR="008A5924" w:rsidRPr="007B1CA6" w:rsidRDefault="008A5924" w:rsidP="008A5924">
      <w:pPr>
        <w:jc w:val="both"/>
        <w:rPr>
          <w:sz w:val="24"/>
          <w:szCs w:val="24"/>
          <w:shd w:val="clear" w:color="auto" w:fill="FFFFFF"/>
        </w:rPr>
      </w:pPr>
      <w:r w:rsidRPr="007B1CA6">
        <w:rPr>
          <w:sz w:val="24"/>
          <w:szCs w:val="24"/>
          <w:shd w:val="clear" w:color="auto" w:fill="FFFFFF"/>
        </w:rPr>
        <w:t>Señala también que como parte de las prácticas avanzadas los gobiernos identifican y analizan los principales riesgos fiscales derivados de desastres naturales, los cuantifica en función de experiencias históricas y los gestiona de acuerdo con una estrategia publicada, para el caso del Ministerio de Finanzas Públicas, el abordaje y la gestión de los riesgos ambientales está incluida, tanto en la Estrategia Fiscal Ambiental, como en la Estrategi</w:t>
      </w:r>
      <w:r w:rsidR="00AD6B9F">
        <w:rPr>
          <w:sz w:val="24"/>
          <w:szCs w:val="24"/>
          <w:shd w:val="clear" w:color="auto" w:fill="FFFFFF"/>
        </w:rPr>
        <w:t>a Financiera ante el Riesgo de D</w:t>
      </w:r>
      <w:r w:rsidRPr="007B1CA6">
        <w:rPr>
          <w:sz w:val="24"/>
          <w:szCs w:val="24"/>
          <w:shd w:val="clear" w:color="auto" w:fill="FFFFFF"/>
        </w:rPr>
        <w:t>esastres, ambas aprobadas en el 2018 y que contemplan el uso de instrumentos financieros para la protección frente a riesgos derivados en su orden, de contingencias ambientales y de desastres provocados por fenómenos naturales.</w:t>
      </w:r>
    </w:p>
    <w:p w14:paraId="53644C6C" w14:textId="77777777" w:rsidR="008A5924" w:rsidRPr="007B1CA6" w:rsidRDefault="008A5924" w:rsidP="008A5924">
      <w:pPr>
        <w:jc w:val="both"/>
        <w:rPr>
          <w:sz w:val="24"/>
          <w:szCs w:val="24"/>
          <w:shd w:val="clear" w:color="auto" w:fill="FFFFFF"/>
        </w:rPr>
      </w:pPr>
    </w:p>
    <w:p w14:paraId="49D4A0F4" w14:textId="77777777" w:rsidR="008A5924" w:rsidRPr="007B1CA6" w:rsidRDefault="008A5924" w:rsidP="00DD6292">
      <w:pPr>
        <w:pStyle w:val="Ttulo4"/>
        <w:widowControl/>
        <w:numPr>
          <w:ilvl w:val="3"/>
          <w:numId w:val="5"/>
        </w:numPr>
        <w:spacing w:before="240" w:after="60"/>
        <w:jc w:val="both"/>
        <w:rPr>
          <w:sz w:val="24"/>
          <w:szCs w:val="24"/>
          <w:shd w:val="clear" w:color="auto" w:fill="FFFFFF"/>
        </w:rPr>
      </w:pPr>
      <w:bookmarkStart w:id="229" w:name="_Toc16519921"/>
      <w:r w:rsidRPr="007B1CA6">
        <w:rPr>
          <w:sz w:val="24"/>
          <w:szCs w:val="24"/>
          <w:shd w:val="clear" w:color="auto" w:fill="FFFFFF"/>
        </w:rPr>
        <w:t>Gestión del riesgo de sequía</w:t>
      </w:r>
      <w:bookmarkEnd w:id="229"/>
    </w:p>
    <w:p w14:paraId="7D2F82AF" w14:textId="77777777" w:rsidR="008A5924" w:rsidRPr="007B1CA6" w:rsidRDefault="008A5924" w:rsidP="008A5924">
      <w:pPr>
        <w:jc w:val="both"/>
        <w:rPr>
          <w:sz w:val="24"/>
          <w:szCs w:val="24"/>
          <w:shd w:val="clear" w:color="auto" w:fill="FFFFFF"/>
        </w:rPr>
      </w:pPr>
    </w:p>
    <w:p w14:paraId="22B56FCF" w14:textId="77777777" w:rsidR="008A5924" w:rsidRPr="007B1CA6" w:rsidRDefault="008A5924" w:rsidP="008A5924">
      <w:pPr>
        <w:jc w:val="both"/>
        <w:rPr>
          <w:sz w:val="24"/>
          <w:szCs w:val="24"/>
          <w:shd w:val="clear" w:color="auto" w:fill="FFFFFF"/>
        </w:rPr>
      </w:pPr>
      <w:r w:rsidRPr="007B1CA6">
        <w:rPr>
          <w:sz w:val="24"/>
          <w:szCs w:val="24"/>
          <w:shd w:val="clear" w:color="auto" w:fill="FFFFFF"/>
        </w:rPr>
        <w:t>La variabilidad climática se traduce en una mayor frecuencia e intensidad de eventos extremos. En los últimos años, la región se ha visto afectada por el fenómeno de El Niño, que implica prolongados periodos de canícula y aumentos de temperaturas que, por el lado de la producción agrícola, conllevan pérdidas de cosechas y que propician la propagación de plagas y enfermedades, lo que pone en riesgo la seguridad alimentaria e incide en elevar los niveles de pobreza de las poblaciones afectadas. De un registro total de 248 eventos ocurridos entre 1930 y 2008,</w:t>
      </w:r>
      <w:r w:rsidR="00197E56" w:rsidRPr="007B1CA6">
        <w:rPr>
          <w:sz w:val="24"/>
          <w:szCs w:val="24"/>
          <w:shd w:val="clear" w:color="auto" w:fill="FFFFFF"/>
        </w:rPr>
        <w:t xml:space="preserve"> las sequías representaron el 9 por ciento</w:t>
      </w:r>
      <w:r w:rsidRPr="007B1CA6">
        <w:rPr>
          <w:sz w:val="24"/>
          <w:szCs w:val="24"/>
          <w:shd w:val="clear" w:color="auto" w:fill="FFFFFF"/>
        </w:rPr>
        <w:t>, mientras qu</w:t>
      </w:r>
      <w:r w:rsidR="00197E56" w:rsidRPr="007B1CA6">
        <w:rPr>
          <w:sz w:val="24"/>
          <w:szCs w:val="24"/>
          <w:shd w:val="clear" w:color="auto" w:fill="FFFFFF"/>
        </w:rPr>
        <w:t>e los incendios forestales el 4 por ciento</w:t>
      </w:r>
      <w:r w:rsidRPr="007B1CA6">
        <w:rPr>
          <w:sz w:val="24"/>
          <w:szCs w:val="24"/>
          <w:shd w:val="clear" w:color="auto" w:fill="FFFFFF"/>
        </w:rPr>
        <w:t>, (PANCC, 2019).</w:t>
      </w:r>
    </w:p>
    <w:p w14:paraId="258F11F9" w14:textId="77777777" w:rsidR="008A5924" w:rsidRPr="007B1CA6" w:rsidRDefault="008A5924" w:rsidP="008A5924">
      <w:pPr>
        <w:pStyle w:val="Default"/>
        <w:rPr>
          <w:rFonts w:ascii="Times New Roman" w:hAnsi="Times New Roman" w:cs="Times New Roman"/>
          <w:color w:val="auto"/>
        </w:rPr>
      </w:pPr>
    </w:p>
    <w:p w14:paraId="7CB132A7" w14:textId="77777777" w:rsidR="008A5924" w:rsidRPr="007B1CA6" w:rsidRDefault="008A5924" w:rsidP="008A5924">
      <w:pPr>
        <w:jc w:val="both"/>
        <w:rPr>
          <w:sz w:val="24"/>
          <w:szCs w:val="24"/>
          <w:shd w:val="clear" w:color="auto" w:fill="FFFFFF"/>
        </w:rPr>
      </w:pPr>
      <w:r w:rsidRPr="007B1CA6">
        <w:rPr>
          <w:sz w:val="24"/>
          <w:szCs w:val="24"/>
          <w:shd w:val="clear" w:color="auto" w:fill="FFFFFF"/>
        </w:rPr>
        <w:t>El sistema de seguridad alimentaria del país está relacionado con la producción de granos básicos, especialmente maíz, frijol y arroz</w:t>
      </w:r>
      <w:r w:rsidR="00197E56" w:rsidRPr="007B1CA6">
        <w:rPr>
          <w:sz w:val="24"/>
          <w:szCs w:val="24"/>
          <w:shd w:val="clear" w:color="auto" w:fill="FFFFFF"/>
        </w:rPr>
        <w:t>.</w:t>
      </w:r>
      <w:r w:rsidRPr="007B1CA6">
        <w:rPr>
          <w:sz w:val="24"/>
          <w:szCs w:val="24"/>
          <w:shd w:val="clear" w:color="auto" w:fill="FFFFFF"/>
        </w:rPr>
        <w:t xml:space="preserve">  Los cultivos de maíz, frijol, arroz, trigo y sorgo (</w:t>
      </w:r>
      <w:r w:rsidR="00AD6B9F" w:rsidRPr="007B1CA6">
        <w:rPr>
          <w:sz w:val="24"/>
          <w:szCs w:val="24"/>
          <w:shd w:val="clear" w:color="auto" w:fill="FFFFFF"/>
        </w:rPr>
        <w:t>maicillo) constituyen</w:t>
      </w:r>
      <w:r w:rsidRPr="007B1CA6">
        <w:rPr>
          <w:sz w:val="24"/>
          <w:szCs w:val="24"/>
          <w:shd w:val="clear" w:color="auto" w:fill="FFFFFF"/>
        </w:rPr>
        <w:t xml:space="preserve"> la principal fuente de carbohidratos (65% del total) y proteínas (cerca de 71%) en la dieta de la población nacional (MAGA, 2008). En este sentido, cualquier afectación en la calidad y producción de dichos rubros genera impactos negativos en la salud de la familia rural. En términos de flujo de alimentos, los bajos niveles productivos aunado a la estaciona</w:t>
      </w:r>
      <w:r w:rsidR="00AD6B9F">
        <w:rPr>
          <w:sz w:val="24"/>
          <w:szCs w:val="24"/>
          <w:shd w:val="clear" w:color="auto" w:fill="FFFFFF"/>
        </w:rPr>
        <w:t>lidad de los ciclos agrícolas (m</w:t>
      </w:r>
      <w:r w:rsidRPr="007B1CA6">
        <w:rPr>
          <w:sz w:val="24"/>
          <w:szCs w:val="24"/>
          <w:shd w:val="clear" w:color="auto" w:fill="FFFFFF"/>
        </w:rPr>
        <w:t>ayo</w:t>
      </w:r>
      <w:r w:rsidR="00197E56" w:rsidRPr="007B1CA6">
        <w:rPr>
          <w:sz w:val="24"/>
          <w:szCs w:val="24"/>
          <w:shd w:val="clear" w:color="auto" w:fill="FFFFFF"/>
        </w:rPr>
        <w:t xml:space="preserve"> </w:t>
      </w:r>
      <w:r w:rsidR="00AD6B9F">
        <w:rPr>
          <w:sz w:val="24"/>
          <w:szCs w:val="24"/>
          <w:shd w:val="clear" w:color="auto" w:fill="FFFFFF"/>
        </w:rPr>
        <w:t>a n</w:t>
      </w:r>
      <w:r w:rsidRPr="007B1CA6">
        <w:rPr>
          <w:sz w:val="24"/>
          <w:szCs w:val="24"/>
          <w:shd w:val="clear" w:color="auto" w:fill="FFFFFF"/>
        </w:rPr>
        <w:t>oviembre) impide garantizar el abastecimiento de granos a las familias rurales a lo largo del año. Lo anterior es más marcado durante los meses de abril a agosto, período durante el cual las reservas de alimentos son normalmente limitadas.</w:t>
      </w:r>
    </w:p>
    <w:p w14:paraId="34F12F86" w14:textId="77777777" w:rsidR="008A5924" w:rsidRPr="007B1CA6" w:rsidRDefault="008A5924" w:rsidP="008A5924">
      <w:pPr>
        <w:jc w:val="both"/>
        <w:rPr>
          <w:sz w:val="24"/>
          <w:szCs w:val="24"/>
          <w:shd w:val="clear" w:color="auto" w:fill="FFFFFF"/>
        </w:rPr>
      </w:pPr>
    </w:p>
    <w:p w14:paraId="23B8EF17" w14:textId="77777777" w:rsidR="008A5924" w:rsidRDefault="008A5924" w:rsidP="008A5924">
      <w:pPr>
        <w:rPr>
          <w:sz w:val="21"/>
          <w:szCs w:val="21"/>
          <w:shd w:val="clear" w:color="auto" w:fill="FFFFFF"/>
        </w:rPr>
      </w:pPr>
    </w:p>
    <w:p w14:paraId="08B8FCCE" w14:textId="77777777" w:rsidR="003648F1" w:rsidRDefault="003648F1" w:rsidP="008A5924">
      <w:pPr>
        <w:rPr>
          <w:sz w:val="21"/>
          <w:szCs w:val="21"/>
          <w:shd w:val="clear" w:color="auto" w:fill="FFFFFF"/>
        </w:rPr>
      </w:pPr>
    </w:p>
    <w:p w14:paraId="3BC72E32" w14:textId="0AEC9C17" w:rsidR="008A5924" w:rsidRDefault="008A5924" w:rsidP="008A5924">
      <w:pPr>
        <w:pStyle w:val="Descripcin"/>
        <w:keepNext/>
        <w:rPr>
          <w:color w:val="000000" w:themeColor="text1"/>
        </w:rPr>
      </w:pPr>
      <w:bookmarkStart w:id="230" w:name="_Toc16243002"/>
      <w:r w:rsidRPr="007B1CA6">
        <w:rPr>
          <w:color w:val="000000" w:themeColor="text1"/>
        </w:rPr>
        <w:t xml:space="preserve">Gráfico  </w:t>
      </w:r>
      <w:r w:rsidRPr="007B1CA6">
        <w:rPr>
          <w:color w:val="000000" w:themeColor="text1"/>
        </w:rPr>
        <w:fldChar w:fldCharType="begin"/>
      </w:r>
      <w:r w:rsidRPr="007B1CA6">
        <w:rPr>
          <w:color w:val="000000" w:themeColor="text1"/>
        </w:rPr>
        <w:instrText xml:space="preserve"> SEQ Gráfico_ \* ARABIC </w:instrText>
      </w:r>
      <w:r w:rsidRPr="007B1CA6">
        <w:rPr>
          <w:color w:val="000000" w:themeColor="text1"/>
        </w:rPr>
        <w:fldChar w:fldCharType="separate"/>
      </w:r>
      <w:r w:rsidR="004B2A60">
        <w:rPr>
          <w:noProof/>
          <w:color w:val="000000" w:themeColor="text1"/>
        </w:rPr>
        <w:t>39</w:t>
      </w:r>
      <w:r w:rsidRPr="007B1CA6">
        <w:rPr>
          <w:noProof/>
          <w:color w:val="000000" w:themeColor="text1"/>
        </w:rPr>
        <w:fldChar w:fldCharType="end"/>
      </w:r>
      <w:r w:rsidRPr="007B1CA6">
        <w:rPr>
          <w:color w:val="000000" w:themeColor="text1"/>
        </w:rPr>
        <w:t>: Calendario estacional de producción de alimentos en Guatemala</w:t>
      </w:r>
      <w:bookmarkEnd w:id="230"/>
      <w:r w:rsidR="003648F1" w:rsidRPr="007B1CA6">
        <w:rPr>
          <w:color w:val="000000" w:themeColor="text1"/>
        </w:rPr>
        <w:t xml:space="preserve"> </w:t>
      </w:r>
    </w:p>
    <w:p w14:paraId="63441951" w14:textId="77777777" w:rsidR="00056555" w:rsidRPr="00056555" w:rsidRDefault="00056555" w:rsidP="00056555"/>
    <w:p w14:paraId="468C1A82" w14:textId="77777777" w:rsidR="003648F1" w:rsidRPr="003648F1" w:rsidRDefault="003648F1" w:rsidP="003648F1"/>
    <w:p w14:paraId="07E1BE27" w14:textId="77777777" w:rsidR="008A5924" w:rsidRPr="00184700" w:rsidRDefault="008A5924" w:rsidP="00595203">
      <w:pPr>
        <w:jc w:val="center"/>
        <w:rPr>
          <w:noProof/>
          <w:sz w:val="21"/>
          <w:szCs w:val="21"/>
          <w:shd w:val="clear" w:color="auto" w:fill="FFFFFF"/>
          <w:lang w:eastAsia="es-GT"/>
        </w:rPr>
      </w:pPr>
      <w:r w:rsidRPr="00184700">
        <w:rPr>
          <w:noProof/>
          <w:sz w:val="21"/>
          <w:szCs w:val="21"/>
          <w:shd w:val="clear" w:color="auto" w:fill="FFFFFF"/>
          <w:lang w:val="es-GT" w:eastAsia="es-GT"/>
        </w:rPr>
        <w:drawing>
          <wp:inline distT="0" distB="0" distL="0" distR="0" wp14:anchorId="16B7E532" wp14:editId="27E06EA1">
            <wp:extent cx="5610587" cy="254317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5544" cy="2549955"/>
                    </a:xfrm>
                    <a:prstGeom prst="rect">
                      <a:avLst/>
                    </a:prstGeom>
                    <a:noFill/>
                    <a:ln>
                      <a:noFill/>
                    </a:ln>
                  </pic:spPr>
                </pic:pic>
              </a:graphicData>
            </a:graphic>
          </wp:inline>
        </w:drawing>
      </w:r>
    </w:p>
    <w:p w14:paraId="7A48983C" w14:textId="77777777" w:rsidR="008A5924" w:rsidRPr="00FE61CB" w:rsidRDefault="00595203" w:rsidP="008A5924">
      <w:pPr>
        <w:jc w:val="both"/>
        <w:rPr>
          <w:sz w:val="16"/>
        </w:rPr>
      </w:pPr>
      <w:r>
        <w:rPr>
          <w:sz w:val="18"/>
          <w:szCs w:val="21"/>
          <w:shd w:val="clear" w:color="auto" w:fill="FFFFFF"/>
        </w:rPr>
        <w:t xml:space="preserve">               </w:t>
      </w:r>
      <w:r w:rsidR="008A5924" w:rsidRPr="00087787">
        <w:rPr>
          <w:b/>
          <w:sz w:val="18"/>
          <w:szCs w:val="21"/>
          <w:shd w:val="clear" w:color="auto" w:fill="FFFFFF"/>
        </w:rPr>
        <w:t>Fuente</w:t>
      </w:r>
      <w:r w:rsidR="00087787">
        <w:rPr>
          <w:sz w:val="18"/>
          <w:szCs w:val="21"/>
          <w:shd w:val="clear" w:color="auto" w:fill="FFFFFF"/>
        </w:rPr>
        <w:t>:</w:t>
      </w:r>
      <w:r w:rsidR="008A5924" w:rsidRPr="00FE61CB">
        <w:rPr>
          <w:sz w:val="18"/>
          <w:szCs w:val="21"/>
          <w:shd w:val="clear" w:color="auto" w:fill="FFFFFF"/>
        </w:rPr>
        <w:t xml:space="preserve"> </w:t>
      </w:r>
      <w:r w:rsidR="008A5924" w:rsidRPr="00FE61CB">
        <w:rPr>
          <w:sz w:val="16"/>
        </w:rPr>
        <w:t>FEWS NET</w:t>
      </w:r>
    </w:p>
    <w:p w14:paraId="4E052D3B" w14:textId="77777777" w:rsidR="008A5924" w:rsidRDefault="008A5924" w:rsidP="008A5924">
      <w:pPr>
        <w:jc w:val="both"/>
        <w:rPr>
          <w:sz w:val="14"/>
        </w:rPr>
      </w:pPr>
    </w:p>
    <w:p w14:paraId="37A51EF4" w14:textId="77777777" w:rsidR="008A5924" w:rsidRPr="00184700" w:rsidRDefault="008A5924" w:rsidP="008A5924">
      <w:pPr>
        <w:jc w:val="both"/>
        <w:rPr>
          <w:sz w:val="16"/>
          <w:szCs w:val="21"/>
          <w:shd w:val="clear" w:color="auto" w:fill="FFFFFF"/>
        </w:rPr>
      </w:pPr>
    </w:p>
    <w:p w14:paraId="54A14D68" w14:textId="77777777" w:rsidR="008A5924" w:rsidRPr="007B1CA6" w:rsidRDefault="008A5924" w:rsidP="008A5924">
      <w:pPr>
        <w:jc w:val="both"/>
        <w:rPr>
          <w:sz w:val="24"/>
          <w:szCs w:val="24"/>
          <w:shd w:val="clear" w:color="auto" w:fill="FFFFFF"/>
        </w:rPr>
      </w:pPr>
      <w:r w:rsidRPr="007B1CA6">
        <w:rPr>
          <w:sz w:val="24"/>
          <w:szCs w:val="24"/>
          <w:shd w:val="clear" w:color="auto" w:fill="FFFFFF"/>
        </w:rPr>
        <w:t>Generalmente durante la temporada de escasez existe un incremento en los casos de desnutrición. Esta situación puede complicarse este año debido a la difícil la situación de seguridad alimentaria de las familias durante los meses recién pasados, donde resalta la poca o nula disponibilidad de granos básicos de su propia cosecha, el rápido agotamiento de los ingresos percibidos por jornal en los meses anteriores, y las alteraciones en la dieta básica.</w:t>
      </w:r>
    </w:p>
    <w:p w14:paraId="4B2375A8" w14:textId="77777777" w:rsidR="008A5924" w:rsidRPr="007B1CA6" w:rsidRDefault="008A5924" w:rsidP="008A5924">
      <w:pPr>
        <w:jc w:val="both"/>
        <w:rPr>
          <w:sz w:val="24"/>
          <w:szCs w:val="24"/>
          <w:shd w:val="clear" w:color="auto" w:fill="FFFFFF"/>
        </w:rPr>
      </w:pPr>
    </w:p>
    <w:p w14:paraId="2A6596EF" w14:textId="77777777" w:rsidR="008A5924" w:rsidRDefault="008A5924" w:rsidP="008A5924">
      <w:pPr>
        <w:jc w:val="both"/>
        <w:rPr>
          <w:sz w:val="24"/>
          <w:szCs w:val="24"/>
          <w:shd w:val="clear" w:color="auto" w:fill="FFFFFF"/>
        </w:rPr>
      </w:pPr>
      <w:r w:rsidRPr="007B1CA6">
        <w:rPr>
          <w:sz w:val="24"/>
          <w:szCs w:val="24"/>
          <w:shd w:val="clear" w:color="auto" w:fill="FFFFFF"/>
        </w:rPr>
        <w:t>En los últimos años, han ocurrido severas limitaciones de disponibilidad de alimentos registradas a causa de eventos asociados con anomalías negativas de precipitación (sequías) y el fenómeno El Niño. Lo anterior ha significado considerables impactos económicos, por el gasto en asistencia alimentaria y atención a las comunidades afectadas por eventos climáticos y a los damnificados por la canícula prolongada.</w:t>
      </w:r>
    </w:p>
    <w:p w14:paraId="165C0DB1" w14:textId="77777777" w:rsidR="00D07A98" w:rsidRDefault="00D07A98" w:rsidP="008A5924">
      <w:pPr>
        <w:jc w:val="both"/>
        <w:rPr>
          <w:sz w:val="24"/>
          <w:szCs w:val="24"/>
          <w:shd w:val="clear" w:color="auto" w:fill="FFFFFF"/>
        </w:rPr>
      </w:pPr>
    </w:p>
    <w:p w14:paraId="648601FC" w14:textId="77777777" w:rsidR="00D07A98" w:rsidRDefault="00D07A98" w:rsidP="008A5924">
      <w:pPr>
        <w:jc w:val="both"/>
        <w:rPr>
          <w:sz w:val="24"/>
          <w:szCs w:val="24"/>
          <w:shd w:val="clear" w:color="auto" w:fill="FFFFFF"/>
        </w:rPr>
      </w:pPr>
    </w:p>
    <w:p w14:paraId="040713B7" w14:textId="77777777" w:rsidR="00D07A98" w:rsidRDefault="00D07A98" w:rsidP="008A5924">
      <w:pPr>
        <w:jc w:val="both"/>
        <w:rPr>
          <w:sz w:val="24"/>
          <w:szCs w:val="24"/>
          <w:shd w:val="clear" w:color="auto" w:fill="FFFFFF"/>
        </w:rPr>
      </w:pPr>
    </w:p>
    <w:p w14:paraId="1E8C0DED" w14:textId="4A6F24B4" w:rsidR="00D07A98" w:rsidRDefault="00D07A98" w:rsidP="008A5924">
      <w:pPr>
        <w:jc w:val="both"/>
        <w:rPr>
          <w:sz w:val="24"/>
          <w:szCs w:val="24"/>
          <w:shd w:val="clear" w:color="auto" w:fill="FFFFFF"/>
        </w:rPr>
      </w:pPr>
    </w:p>
    <w:p w14:paraId="24DFD95F" w14:textId="77777777" w:rsidR="006812CD" w:rsidRDefault="006812CD" w:rsidP="008A5924">
      <w:pPr>
        <w:jc w:val="both"/>
        <w:rPr>
          <w:sz w:val="24"/>
          <w:szCs w:val="24"/>
          <w:shd w:val="clear" w:color="auto" w:fill="FFFFFF"/>
        </w:rPr>
      </w:pPr>
    </w:p>
    <w:p w14:paraId="7DFF0AA5" w14:textId="77777777" w:rsidR="00D07A98" w:rsidRDefault="00D07A98" w:rsidP="008A5924">
      <w:pPr>
        <w:jc w:val="both"/>
        <w:rPr>
          <w:sz w:val="24"/>
          <w:szCs w:val="24"/>
          <w:shd w:val="clear" w:color="auto" w:fill="FFFFFF"/>
        </w:rPr>
      </w:pPr>
    </w:p>
    <w:p w14:paraId="3C485C12" w14:textId="77777777" w:rsidR="00D07A98" w:rsidRPr="007B1CA6" w:rsidRDefault="00D07A98" w:rsidP="008A5924">
      <w:pPr>
        <w:jc w:val="both"/>
        <w:rPr>
          <w:sz w:val="24"/>
          <w:szCs w:val="24"/>
          <w:shd w:val="clear" w:color="auto" w:fill="FFFFFF"/>
        </w:rPr>
      </w:pPr>
    </w:p>
    <w:p w14:paraId="3F00E965" w14:textId="77777777" w:rsidR="008A5924" w:rsidRPr="00184700" w:rsidRDefault="008A5924" w:rsidP="008A5924">
      <w:pPr>
        <w:jc w:val="center"/>
        <w:rPr>
          <w:sz w:val="21"/>
          <w:szCs w:val="21"/>
          <w:shd w:val="clear" w:color="auto" w:fill="FFFFFF"/>
        </w:rPr>
      </w:pPr>
    </w:p>
    <w:p w14:paraId="21068CC7" w14:textId="05B43F6D" w:rsidR="008A5924" w:rsidRPr="00B82A4D" w:rsidRDefault="008A5924" w:rsidP="008A5924">
      <w:pPr>
        <w:pStyle w:val="Descripcin"/>
        <w:rPr>
          <w:color w:val="000000" w:themeColor="text1"/>
        </w:rPr>
      </w:pPr>
      <w:bookmarkStart w:id="231" w:name="_Toc16242962"/>
      <w:r w:rsidRPr="00B82A4D">
        <w:rPr>
          <w:color w:val="000000" w:themeColor="text1"/>
        </w:rPr>
        <w:t xml:space="preserve">Cuadro  </w:t>
      </w:r>
      <w:r w:rsidRPr="00B82A4D">
        <w:rPr>
          <w:color w:val="000000" w:themeColor="text1"/>
        </w:rPr>
        <w:fldChar w:fldCharType="begin"/>
      </w:r>
      <w:r w:rsidRPr="00B82A4D">
        <w:rPr>
          <w:color w:val="000000" w:themeColor="text1"/>
        </w:rPr>
        <w:instrText xml:space="preserve"> SEQ Cuadro_ \* ARABIC </w:instrText>
      </w:r>
      <w:r w:rsidRPr="00B82A4D">
        <w:rPr>
          <w:color w:val="000000" w:themeColor="text1"/>
        </w:rPr>
        <w:fldChar w:fldCharType="separate"/>
      </w:r>
      <w:r w:rsidR="004B2A60">
        <w:rPr>
          <w:noProof/>
          <w:color w:val="000000" w:themeColor="text1"/>
        </w:rPr>
        <w:t>12</w:t>
      </w:r>
      <w:r w:rsidRPr="00B82A4D">
        <w:rPr>
          <w:noProof/>
          <w:color w:val="000000" w:themeColor="text1"/>
        </w:rPr>
        <w:fldChar w:fldCharType="end"/>
      </w:r>
      <w:r w:rsidRPr="00B82A4D">
        <w:rPr>
          <w:color w:val="000000" w:themeColor="text1"/>
        </w:rPr>
        <w:t>: Ministerio de Agricultura, Ganadería y Alimentación</w:t>
      </w:r>
      <w:bookmarkEnd w:id="231"/>
    </w:p>
    <w:p w14:paraId="135373E8" w14:textId="77777777" w:rsidR="008A5924" w:rsidRPr="00283090" w:rsidRDefault="008A5924" w:rsidP="008A5924">
      <w:pPr>
        <w:jc w:val="center"/>
        <w:rPr>
          <w:sz w:val="16"/>
          <w:lang w:val="es-MX"/>
        </w:rPr>
      </w:pPr>
      <w:r w:rsidRPr="00283090">
        <w:rPr>
          <w:sz w:val="16"/>
          <w:lang w:val="es-MX"/>
        </w:rPr>
        <w:t>Gasto en la atención de eventos provocados por el cambio climático</w:t>
      </w:r>
    </w:p>
    <w:p w14:paraId="039234F2" w14:textId="77777777" w:rsidR="008A5924" w:rsidRPr="00283090" w:rsidRDefault="008A5924" w:rsidP="008A5924">
      <w:pPr>
        <w:jc w:val="center"/>
        <w:rPr>
          <w:sz w:val="16"/>
          <w:lang w:val="es-MX"/>
        </w:rPr>
      </w:pPr>
      <w:r w:rsidRPr="00283090">
        <w:rPr>
          <w:sz w:val="16"/>
          <w:lang w:val="es-MX"/>
        </w:rPr>
        <w:t>2016-2018</w:t>
      </w:r>
    </w:p>
    <w:p w14:paraId="1B05DB18" w14:textId="77777777" w:rsidR="008A5924" w:rsidRDefault="008A5924" w:rsidP="008A5924">
      <w:pPr>
        <w:jc w:val="center"/>
        <w:rPr>
          <w:sz w:val="16"/>
          <w:lang w:val="es-MX"/>
        </w:rPr>
      </w:pPr>
      <w:r w:rsidRPr="00283090">
        <w:rPr>
          <w:sz w:val="16"/>
          <w:lang w:val="es-MX"/>
        </w:rPr>
        <w:t>Cifras en millones de Quetzales</w:t>
      </w:r>
    </w:p>
    <w:p w14:paraId="4AB2DD84" w14:textId="77777777" w:rsidR="00056555" w:rsidRPr="00283090" w:rsidRDefault="00056555" w:rsidP="008A5924">
      <w:pPr>
        <w:jc w:val="center"/>
        <w:rPr>
          <w:sz w:val="16"/>
          <w:lang w:val="es-MX"/>
        </w:rPr>
      </w:pPr>
    </w:p>
    <w:tbl>
      <w:tblPr>
        <w:tblW w:w="8804" w:type="dxa"/>
        <w:jc w:val="center"/>
        <w:tblCellMar>
          <w:left w:w="70" w:type="dxa"/>
          <w:right w:w="70" w:type="dxa"/>
        </w:tblCellMar>
        <w:tblLook w:val="04A0" w:firstRow="1" w:lastRow="0" w:firstColumn="1" w:lastColumn="0" w:noHBand="0" w:noVBand="1"/>
      </w:tblPr>
      <w:tblGrid>
        <w:gridCol w:w="3201"/>
        <w:gridCol w:w="1516"/>
        <w:gridCol w:w="1499"/>
        <w:gridCol w:w="1294"/>
        <w:gridCol w:w="1294"/>
      </w:tblGrid>
      <w:tr w:rsidR="008A5924" w:rsidRPr="00184700" w14:paraId="69E614A8" w14:textId="77777777" w:rsidTr="00595203">
        <w:trPr>
          <w:trHeight w:val="582"/>
          <w:jc w:val="center"/>
        </w:trPr>
        <w:tc>
          <w:tcPr>
            <w:tcW w:w="320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AE8FAD4" w14:textId="77777777" w:rsidR="008A5924" w:rsidRPr="00184700" w:rsidRDefault="008A5924" w:rsidP="008A5924">
            <w:pPr>
              <w:jc w:val="center"/>
              <w:rPr>
                <w:b/>
                <w:bCs/>
                <w:lang w:eastAsia="es-GT"/>
              </w:rPr>
            </w:pPr>
            <w:r w:rsidRPr="00184700">
              <w:rPr>
                <w:b/>
                <w:bCs/>
                <w:lang w:eastAsia="es-GT"/>
              </w:rPr>
              <w:t>Programa</w:t>
            </w:r>
          </w:p>
        </w:tc>
        <w:tc>
          <w:tcPr>
            <w:tcW w:w="1516" w:type="dxa"/>
            <w:tcBorders>
              <w:top w:val="single" w:sz="4" w:space="0" w:color="auto"/>
              <w:left w:val="nil"/>
              <w:bottom w:val="single" w:sz="4" w:space="0" w:color="auto"/>
              <w:right w:val="single" w:sz="4" w:space="0" w:color="auto"/>
            </w:tcBorders>
            <w:shd w:val="clear" w:color="000000" w:fill="BDD7EE"/>
            <w:noWrap/>
            <w:vAlign w:val="center"/>
            <w:hideMark/>
          </w:tcPr>
          <w:p w14:paraId="66EB63BD" w14:textId="77777777" w:rsidR="008A5924" w:rsidRPr="00184700" w:rsidRDefault="008A5924" w:rsidP="008A5924">
            <w:pPr>
              <w:jc w:val="center"/>
              <w:rPr>
                <w:b/>
                <w:bCs/>
                <w:lang w:eastAsia="es-GT"/>
              </w:rPr>
            </w:pPr>
            <w:r w:rsidRPr="00184700">
              <w:rPr>
                <w:b/>
                <w:bCs/>
                <w:lang w:eastAsia="es-GT"/>
              </w:rPr>
              <w:t>2016</w:t>
            </w:r>
          </w:p>
        </w:tc>
        <w:tc>
          <w:tcPr>
            <w:tcW w:w="1499" w:type="dxa"/>
            <w:tcBorders>
              <w:top w:val="single" w:sz="4" w:space="0" w:color="auto"/>
              <w:left w:val="nil"/>
              <w:bottom w:val="single" w:sz="4" w:space="0" w:color="auto"/>
              <w:right w:val="single" w:sz="4" w:space="0" w:color="auto"/>
            </w:tcBorders>
            <w:shd w:val="clear" w:color="000000" w:fill="BDD7EE"/>
            <w:noWrap/>
            <w:vAlign w:val="center"/>
            <w:hideMark/>
          </w:tcPr>
          <w:p w14:paraId="6F5E49DC" w14:textId="77777777" w:rsidR="008A5924" w:rsidRPr="00184700" w:rsidRDefault="008A5924" w:rsidP="008A5924">
            <w:pPr>
              <w:jc w:val="center"/>
              <w:rPr>
                <w:b/>
                <w:bCs/>
                <w:lang w:eastAsia="es-GT"/>
              </w:rPr>
            </w:pPr>
            <w:r w:rsidRPr="00184700">
              <w:rPr>
                <w:b/>
                <w:bCs/>
                <w:lang w:eastAsia="es-GT"/>
              </w:rPr>
              <w:t>2017</w:t>
            </w:r>
          </w:p>
        </w:tc>
        <w:tc>
          <w:tcPr>
            <w:tcW w:w="1294" w:type="dxa"/>
            <w:tcBorders>
              <w:top w:val="single" w:sz="4" w:space="0" w:color="auto"/>
              <w:left w:val="nil"/>
              <w:bottom w:val="single" w:sz="4" w:space="0" w:color="auto"/>
              <w:right w:val="single" w:sz="4" w:space="0" w:color="auto"/>
            </w:tcBorders>
            <w:shd w:val="clear" w:color="000000" w:fill="BDD7EE"/>
            <w:noWrap/>
            <w:vAlign w:val="center"/>
            <w:hideMark/>
          </w:tcPr>
          <w:p w14:paraId="0F4474F6" w14:textId="77777777" w:rsidR="008A5924" w:rsidRPr="00184700" w:rsidRDefault="008A5924" w:rsidP="008A5924">
            <w:pPr>
              <w:jc w:val="center"/>
              <w:rPr>
                <w:b/>
                <w:bCs/>
                <w:lang w:eastAsia="es-GT"/>
              </w:rPr>
            </w:pPr>
            <w:r w:rsidRPr="00184700">
              <w:rPr>
                <w:b/>
                <w:bCs/>
                <w:lang w:eastAsia="es-GT"/>
              </w:rPr>
              <w:t>2018</w:t>
            </w:r>
          </w:p>
        </w:tc>
        <w:tc>
          <w:tcPr>
            <w:tcW w:w="1294" w:type="dxa"/>
            <w:tcBorders>
              <w:top w:val="single" w:sz="4" w:space="0" w:color="auto"/>
              <w:left w:val="nil"/>
              <w:bottom w:val="single" w:sz="4" w:space="0" w:color="auto"/>
              <w:right w:val="single" w:sz="4" w:space="0" w:color="auto"/>
            </w:tcBorders>
            <w:shd w:val="clear" w:color="000000" w:fill="BDD7EE"/>
            <w:noWrap/>
            <w:vAlign w:val="center"/>
            <w:hideMark/>
          </w:tcPr>
          <w:p w14:paraId="5047B48B" w14:textId="77777777" w:rsidR="008A5924" w:rsidRPr="00184700" w:rsidRDefault="008A5924" w:rsidP="008A5924">
            <w:pPr>
              <w:jc w:val="center"/>
              <w:rPr>
                <w:b/>
                <w:bCs/>
                <w:lang w:eastAsia="es-GT"/>
              </w:rPr>
            </w:pPr>
            <w:r w:rsidRPr="00184700">
              <w:rPr>
                <w:b/>
                <w:bCs/>
                <w:lang w:eastAsia="es-GT"/>
              </w:rPr>
              <w:t>Acumulado</w:t>
            </w:r>
          </w:p>
        </w:tc>
      </w:tr>
      <w:tr w:rsidR="008A5924" w:rsidRPr="00184700" w14:paraId="6861F781" w14:textId="77777777" w:rsidTr="00595203">
        <w:trPr>
          <w:trHeight w:val="341"/>
          <w:jc w:val="center"/>
        </w:trPr>
        <w:tc>
          <w:tcPr>
            <w:tcW w:w="3201" w:type="dxa"/>
            <w:tcBorders>
              <w:top w:val="nil"/>
              <w:left w:val="single" w:sz="4" w:space="0" w:color="auto"/>
              <w:bottom w:val="single" w:sz="4" w:space="0" w:color="auto"/>
              <w:right w:val="single" w:sz="4" w:space="0" w:color="auto"/>
            </w:tcBorders>
            <w:shd w:val="clear" w:color="000000" w:fill="FFFFFF"/>
            <w:vAlign w:val="center"/>
            <w:hideMark/>
          </w:tcPr>
          <w:p w14:paraId="3AB35AE8" w14:textId="77777777" w:rsidR="008A5924" w:rsidRPr="00184700" w:rsidRDefault="008A5924" w:rsidP="008A5924">
            <w:pPr>
              <w:rPr>
                <w:lang w:eastAsia="es-GT"/>
              </w:rPr>
            </w:pPr>
            <w:r w:rsidRPr="00184700">
              <w:rPr>
                <w:lang w:eastAsia="es-GT"/>
              </w:rPr>
              <w:t>Asistencia Alimentaria</w:t>
            </w:r>
          </w:p>
        </w:tc>
        <w:tc>
          <w:tcPr>
            <w:tcW w:w="1516" w:type="dxa"/>
            <w:tcBorders>
              <w:top w:val="nil"/>
              <w:left w:val="nil"/>
              <w:bottom w:val="single" w:sz="4" w:space="0" w:color="auto"/>
              <w:right w:val="single" w:sz="4" w:space="0" w:color="auto"/>
            </w:tcBorders>
            <w:shd w:val="clear" w:color="000000" w:fill="FFFFFF"/>
            <w:noWrap/>
            <w:vAlign w:val="center"/>
            <w:hideMark/>
          </w:tcPr>
          <w:p w14:paraId="0DB34303" w14:textId="77777777" w:rsidR="008A5924" w:rsidRPr="00184700" w:rsidRDefault="008A5924" w:rsidP="008A5924">
            <w:pPr>
              <w:jc w:val="right"/>
              <w:rPr>
                <w:lang w:eastAsia="es-GT"/>
              </w:rPr>
            </w:pPr>
            <w:r w:rsidRPr="00184700">
              <w:rPr>
                <w:lang w:eastAsia="es-GT"/>
              </w:rPr>
              <w:t xml:space="preserve">                        109.31 </w:t>
            </w:r>
          </w:p>
        </w:tc>
        <w:tc>
          <w:tcPr>
            <w:tcW w:w="1499" w:type="dxa"/>
            <w:tcBorders>
              <w:top w:val="nil"/>
              <w:left w:val="nil"/>
              <w:bottom w:val="single" w:sz="4" w:space="0" w:color="auto"/>
              <w:right w:val="single" w:sz="4" w:space="0" w:color="auto"/>
            </w:tcBorders>
            <w:shd w:val="clear" w:color="000000" w:fill="FFFFFF"/>
            <w:noWrap/>
            <w:vAlign w:val="center"/>
            <w:hideMark/>
          </w:tcPr>
          <w:p w14:paraId="311E7D91" w14:textId="77777777" w:rsidR="008A5924" w:rsidRPr="00184700" w:rsidRDefault="008A5924" w:rsidP="008A5924">
            <w:pPr>
              <w:jc w:val="right"/>
              <w:rPr>
                <w:lang w:eastAsia="es-GT"/>
              </w:rPr>
            </w:pPr>
            <w:r w:rsidRPr="00184700">
              <w:rPr>
                <w:lang w:eastAsia="es-GT"/>
              </w:rPr>
              <w:t xml:space="preserve">                       123.36 </w:t>
            </w:r>
          </w:p>
        </w:tc>
        <w:tc>
          <w:tcPr>
            <w:tcW w:w="1294" w:type="dxa"/>
            <w:tcBorders>
              <w:top w:val="nil"/>
              <w:left w:val="nil"/>
              <w:bottom w:val="single" w:sz="4" w:space="0" w:color="auto"/>
              <w:right w:val="single" w:sz="4" w:space="0" w:color="auto"/>
            </w:tcBorders>
            <w:shd w:val="clear" w:color="000000" w:fill="FFFFFF"/>
            <w:noWrap/>
            <w:vAlign w:val="center"/>
            <w:hideMark/>
          </w:tcPr>
          <w:p w14:paraId="79C3F558" w14:textId="77777777" w:rsidR="008A5924" w:rsidRPr="00184700" w:rsidRDefault="008A5924" w:rsidP="008A5924">
            <w:pPr>
              <w:jc w:val="right"/>
              <w:rPr>
                <w:lang w:eastAsia="es-GT"/>
              </w:rPr>
            </w:pPr>
            <w:r w:rsidRPr="00184700">
              <w:rPr>
                <w:lang w:eastAsia="es-GT"/>
              </w:rPr>
              <w:t xml:space="preserve">                  127.15 </w:t>
            </w:r>
          </w:p>
        </w:tc>
        <w:tc>
          <w:tcPr>
            <w:tcW w:w="1294" w:type="dxa"/>
            <w:tcBorders>
              <w:top w:val="nil"/>
              <w:left w:val="nil"/>
              <w:bottom w:val="single" w:sz="4" w:space="0" w:color="auto"/>
              <w:right w:val="single" w:sz="4" w:space="0" w:color="auto"/>
            </w:tcBorders>
            <w:shd w:val="clear" w:color="000000" w:fill="FFFFFF"/>
            <w:noWrap/>
            <w:vAlign w:val="center"/>
            <w:hideMark/>
          </w:tcPr>
          <w:p w14:paraId="6DA830B8" w14:textId="77777777" w:rsidR="008A5924" w:rsidRPr="00184700" w:rsidRDefault="008A5924" w:rsidP="008A5924">
            <w:pPr>
              <w:jc w:val="right"/>
              <w:rPr>
                <w:lang w:eastAsia="es-GT"/>
              </w:rPr>
            </w:pPr>
            <w:r w:rsidRPr="00184700">
              <w:rPr>
                <w:lang w:eastAsia="es-GT"/>
              </w:rPr>
              <w:t xml:space="preserve">                  359.82 </w:t>
            </w:r>
          </w:p>
        </w:tc>
      </w:tr>
      <w:tr w:rsidR="008A5924" w:rsidRPr="00184700" w14:paraId="630B7F47" w14:textId="77777777" w:rsidTr="00595203">
        <w:trPr>
          <w:trHeight w:val="483"/>
          <w:jc w:val="center"/>
        </w:trPr>
        <w:tc>
          <w:tcPr>
            <w:tcW w:w="3201" w:type="dxa"/>
            <w:tcBorders>
              <w:top w:val="nil"/>
              <w:left w:val="single" w:sz="4" w:space="0" w:color="auto"/>
              <w:bottom w:val="single" w:sz="4" w:space="0" w:color="auto"/>
              <w:right w:val="single" w:sz="4" w:space="0" w:color="auto"/>
            </w:tcBorders>
            <w:shd w:val="clear" w:color="000000" w:fill="FFFFFF"/>
            <w:vAlign w:val="center"/>
            <w:hideMark/>
          </w:tcPr>
          <w:p w14:paraId="11610907" w14:textId="77777777" w:rsidR="008A5924" w:rsidRPr="00184700" w:rsidRDefault="008A5924" w:rsidP="008A5924">
            <w:pPr>
              <w:rPr>
                <w:lang w:eastAsia="es-GT"/>
              </w:rPr>
            </w:pPr>
            <w:r w:rsidRPr="00184700">
              <w:rPr>
                <w:lang w:eastAsia="es-GT"/>
              </w:rPr>
              <w:t>Atención a afectados por eventos climáticos y desastres naturales</w:t>
            </w:r>
          </w:p>
        </w:tc>
        <w:tc>
          <w:tcPr>
            <w:tcW w:w="1516" w:type="dxa"/>
            <w:tcBorders>
              <w:top w:val="nil"/>
              <w:left w:val="nil"/>
              <w:bottom w:val="single" w:sz="4" w:space="0" w:color="auto"/>
              <w:right w:val="single" w:sz="4" w:space="0" w:color="auto"/>
            </w:tcBorders>
            <w:shd w:val="clear" w:color="000000" w:fill="FFFFFF"/>
            <w:noWrap/>
            <w:vAlign w:val="center"/>
            <w:hideMark/>
          </w:tcPr>
          <w:p w14:paraId="52A3FA01" w14:textId="77777777" w:rsidR="008A5924" w:rsidRPr="00184700" w:rsidRDefault="008A5924" w:rsidP="008A5924">
            <w:pPr>
              <w:jc w:val="right"/>
              <w:rPr>
                <w:lang w:eastAsia="es-GT"/>
              </w:rPr>
            </w:pPr>
            <w:r w:rsidRPr="00184700">
              <w:rPr>
                <w:lang w:eastAsia="es-GT"/>
              </w:rPr>
              <w:t xml:space="preserve">                             2.16 </w:t>
            </w:r>
          </w:p>
        </w:tc>
        <w:tc>
          <w:tcPr>
            <w:tcW w:w="1499" w:type="dxa"/>
            <w:tcBorders>
              <w:top w:val="nil"/>
              <w:left w:val="nil"/>
              <w:bottom w:val="single" w:sz="4" w:space="0" w:color="auto"/>
              <w:right w:val="single" w:sz="4" w:space="0" w:color="auto"/>
            </w:tcBorders>
            <w:shd w:val="clear" w:color="000000" w:fill="FFFFFF"/>
            <w:noWrap/>
            <w:vAlign w:val="center"/>
            <w:hideMark/>
          </w:tcPr>
          <w:p w14:paraId="77BAD57F" w14:textId="77777777" w:rsidR="008A5924" w:rsidRPr="00184700" w:rsidRDefault="008A5924" w:rsidP="008A5924">
            <w:pPr>
              <w:jc w:val="right"/>
              <w:rPr>
                <w:lang w:eastAsia="es-GT"/>
              </w:rPr>
            </w:pPr>
            <w:r w:rsidRPr="00184700">
              <w:rPr>
                <w:lang w:eastAsia="es-GT"/>
              </w:rPr>
              <w:t xml:space="preserve">                            0.74 </w:t>
            </w:r>
          </w:p>
        </w:tc>
        <w:tc>
          <w:tcPr>
            <w:tcW w:w="1294" w:type="dxa"/>
            <w:tcBorders>
              <w:top w:val="nil"/>
              <w:left w:val="nil"/>
              <w:bottom w:val="single" w:sz="4" w:space="0" w:color="auto"/>
              <w:right w:val="single" w:sz="4" w:space="0" w:color="auto"/>
            </w:tcBorders>
            <w:shd w:val="clear" w:color="000000" w:fill="FFFFFF"/>
            <w:noWrap/>
            <w:vAlign w:val="center"/>
            <w:hideMark/>
          </w:tcPr>
          <w:p w14:paraId="559D60DF" w14:textId="77777777" w:rsidR="008A5924" w:rsidRPr="00184700" w:rsidRDefault="008A5924" w:rsidP="008A5924">
            <w:pPr>
              <w:jc w:val="right"/>
              <w:rPr>
                <w:lang w:eastAsia="es-GT"/>
              </w:rPr>
            </w:pPr>
            <w:r w:rsidRPr="00184700">
              <w:rPr>
                <w:lang w:eastAsia="es-GT"/>
              </w:rPr>
              <w:t xml:space="preserve">                       0.84 </w:t>
            </w:r>
          </w:p>
        </w:tc>
        <w:tc>
          <w:tcPr>
            <w:tcW w:w="1294" w:type="dxa"/>
            <w:tcBorders>
              <w:top w:val="nil"/>
              <w:left w:val="nil"/>
              <w:bottom w:val="single" w:sz="4" w:space="0" w:color="auto"/>
              <w:right w:val="single" w:sz="4" w:space="0" w:color="auto"/>
            </w:tcBorders>
            <w:shd w:val="clear" w:color="000000" w:fill="FFFFFF"/>
            <w:noWrap/>
            <w:vAlign w:val="center"/>
            <w:hideMark/>
          </w:tcPr>
          <w:p w14:paraId="119A2F0B" w14:textId="77777777" w:rsidR="008A5924" w:rsidRPr="00184700" w:rsidRDefault="008A5924" w:rsidP="008A5924">
            <w:pPr>
              <w:jc w:val="right"/>
              <w:rPr>
                <w:lang w:eastAsia="es-GT"/>
              </w:rPr>
            </w:pPr>
            <w:r w:rsidRPr="00184700">
              <w:rPr>
                <w:lang w:eastAsia="es-GT"/>
              </w:rPr>
              <w:t xml:space="preserve">                       3.74 </w:t>
            </w:r>
          </w:p>
        </w:tc>
      </w:tr>
      <w:tr w:rsidR="008A5924" w:rsidRPr="00184700" w14:paraId="028ED7BA" w14:textId="77777777" w:rsidTr="00595203">
        <w:trPr>
          <w:trHeight w:val="483"/>
          <w:jc w:val="center"/>
        </w:trPr>
        <w:tc>
          <w:tcPr>
            <w:tcW w:w="3201" w:type="dxa"/>
            <w:tcBorders>
              <w:top w:val="nil"/>
              <w:left w:val="single" w:sz="4" w:space="0" w:color="auto"/>
              <w:bottom w:val="single" w:sz="4" w:space="0" w:color="auto"/>
              <w:right w:val="single" w:sz="4" w:space="0" w:color="auto"/>
            </w:tcBorders>
            <w:shd w:val="clear" w:color="000000" w:fill="FFFFFF"/>
            <w:vAlign w:val="center"/>
            <w:hideMark/>
          </w:tcPr>
          <w:p w14:paraId="4B1EAF2B" w14:textId="77777777" w:rsidR="008A5924" w:rsidRPr="00184700" w:rsidRDefault="008A5924" w:rsidP="008A5924">
            <w:pPr>
              <w:rPr>
                <w:lang w:eastAsia="es-GT"/>
              </w:rPr>
            </w:pPr>
            <w:r w:rsidRPr="00184700">
              <w:rPr>
                <w:lang w:eastAsia="es-GT"/>
              </w:rPr>
              <w:t>Atención a damnificados por la canícula prolongada</w:t>
            </w:r>
          </w:p>
        </w:tc>
        <w:tc>
          <w:tcPr>
            <w:tcW w:w="1516" w:type="dxa"/>
            <w:tcBorders>
              <w:top w:val="nil"/>
              <w:left w:val="nil"/>
              <w:bottom w:val="single" w:sz="4" w:space="0" w:color="auto"/>
              <w:right w:val="single" w:sz="4" w:space="0" w:color="auto"/>
            </w:tcBorders>
            <w:shd w:val="clear" w:color="000000" w:fill="FFFFFF"/>
            <w:noWrap/>
            <w:vAlign w:val="center"/>
            <w:hideMark/>
          </w:tcPr>
          <w:p w14:paraId="7332DF6E" w14:textId="77777777" w:rsidR="008A5924" w:rsidRPr="00184700" w:rsidRDefault="008A5924" w:rsidP="008A5924">
            <w:pPr>
              <w:jc w:val="right"/>
              <w:rPr>
                <w:lang w:eastAsia="es-GT"/>
              </w:rPr>
            </w:pPr>
            <w:r w:rsidRPr="00184700">
              <w:rPr>
                <w:lang w:eastAsia="es-GT"/>
              </w:rPr>
              <w:t> </w:t>
            </w:r>
          </w:p>
        </w:tc>
        <w:tc>
          <w:tcPr>
            <w:tcW w:w="1499" w:type="dxa"/>
            <w:tcBorders>
              <w:top w:val="nil"/>
              <w:left w:val="nil"/>
              <w:bottom w:val="single" w:sz="4" w:space="0" w:color="auto"/>
              <w:right w:val="single" w:sz="4" w:space="0" w:color="auto"/>
            </w:tcBorders>
            <w:shd w:val="clear" w:color="000000" w:fill="FFFFFF"/>
            <w:noWrap/>
            <w:vAlign w:val="center"/>
            <w:hideMark/>
          </w:tcPr>
          <w:p w14:paraId="01B284DD" w14:textId="77777777" w:rsidR="008A5924" w:rsidRPr="00184700" w:rsidRDefault="008A5924" w:rsidP="008A5924">
            <w:pPr>
              <w:jc w:val="right"/>
              <w:rPr>
                <w:lang w:eastAsia="es-GT"/>
              </w:rPr>
            </w:pPr>
            <w:r w:rsidRPr="00184700">
              <w:rPr>
                <w:lang w:eastAsia="es-GT"/>
              </w:rPr>
              <w:t> </w:t>
            </w:r>
          </w:p>
        </w:tc>
        <w:tc>
          <w:tcPr>
            <w:tcW w:w="1294" w:type="dxa"/>
            <w:tcBorders>
              <w:top w:val="nil"/>
              <w:left w:val="nil"/>
              <w:bottom w:val="single" w:sz="4" w:space="0" w:color="auto"/>
              <w:right w:val="single" w:sz="4" w:space="0" w:color="auto"/>
            </w:tcBorders>
            <w:shd w:val="clear" w:color="000000" w:fill="FFFFFF"/>
            <w:noWrap/>
            <w:vAlign w:val="center"/>
            <w:hideMark/>
          </w:tcPr>
          <w:p w14:paraId="389FB62D" w14:textId="77777777" w:rsidR="008A5924" w:rsidRPr="00184700" w:rsidRDefault="008A5924" w:rsidP="008A5924">
            <w:pPr>
              <w:jc w:val="right"/>
              <w:rPr>
                <w:lang w:eastAsia="es-GT"/>
              </w:rPr>
            </w:pPr>
            <w:r w:rsidRPr="00184700">
              <w:rPr>
                <w:lang w:eastAsia="es-GT"/>
              </w:rPr>
              <w:t xml:space="preserve">                    35.00 </w:t>
            </w:r>
          </w:p>
        </w:tc>
        <w:tc>
          <w:tcPr>
            <w:tcW w:w="1294" w:type="dxa"/>
            <w:tcBorders>
              <w:top w:val="nil"/>
              <w:left w:val="nil"/>
              <w:bottom w:val="single" w:sz="4" w:space="0" w:color="auto"/>
              <w:right w:val="single" w:sz="4" w:space="0" w:color="auto"/>
            </w:tcBorders>
            <w:shd w:val="clear" w:color="000000" w:fill="FFFFFF"/>
            <w:noWrap/>
            <w:vAlign w:val="center"/>
            <w:hideMark/>
          </w:tcPr>
          <w:p w14:paraId="621CB669" w14:textId="77777777" w:rsidR="008A5924" w:rsidRPr="00184700" w:rsidRDefault="008A5924" w:rsidP="008A5924">
            <w:pPr>
              <w:jc w:val="right"/>
              <w:rPr>
                <w:lang w:eastAsia="es-GT"/>
              </w:rPr>
            </w:pPr>
            <w:r w:rsidRPr="00184700">
              <w:rPr>
                <w:lang w:eastAsia="es-GT"/>
              </w:rPr>
              <w:t xml:space="preserve">                    35.00 </w:t>
            </w:r>
          </w:p>
        </w:tc>
      </w:tr>
      <w:tr w:rsidR="008A5924" w:rsidRPr="00184700" w14:paraId="7A1993C7" w14:textId="77777777" w:rsidTr="00595203">
        <w:trPr>
          <w:trHeight w:val="582"/>
          <w:jc w:val="center"/>
        </w:trPr>
        <w:tc>
          <w:tcPr>
            <w:tcW w:w="3201" w:type="dxa"/>
            <w:tcBorders>
              <w:top w:val="nil"/>
              <w:left w:val="single" w:sz="4" w:space="0" w:color="auto"/>
              <w:bottom w:val="single" w:sz="4" w:space="0" w:color="auto"/>
              <w:right w:val="single" w:sz="4" w:space="0" w:color="auto"/>
            </w:tcBorders>
            <w:shd w:val="clear" w:color="000000" w:fill="BDD7EE"/>
            <w:noWrap/>
            <w:vAlign w:val="center"/>
            <w:hideMark/>
          </w:tcPr>
          <w:p w14:paraId="3CF6BE88" w14:textId="77777777" w:rsidR="008A5924" w:rsidRPr="00184700" w:rsidRDefault="008A5924" w:rsidP="008A5924">
            <w:pPr>
              <w:jc w:val="center"/>
              <w:rPr>
                <w:b/>
                <w:bCs/>
                <w:lang w:eastAsia="es-GT"/>
              </w:rPr>
            </w:pPr>
            <w:r w:rsidRPr="00184700">
              <w:rPr>
                <w:b/>
                <w:bCs/>
                <w:lang w:eastAsia="es-GT"/>
              </w:rPr>
              <w:t>Totales</w:t>
            </w:r>
          </w:p>
        </w:tc>
        <w:tc>
          <w:tcPr>
            <w:tcW w:w="1516" w:type="dxa"/>
            <w:tcBorders>
              <w:top w:val="nil"/>
              <w:left w:val="nil"/>
              <w:bottom w:val="single" w:sz="4" w:space="0" w:color="auto"/>
              <w:right w:val="single" w:sz="4" w:space="0" w:color="auto"/>
            </w:tcBorders>
            <w:shd w:val="clear" w:color="000000" w:fill="BDD7EE"/>
            <w:noWrap/>
            <w:vAlign w:val="center"/>
            <w:hideMark/>
          </w:tcPr>
          <w:p w14:paraId="60F83795" w14:textId="77777777" w:rsidR="008A5924" w:rsidRPr="00184700" w:rsidRDefault="008A5924" w:rsidP="008A5924">
            <w:pPr>
              <w:jc w:val="right"/>
              <w:rPr>
                <w:b/>
                <w:bCs/>
                <w:lang w:eastAsia="es-GT"/>
              </w:rPr>
            </w:pPr>
            <w:r w:rsidRPr="00184700">
              <w:rPr>
                <w:b/>
                <w:bCs/>
                <w:lang w:eastAsia="es-GT"/>
              </w:rPr>
              <w:t>111.47</w:t>
            </w:r>
          </w:p>
        </w:tc>
        <w:tc>
          <w:tcPr>
            <w:tcW w:w="1499" w:type="dxa"/>
            <w:tcBorders>
              <w:top w:val="nil"/>
              <w:left w:val="nil"/>
              <w:bottom w:val="single" w:sz="4" w:space="0" w:color="auto"/>
              <w:right w:val="single" w:sz="4" w:space="0" w:color="auto"/>
            </w:tcBorders>
            <w:shd w:val="clear" w:color="000000" w:fill="BDD7EE"/>
            <w:noWrap/>
            <w:vAlign w:val="center"/>
            <w:hideMark/>
          </w:tcPr>
          <w:p w14:paraId="2D79273F" w14:textId="77777777" w:rsidR="008A5924" w:rsidRPr="00184700" w:rsidRDefault="008A5924" w:rsidP="008A5924">
            <w:pPr>
              <w:jc w:val="right"/>
              <w:rPr>
                <w:b/>
                <w:bCs/>
                <w:lang w:eastAsia="es-GT"/>
              </w:rPr>
            </w:pPr>
            <w:r w:rsidRPr="00184700">
              <w:rPr>
                <w:b/>
                <w:bCs/>
                <w:lang w:eastAsia="es-GT"/>
              </w:rPr>
              <w:t>124.10</w:t>
            </w:r>
          </w:p>
        </w:tc>
        <w:tc>
          <w:tcPr>
            <w:tcW w:w="1294" w:type="dxa"/>
            <w:tcBorders>
              <w:top w:val="nil"/>
              <w:left w:val="nil"/>
              <w:bottom w:val="single" w:sz="4" w:space="0" w:color="auto"/>
              <w:right w:val="single" w:sz="4" w:space="0" w:color="auto"/>
            </w:tcBorders>
            <w:shd w:val="clear" w:color="000000" w:fill="BDD7EE"/>
            <w:noWrap/>
            <w:vAlign w:val="center"/>
            <w:hideMark/>
          </w:tcPr>
          <w:p w14:paraId="1BE366BE" w14:textId="77777777" w:rsidR="008A5924" w:rsidRPr="00184700" w:rsidRDefault="008A5924" w:rsidP="008A5924">
            <w:pPr>
              <w:jc w:val="right"/>
              <w:rPr>
                <w:b/>
                <w:bCs/>
                <w:lang w:eastAsia="es-GT"/>
              </w:rPr>
            </w:pPr>
            <w:r w:rsidRPr="00184700">
              <w:rPr>
                <w:b/>
                <w:bCs/>
                <w:lang w:eastAsia="es-GT"/>
              </w:rPr>
              <w:t>162.99</w:t>
            </w:r>
          </w:p>
        </w:tc>
        <w:tc>
          <w:tcPr>
            <w:tcW w:w="1294" w:type="dxa"/>
            <w:tcBorders>
              <w:top w:val="nil"/>
              <w:left w:val="nil"/>
              <w:bottom w:val="single" w:sz="4" w:space="0" w:color="auto"/>
              <w:right w:val="single" w:sz="4" w:space="0" w:color="auto"/>
            </w:tcBorders>
            <w:shd w:val="clear" w:color="000000" w:fill="BDD7EE"/>
            <w:noWrap/>
            <w:vAlign w:val="center"/>
            <w:hideMark/>
          </w:tcPr>
          <w:p w14:paraId="7DE94C1B" w14:textId="77777777" w:rsidR="008A5924" w:rsidRPr="00184700" w:rsidRDefault="008A5924" w:rsidP="008A5924">
            <w:pPr>
              <w:keepNext/>
              <w:jc w:val="right"/>
              <w:rPr>
                <w:b/>
                <w:bCs/>
                <w:lang w:eastAsia="es-GT"/>
              </w:rPr>
            </w:pPr>
            <w:r w:rsidRPr="00184700">
              <w:rPr>
                <w:b/>
                <w:bCs/>
                <w:lang w:eastAsia="es-GT"/>
              </w:rPr>
              <w:t>398.56</w:t>
            </w:r>
          </w:p>
        </w:tc>
      </w:tr>
    </w:tbl>
    <w:p w14:paraId="42472FC1" w14:textId="77777777" w:rsidR="008A5924" w:rsidRPr="00595203" w:rsidRDefault="00595203" w:rsidP="008A5924">
      <w:pPr>
        <w:jc w:val="both"/>
        <w:rPr>
          <w:szCs w:val="21"/>
          <w:shd w:val="clear" w:color="auto" w:fill="FFFFFF"/>
        </w:rPr>
      </w:pPr>
      <w:r>
        <w:rPr>
          <w:szCs w:val="21"/>
          <w:shd w:val="clear" w:color="auto" w:fill="FFFFFF"/>
        </w:rPr>
        <w:t xml:space="preserve">           </w:t>
      </w:r>
      <w:r w:rsidRPr="00595203">
        <w:rPr>
          <w:szCs w:val="21"/>
          <w:shd w:val="clear" w:color="auto" w:fill="FFFFFF"/>
        </w:rPr>
        <w:t xml:space="preserve"> </w:t>
      </w:r>
      <w:r w:rsidR="008A5924" w:rsidRPr="00222E0A">
        <w:rPr>
          <w:b/>
          <w:szCs w:val="21"/>
          <w:shd w:val="clear" w:color="auto" w:fill="FFFFFF"/>
        </w:rPr>
        <w:t>Fuente</w:t>
      </w:r>
      <w:r w:rsidR="008A5924" w:rsidRPr="00595203">
        <w:rPr>
          <w:szCs w:val="21"/>
          <w:shd w:val="clear" w:color="auto" w:fill="FFFFFF"/>
        </w:rPr>
        <w:t>: Cifras Sistema de Contabilidad Integrada SICOIN</w:t>
      </w:r>
    </w:p>
    <w:p w14:paraId="3FFFDFB2" w14:textId="77777777" w:rsidR="008A5924" w:rsidRPr="00184700" w:rsidRDefault="008A5924" w:rsidP="008A5924">
      <w:pPr>
        <w:jc w:val="both"/>
        <w:rPr>
          <w:sz w:val="16"/>
          <w:szCs w:val="21"/>
          <w:shd w:val="clear" w:color="auto" w:fill="FFFFFF"/>
        </w:rPr>
      </w:pPr>
    </w:p>
    <w:p w14:paraId="56358EAC" w14:textId="77777777" w:rsidR="008A5924" w:rsidRPr="003648F1" w:rsidRDefault="008A5924" w:rsidP="00222E0A">
      <w:pPr>
        <w:jc w:val="both"/>
        <w:rPr>
          <w:sz w:val="24"/>
          <w:szCs w:val="24"/>
          <w:shd w:val="clear" w:color="auto" w:fill="FFFFFF"/>
        </w:rPr>
      </w:pPr>
      <w:r w:rsidRPr="003648F1">
        <w:rPr>
          <w:sz w:val="24"/>
          <w:szCs w:val="24"/>
          <w:shd w:val="clear" w:color="auto" w:fill="FFFFFF"/>
        </w:rPr>
        <w:t>La atención reactiva ante la ocurrencia de estos eventos conllevará absorber importantes pasivos contingentes para las arcas fiscales y los presupuestos institucionales en atención de emergencias. Por ello, la gestión de riesgos fiscales busca reducir la exposición fiscal, mediante la eliminación o mitigación de los impactos causados por las amenazas y el logro de una respuesta financiera costo eficiente en la retención o transferencia del riesgo.</w:t>
      </w:r>
    </w:p>
    <w:p w14:paraId="5FAF429C" w14:textId="77777777" w:rsidR="008A5924" w:rsidRPr="003648F1" w:rsidRDefault="008A5924" w:rsidP="008A5924">
      <w:pPr>
        <w:jc w:val="both"/>
        <w:rPr>
          <w:sz w:val="24"/>
          <w:szCs w:val="24"/>
          <w:shd w:val="clear" w:color="auto" w:fill="FFFFFF"/>
        </w:rPr>
      </w:pPr>
    </w:p>
    <w:p w14:paraId="619B4A9D" w14:textId="77777777" w:rsidR="008A5924" w:rsidRPr="003648F1" w:rsidRDefault="008A5924" w:rsidP="008A5924">
      <w:pPr>
        <w:jc w:val="both"/>
        <w:rPr>
          <w:sz w:val="24"/>
          <w:szCs w:val="24"/>
          <w:shd w:val="clear" w:color="auto" w:fill="FFFFFF"/>
        </w:rPr>
      </w:pPr>
      <w:r w:rsidRPr="003648F1">
        <w:rPr>
          <w:sz w:val="24"/>
          <w:szCs w:val="24"/>
          <w:shd w:val="clear" w:color="auto" w:fill="FFFFFF"/>
        </w:rPr>
        <w:t>Con el objetivo de mejorar la capacidad de respuesta ante este tipo de eventos el Plan de Acción Nacional de Cambio Climático, establece para el Ministerio de Finanzas Públicas la correspon</w:t>
      </w:r>
      <w:r w:rsidR="00595203" w:rsidRPr="003648F1">
        <w:rPr>
          <w:sz w:val="24"/>
          <w:szCs w:val="24"/>
          <w:shd w:val="clear" w:color="auto" w:fill="FFFFFF"/>
        </w:rPr>
        <w:t>sabilidad de crear y establecer</w:t>
      </w:r>
      <w:r w:rsidRPr="003648F1">
        <w:rPr>
          <w:sz w:val="24"/>
          <w:szCs w:val="24"/>
          <w:shd w:val="clear" w:color="auto" w:fill="FFFFFF"/>
        </w:rPr>
        <w:t xml:space="preserve"> mecanismos financieros que aseguren la producción agropecuaria, así como programas de inversión para producción agrícola y acceso a financiamiento.</w:t>
      </w:r>
    </w:p>
    <w:p w14:paraId="1D8A511D" w14:textId="77777777" w:rsidR="008A5924" w:rsidRPr="003648F1" w:rsidRDefault="008A5924" w:rsidP="008A5924">
      <w:pPr>
        <w:jc w:val="both"/>
        <w:rPr>
          <w:sz w:val="24"/>
          <w:szCs w:val="24"/>
          <w:shd w:val="clear" w:color="auto" w:fill="FFFFFF"/>
        </w:rPr>
      </w:pPr>
    </w:p>
    <w:p w14:paraId="5E568479" w14:textId="77777777" w:rsidR="008A5924" w:rsidRPr="003648F1" w:rsidRDefault="008A5924" w:rsidP="008A5924">
      <w:pPr>
        <w:jc w:val="both"/>
        <w:rPr>
          <w:sz w:val="24"/>
          <w:szCs w:val="24"/>
          <w:shd w:val="clear" w:color="auto" w:fill="FFFFFF"/>
        </w:rPr>
      </w:pPr>
      <w:r w:rsidRPr="003648F1">
        <w:rPr>
          <w:sz w:val="24"/>
          <w:szCs w:val="24"/>
          <w:shd w:val="clear" w:color="auto" w:fill="FFFFFF"/>
        </w:rPr>
        <w:t>Para el cumplimiento de lo establecido en el PANCC, se sugiere la realización de las siguientes acciones:</w:t>
      </w:r>
    </w:p>
    <w:p w14:paraId="382505FA" w14:textId="77777777" w:rsidR="008A5924" w:rsidRPr="003648F1" w:rsidRDefault="008A5924" w:rsidP="008A5924">
      <w:pPr>
        <w:jc w:val="both"/>
        <w:rPr>
          <w:sz w:val="24"/>
          <w:szCs w:val="24"/>
          <w:shd w:val="clear" w:color="auto" w:fill="FFFFFF"/>
        </w:rPr>
      </w:pPr>
    </w:p>
    <w:p w14:paraId="7F63107F" w14:textId="77777777" w:rsidR="008A5924" w:rsidRPr="003648F1" w:rsidRDefault="008A5924" w:rsidP="00222E0A">
      <w:pPr>
        <w:pStyle w:val="Prrafodelista"/>
        <w:widowControl/>
        <w:numPr>
          <w:ilvl w:val="0"/>
          <w:numId w:val="16"/>
        </w:numPr>
        <w:spacing w:after="200"/>
        <w:jc w:val="both"/>
        <w:rPr>
          <w:sz w:val="24"/>
          <w:szCs w:val="24"/>
          <w:shd w:val="clear" w:color="auto" w:fill="FFFFFF"/>
        </w:rPr>
      </w:pPr>
      <w:r w:rsidRPr="003648F1">
        <w:rPr>
          <w:sz w:val="24"/>
          <w:szCs w:val="24"/>
          <w:shd w:val="clear" w:color="auto" w:fill="FFFFFF"/>
        </w:rPr>
        <w:t>Establecer una mesa técnica interinstitucional para el diseño y análisis de la viabilidad de implementar mecanismos financieros de retención o transferencia de riesgo para la atención de eventos de ausencia prolongada de precipitación (sequías).</w:t>
      </w:r>
    </w:p>
    <w:p w14:paraId="167CDFAF" w14:textId="77777777" w:rsidR="008A5924" w:rsidRPr="003648F1" w:rsidRDefault="008A5924" w:rsidP="008A5924">
      <w:pPr>
        <w:pStyle w:val="Prrafodelista"/>
        <w:jc w:val="both"/>
        <w:rPr>
          <w:sz w:val="24"/>
          <w:szCs w:val="24"/>
          <w:shd w:val="clear" w:color="auto" w:fill="FFFFFF"/>
        </w:rPr>
      </w:pPr>
    </w:p>
    <w:p w14:paraId="4F9E06AD" w14:textId="77777777" w:rsidR="008A5924" w:rsidRPr="003648F1" w:rsidRDefault="008A5924" w:rsidP="008A5924">
      <w:pPr>
        <w:pStyle w:val="Prrafodelista"/>
        <w:jc w:val="both"/>
        <w:rPr>
          <w:sz w:val="24"/>
          <w:szCs w:val="24"/>
          <w:shd w:val="clear" w:color="auto" w:fill="FFFFFF"/>
        </w:rPr>
      </w:pPr>
      <w:r w:rsidRPr="003648F1">
        <w:rPr>
          <w:sz w:val="24"/>
          <w:szCs w:val="24"/>
          <w:shd w:val="clear" w:color="auto" w:fill="FFFFFF"/>
        </w:rPr>
        <w:t>La mesa podrá ser conformada por el Ministerio de Agricultura, Ganadería y Alimentación, MAGA; Ministerio de Ambiente y Recursos Naturales MARN; Secretaría de Seguridad Alimentaria y Nutricional SESAN; Instituto Nacional de Sismología, Vulcanología, Meteorología e Hidrología INSIVUMEH; Superintendencia de Bancos SIB; Crédito Hipotecario Nacional CHN; Secretaria de Planificación y Programación de la Presidencia SEGEPLAN  y Ministerio de Finanzas Públicas MINFIN.</w:t>
      </w:r>
    </w:p>
    <w:p w14:paraId="7C730D56" w14:textId="77777777" w:rsidR="008A5924" w:rsidRPr="003648F1" w:rsidRDefault="008A5924" w:rsidP="008A5924">
      <w:pPr>
        <w:pStyle w:val="Prrafodelista"/>
        <w:jc w:val="both"/>
        <w:rPr>
          <w:sz w:val="24"/>
          <w:szCs w:val="24"/>
          <w:shd w:val="clear" w:color="auto" w:fill="FFFFFF"/>
        </w:rPr>
      </w:pPr>
    </w:p>
    <w:p w14:paraId="64D38B0F" w14:textId="77777777" w:rsidR="008A5924" w:rsidRPr="0054225A" w:rsidRDefault="008A5924" w:rsidP="00222E0A">
      <w:pPr>
        <w:pStyle w:val="Prrafodelista"/>
        <w:widowControl/>
        <w:numPr>
          <w:ilvl w:val="0"/>
          <w:numId w:val="16"/>
        </w:numPr>
        <w:spacing w:after="200"/>
        <w:jc w:val="both"/>
        <w:rPr>
          <w:shd w:val="clear" w:color="auto" w:fill="FFFFFF"/>
        </w:rPr>
      </w:pPr>
      <w:r w:rsidRPr="003648F1">
        <w:rPr>
          <w:sz w:val="24"/>
          <w:szCs w:val="24"/>
          <w:shd w:val="clear" w:color="auto" w:fill="FFFFFF"/>
        </w:rPr>
        <w:t>Solicitar el acompañamiento y la asistencia técnica de entidades con relación y experiencia en el diseño e implementación de este tipo de instrumentos, entre ellas: Programa Mundial de Alimentos PMA; Organización de las Naciones Unidas para la Alimentación y la Agricultura FAO; Instituto Interamericano de Cooperación para la Agricultura IICA; Comisión Económica para América Latina CEPAL; Banco Mundial BM; entre otros</w:t>
      </w:r>
      <w:r w:rsidRPr="0054225A">
        <w:rPr>
          <w:shd w:val="clear" w:color="auto" w:fill="FFFFFF"/>
        </w:rPr>
        <w:t>.</w:t>
      </w:r>
    </w:p>
    <w:p w14:paraId="228AB12B" w14:textId="77777777" w:rsidR="008A5924" w:rsidRPr="0054225A" w:rsidRDefault="008A5924" w:rsidP="008A5924">
      <w:pPr>
        <w:pStyle w:val="Default"/>
        <w:rPr>
          <w:rFonts w:ascii="Times New Roman" w:hAnsi="Times New Roman" w:cs="Times New Roman"/>
          <w:color w:val="auto"/>
          <w:shd w:val="clear" w:color="auto" w:fill="FFFFFF"/>
        </w:rPr>
      </w:pPr>
      <w:r w:rsidRPr="0054225A">
        <w:rPr>
          <w:rFonts w:ascii="Times New Roman" w:hAnsi="Times New Roman" w:cs="Times New Roman"/>
          <w:color w:val="auto"/>
          <w:shd w:val="clear" w:color="auto" w:fill="FFFFFF"/>
        </w:rPr>
        <w:t>La mesa técnica y el grupo asesor tendrán la función de:</w:t>
      </w:r>
    </w:p>
    <w:p w14:paraId="3DBB759E" w14:textId="77777777" w:rsidR="008A5924" w:rsidRPr="0054225A" w:rsidRDefault="008A5924" w:rsidP="008A5924">
      <w:pPr>
        <w:pStyle w:val="Default"/>
        <w:rPr>
          <w:rFonts w:ascii="Times New Roman" w:hAnsi="Times New Roman" w:cs="Times New Roman"/>
          <w:color w:val="auto"/>
          <w:shd w:val="clear" w:color="auto" w:fill="FFFFFF"/>
        </w:rPr>
      </w:pPr>
    </w:p>
    <w:p w14:paraId="5B9C14AD" w14:textId="77777777" w:rsidR="008A5924" w:rsidRPr="0054225A" w:rsidRDefault="008A5924" w:rsidP="00563982">
      <w:pPr>
        <w:pStyle w:val="Default"/>
        <w:numPr>
          <w:ilvl w:val="0"/>
          <w:numId w:val="16"/>
        </w:numPr>
        <w:jc w:val="both"/>
        <w:rPr>
          <w:rFonts w:ascii="Times New Roman" w:hAnsi="Times New Roman" w:cs="Times New Roman"/>
          <w:color w:val="auto"/>
          <w:shd w:val="clear" w:color="auto" w:fill="FFFFFF"/>
        </w:rPr>
      </w:pPr>
      <w:r w:rsidRPr="0054225A">
        <w:rPr>
          <w:rFonts w:ascii="Times New Roman" w:hAnsi="Times New Roman" w:cs="Times New Roman"/>
          <w:color w:val="auto"/>
          <w:shd w:val="clear" w:color="auto" w:fill="FFFFFF"/>
        </w:rPr>
        <w:t xml:space="preserve">Definir el o los instrumentos con mayor viabilidad de aplicación en el país (abordando los aspectos legales, institucionales, operativos y financieros requeridos para la implementación y operación del instrumento). </w:t>
      </w:r>
    </w:p>
    <w:p w14:paraId="0DD2085E" w14:textId="77777777" w:rsidR="008A5924" w:rsidRPr="0054225A" w:rsidRDefault="008A5924" w:rsidP="008A5924">
      <w:pPr>
        <w:pStyle w:val="Default"/>
        <w:jc w:val="both"/>
        <w:rPr>
          <w:rFonts w:ascii="Times New Roman" w:hAnsi="Times New Roman" w:cs="Times New Roman"/>
          <w:color w:val="auto"/>
          <w:shd w:val="clear" w:color="auto" w:fill="FFFFFF"/>
        </w:rPr>
      </w:pPr>
    </w:p>
    <w:p w14:paraId="4D97B79E" w14:textId="77777777" w:rsidR="008A5924" w:rsidRPr="0054225A" w:rsidRDefault="008A5924" w:rsidP="00DD6292">
      <w:pPr>
        <w:pStyle w:val="Default"/>
        <w:numPr>
          <w:ilvl w:val="0"/>
          <w:numId w:val="16"/>
        </w:numPr>
        <w:jc w:val="both"/>
        <w:rPr>
          <w:rFonts w:ascii="Times New Roman" w:hAnsi="Times New Roman" w:cs="Times New Roman"/>
          <w:color w:val="auto"/>
          <w:shd w:val="clear" w:color="auto" w:fill="FFFFFF"/>
        </w:rPr>
      </w:pPr>
      <w:r w:rsidRPr="0054225A">
        <w:rPr>
          <w:rFonts w:ascii="Times New Roman" w:hAnsi="Times New Roman" w:cs="Times New Roman"/>
          <w:color w:val="auto"/>
          <w:shd w:val="clear" w:color="auto" w:fill="FFFFFF"/>
        </w:rPr>
        <w:t xml:space="preserve">Identificar entre otros elementos: </w:t>
      </w:r>
    </w:p>
    <w:p w14:paraId="506C0E73" w14:textId="77777777" w:rsidR="008A5924" w:rsidRPr="0054225A" w:rsidRDefault="008A5924" w:rsidP="008A5924">
      <w:pPr>
        <w:pStyle w:val="Default"/>
        <w:ind w:left="1068"/>
        <w:jc w:val="both"/>
        <w:rPr>
          <w:rFonts w:ascii="Times New Roman" w:hAnsi="Times New Roman" w:cs="Times New Roman"/>
          <w:color w:val="auto"/>
          <w:shd w:val="clear" w:color="auto" w:fill="FFFFFF"/>
        </w:rPr>
      </w:pPr>
    </w:p>
    <w:p w14:paraId="5C733AC0" w14:textId="77777777" w:rsidR="008A5924" w:rsidRPr="0054225A" w:rsidRDefault="008A5924" w:rsidP="00DD6292">
      <w:pPr>
        <w:pStyle w:val="Default"/>
        <w:numPr>
          <w:ilvl w:val="0"/>
          <w:numId w:val="17"/>
        </w:numPr>
        <w:ind w:left="1068"/>
        <w:jc w:val="both"/>
        <w:rPr>
          <w:rFonts w:ascii="Times New Roman" w:hAnsi="Times New Roman" w:cs="Times New Roman"/>
          <w:color w:val="auto"/>
          <w:shd w:val="clear" w:color="auto" w:fill="FFFFFF"/>
        </w:rPr>
      </w:pPr>
      <w:r w:rsidRPr="0054225A">
        <w:rPr>
          <w:rFonts w:ascii="Times New Roman" w:hAnsi="Times New Roman" w:cs="Times New Roman"/>
          <w:color w:val="auto"/>
          <w:shd w:val="clear" w:color="auto" w:fill="FFFFFF"/>
        </w:rPr>
        <w:t>Tipo de cobertura y los eventos ate</w:t>
      </w:r>
      <w:r w:rsidR="00563982">
        <w:rPr>
          <w:rFonts w:ascii="Times New Roman" w:hAnsi="Times New Roman" w:cs="Times New Roman"/>
          <w:color w:val="auto"/>
          <w:shd w:val="clear" w:color="auto" w:fill="FFFFFF"/>
        </w:rPr>
        <w:t>ndidos por el instrumento (Sequía, i</w:t>
      </w:r>
      <w:r w:rsidRPr="0054225A">
        <w:rPr>
          <w:rFonts w:ascii="Times New Roman" w:hAnsi="Times New Roman" w:cs="Times New Roman"/>
          <w:color w:val="auto"/>
          <w:shd w:val="clear" w:color="auto" w:fill="FFFFFF"/>
        </w:rPr>
        <w:t xml:space="preserve">nundación, incendios forestales, plagas, enfermedades, otros);  </w:t>
      </w:r>
    </w:p>
    <w:p w14:paraId="4BA1C3F2" w14:textId="77777777" w:rsidR="008A5924" w:rsidRPr="0054225A" w:rsidRDefault="008A5924" w:rsidP="008A5924">
      <w:pPr>
        <w:pStyle w:val="Prrafodelista"/>
        <w:ind w:left="1068"/>
        <w:rPr>
          <w:shd w:val="clear" w:color="auto" w:fill="FFFFFF"/>
        </w:rPr>
      </w:pPr>
    </w:p>
    <w:p w14:paraId="17E6FFD8" w14:textId="77777777" w:rsidR="008A5924" w:rsidRPr="0054225A" w:rsidRDefault="008A5924" w:rsidP="00DD6292">
      <w:pPr>
        <w:pStyle w:val="Default"/>
        <w:numPr>
          <w:ilvl w:val="0"/>
          <w:numId w:val="17"/>
        </w:numPr>
        <w:ind w:left="1068"/>
        <w:jc w:val="both"/>
        <w:rPr>
          <w:rFonts w:ascii="Times New Roman" w:hAnsi="Times New Roman" w:cs="Times New Roman"/>
          <w:color w:val="auto"/>
          <w:shd w:val="clear" w:color="auto" w:fill="FFFFFF"/>
        </w:rPr>
      </w:pPr>
      <w:r w:rsidRPr="0054225A">
        <w:rPr>
          <w:rFonts w:ascii="Times New Roman" w:hAnsi="Times New Roman" w:cs="Times New Roman"/>
          <w:color w:val="auto"/>
          <w:shd w:val="clear" w:color="auto" w:fill="FFFFFF"/>
        </w:rPr>
        <w:t>Productos agrícolas a ser considerados (Granos básicos, productos para comercialización, otros)</w:t>
      </w:r>
    </w:p>
    <w:p w14:paraId="13F1CEA6" w14:textId="77777777" w:rsidR="008A5924" w:rsidRPr="0054225A" w:rsidRDefault="008A5924" w:rsidP="008A5924">
      <w:pPr>
        <w:pStyle w:val="Prrafodelista"/>
        <w:ind w:left="1068"/>
        <w:rPr>
          <w:shd w:val="clear" w:color="auto" w:fill="FFFFFF"/>
        </w:rPr>
      </w:pPr>
    </w:p>
    <w:p w14:paraId="3E916D3A" w14:textId="77777777" w:rsidR="008A5924" w:rsidRPr="0054225A" w:rsidRDefault="008A5924" w:rsidP="00DD6292">
      <w:pPr>
        <w:pStyle w:val="Default"/>
        <w:numPr>
          <w:ilvl w:val="0"/>
          <w:numId w:val="17"/>
        </w:numPr>
        <w:ind w:left="1068"/>
        <w:jc w:val="both"/>
        <w:rPr>
          <w:rFonts w:ascii="Times New Roman" w:hAnsi="Times New Roman" w:cs="Times New Roman"/>
          <w:color w:val="auto"/>
          <w:shd w:val="clear" w:color="auto" w:fill="FFFFFF"/>
        </w:rPr>
      </w:pPr>
      <w:r w:rsidRPr="0054225A">
        <w:rPr>
          <w:rFonts w:ascii="Times New Roman" w:hAnsi="Times New Roman" w:cs="Times New Roman"/>
          <w:color w:val="auto"/>
          <w:shd w:val="clear" w:color="auto" w:fill="FFFFFF"/>
        </w:rPr>
        <w:t>Tipología de productores (Subsistencia, pequeños, medianos, otros)</w:t>
      </w:r>
    </w:p>
    <w:p w14:paraId="6C182960" w14:textId="77777777" w:rsidR="008A5924" w:rsidRPr="0054225A" w:rsidRDefault="008A5924" w:rsidP="008A5924">
      <w:pPr>
        <w:pStyle w:val="Prrafodelista"/>
        <w:ind w:left="1068"/>
        <w:rPr>
          <w:shd w:val="clear" w:color="auto" w:fill="FFFFFF"/>
        </w:rPr>
      </w:pPr>
    </w:p>
    <w:p w14:paraId="75F849DF" w14:textId="77777777" w:rsidR="008A5924" w:rsidRPr="0054225A" w:rsidRDefault="008A5924" w:rsidP="00DD6292">
      <w:pPr>
        <w:pStyle w:val="Default"/>
        <w:numPr>
          <w:ilvl w:val="0"/>
          <w:numId w:val="17"/>
        </w:numPr>
        <w:ind w:left="1068"/>
        <w:jc w:val="both"/>
        <w:rPr>
          <w:rFonts w:ascii="Times New Roman" w:hAnsi="Times New Roman" w:cs="Times New Roman"/>
          <w:color w:val="auto"/>
          <w:shd w:val="clear" w:color="auto" w:fill="FFFFFF"/>
        </w:rPr>
      </w:pPr>
      <w:r w:rsidRPr="0054225A">
        <w:rPr>
          <w:rFonts w:ascii="Times New Roman" w:hAnsi="Times New Roman" w:cs="Times New Roman"/>
          <w:color w:val="auto"/>
          <w:shd w:val="clear" w:color="auto" w:fill="FFFFFF"/>
        </w:rPr>
        <w:t xml:space="preserve">La participación financiera del Estado en la implementación del instrumento (subsidio, incentivo, compra directa, otros). </w:t>
      </w:r>
    </w:p>
    <w:p w14:paraId="5136F5E8" w14:textId="77777777" w:rsidR="008A5924" w:rsidRPr="0054225A" w:rsidRDefault="008A5924" w:rsidP="008A5924">
      <w:pPr>
        <w:rPr>
          <w:shd w:val="clear" w:color="auto" w:fill="FFFFFF"/>
        </w:rPr>
      </w:pPr>
      <w:r w:rsidRPr="0054225A">
        <w:rPr>
          <w:shd w:val="clear" w:color="auto" w:fill="FFFFFF"/>
        </w:rPr>
        <w:br w:type="page"/>
      </w:r>
    </w:p>
    <w:p w14:paraId="4484B5E6" w14:textId="77777777" w:rsidR="008A5924" w:rsidRPr="00B82A4D" w:rsidRDefault="008A5924" w:rsidP="00DD6292">
      <w:pPr>
        <w:pStyle w:val="Ttulo4"/>
        <w:widowControl/>
        <w:numPr>
          <w:ilvl w:val="3"/>
          <w:numId w:val="5"/>
        </w:numPr>
        <w:spacing w:before="240" w:after="60"/>
        <w:jc w:val="both"/>
        <w:rPr>
          <w:sz w:val="24"/>
          <w:szCs w:val="24"/>
          <w:shd w:val="clear" w:color="auto" w:fill="FFFFFF"/>
        </w:rPr>
      </w:pPr>
      <w:bookmarkStart w:id="232" w:name="_Toc16519922"/>
      <w:r w:rsidRPr="00B82A4D">
        <w:rPr>
          <w:sz w:val="24"/>
          <w:szCs w:val="24"/>
          <w:shd w:val="clear" w:color="auto" w:fill="FFFFFF"/>
        </w:rPr>
        <w:t>Gestión del riesgo de incendios forestales</w:t>
      </w:r>
      <w:bookmarkEnd w:id="232"/>
    </w:p>
    <w:p w14:paraId="3243129F" w14:textId="77777777" w:rsidR="008A5924" w:rsidRPr="00B82A4D" w:rsidRDefault="008A5924" w:rsidP="008A5924">
      <w:pPr>
        <w:rPr>
          <w:sz w:val="24"/>
          <w:szCs w:val="24"/>
          <w:lang w:val="es-MX"/>
        </w:rPr>
      </w:pPr>
    </w:p>
    <w:p w14:paraId="522E1DF9" w14:textId="77777777" w:rsidR="008A5924" w:rsidRPr="00B82A4D" w:rsidRDefault="008A5924" w:rsidP="008A5924">
      <w:pPr>
        <w:jc w:val="both"/>
        <w:rPr>
          <w:sz w:val="24"/>
          <w:szCs w:val="24"/>
        </w:rPr>
      </w:pPr>
      <w:r w:rsidRPr="00B82A4D">
        <w:rPr>
          <w:sz w:val="24"/>
          <w:szCs w:val="24"/>
          <w:shd w:val="clear" w:color="auto" w:fill="FFFFFF"/>
        </w:rPr>
        <w:t xml:space="preserve">En julio de 2019, el Fondo Cooperativo de Carbono -FCPF- aprobó el documento que contiene la fase preparatoria del Programa de Reducción y Remoción de Emisiones de Guatemala REDD+. </w:t>
      </w:r>
      <w:r w:rsidRPr="00B82A4D">
        <w:rPr>
          <w:sz w:val="24"/>
          <w:szCs w:val="24"/>
        </w:rPr>
        <w:t>Con el plan presentado y al concluir el proceso, el país, podrá tener acceso a comprar y vender hasta 10.5 millones de toneladas de dióxido de carbono (CO2), en un periodo de hasta cinco años, por la venta se podría obtener unos US$50 millones si reduce las emisiones de gases de efecto invernadero (GEI) al frenar la deforestación y degradación de bosques.</w:t>
      </w:r>
    </w:p>
    <w:p w14:paraId="4E40CCD9" w14:textId="77777777" w:rsidR="008A5924" w:rsidRPr="00B82A4D" w:rsidRDefault="008A5924" w:rsidP="008A5924">
      <w:pPr>
        <w:jc w:val="both"/>
        <w:rPr>
          <w:sz w:val="24"/>
          <w:szCs w:val="24"/>
        </w:rPr>
      </w:pPr>
    </w:p>
    <w:p w14:paraId="26FF702F" w14:textId="77777777" w:rsidR="008A5924" w:rsidRPr="00B82A4D" w:rsidRDefault="008A5924" w:rsidP="008A5924">
      <w:pPr>
        <w:jc w:val="both"/>
        <w:rPr>
          <w:sz w:val="24"/>
          <w:szCs w:val="24"/>
          <w:shd w:val="clear" w:color="auto" w:fill="FFFFFF"/>
        </w:rPr>
      </w:pPr>
      <w:r w:rsidRPr="00B82A4D">
        <w:rPr>
          <w:sz w:val="24"/>
          <w:szCs w:val="24"/>
          <w:shd w:val="clear" w:color="auto" w:fill="FFFFFF"/>
        </w:rPr>
        <w:t xml:space="preserve">Para la consecución de las metas del programa es preciso, garantizar el buen manejo de la cobertura forestal, lo que implica incrementar las medidas tendentes a una gobernanza forestal con la participación de instituciones públicas y de la sociedad civil que participan del cuidado de los bosques en distintas áreas del país. </w:t>
      </w:r>
    </w:p>
    <w:p w14:paraId="307F7C43" w14:textId="77777777" w:rsidR="008A5924" w:rsidRPr="00B82A4D" w:rsidRDefault="008A5924" w:rsidP="008A5924">
      <w:pPr>
        <w:jc w:val="both"/>
        <w:rPr>
          <w:sz w:val="24"/>
          <w:szCs w:val="24"/>
          <w:shd w:val="clear" w:color="auto" w:fill="FFFFFF"/>
        </w:rPr>
      </w:pPr>
    </w:p>
    <w:p w14:paraId="25CEF13B" w14:textId="77777777" w:rsidR="008A5924" w:rsidRPr="00B82A4D" w:rsidRDefault="008A5924" w:rsidP="008A5924">
      <w:pPr>
        <w:jc w:val="both"/>
        <w:rPr>
          <w:sz w:val="24"/>
          <w:szCs w:val="24"/>
          <w:shd w:val="clear" w:color="auto" w:fill="FFFFFF"/>
        </w:rPr>
      </w:pPr>
      <w:r w:rsidRPr="00B82A4D">
        <w:rPr>
          <w:sz w:val="24"/>
          <w:szCs w:val="24"/>
          <w:shd w:val="clear" w:color="auto" w:fill="FFFFFF"/>
        </w:rPr>
        <w:t>Un elemento de consideración para el buen desempeño del proyecto es el adecuado manejo de dos tipos de presiones sobre la cobertura forestal: la deforestación y los incendios forestales. Ambos elementos constituyen factores clave para el cumplimiento de la meta establecida y la consecución de los ingresos esperados, por ende, su gestión como riesgo fiscal se considera necesaria.</w:t>
      </w:r>
    </w:p>
    <w:p w14:paraId="0F092493" w14:textId="77777777" w:rsidR="008A5924" w:rsidRPr="00B82A4D" w:rsidRDefault="008A5924" w:rsidP="008A5924">
      <w:pPr>
        <w:jc w:val="both"/>
        <w:rPr>
          <w:sz w:val="24"/>
          <w:szCs w:val="24"/>
          <w:shd w:val="clear" w:color="auto" w:fill="FFFFFF"/>
        </w:rPr>
      </w:pPr>
    </w:p>
    <w:p w14:paraId="6CCCE175" w14:textId="77777777" w:rsidR="008A5924" w:rsidRPr="00B82A4D" w:rsidRDefault="008A5924" w:rsidP="008A5924">
      <w:pPr>
        <w:jc w:val="both"/>
        <w:rPr>
          <w:sz w:val="24"/>
          <w:szCs w:val="24"/>
          <w:shd w:val="clear" w:color="auto" w:fill="FFFFFF"/>
        </w:rPr>
      </w:pPr>
      <w:r w:rsidRPr="00B82A4D">
        <w:rPr>
          <w:sz w:val="24"/>
          <w:szCs w:val="24"/>
          <w:shd w:val="clear" w:color="auto" w:fill="FFFFFF"/>
        </w:rPr>
        <w:t xml:space="preserve">Para el abordaje de la deforestación, se crearon el Programa de Incentivos Forestales para Poseedores de Pequeñas Extensiones de Tierra de Vocación Forestal o Agroforestal (PINPEP); el Programa de Incentivos Forestales (PINFOR) y el Programa de Incentivos para el Establecimiento, Recuperación, Manejo, Producción y Protección de Bosques en Guatemala (PROBOSQUE). </w:t>
      </w:r>
    </w:p>
    <w:p w14:paraId="0AF23F57" w14:textId="77777777" w:rsidR="008A5924" w:rsidRPr="00B82A4D" w:rsidRDefault="008A5924" w:rsidP="008A5924">
      <w:pPr>
        <w:jc w:val="both"/>
        <w:rPr>
          <w:sz w:val="24"/>
          <w:szCs w:val="24"/>
          <w:shd w:val="clear" w:color="auto" w:fill="FFFFFF"/>
        </w:rPr>
      </w:pPr>
    </w:p>
    <w:p w14:paraId="0A74AD92" w14:textId="77777777" w:rsidR="008A5924" w:rsidRPr="003648F1" w:rsidRDefault="008A5924" w:rsidP="008A5924">
      <w:pPr>
        <w:jc w:val="both"/>
        <w:rPr>
          <w:sz w:val="24"/>
          <w:szCs w:val="24"/>
          <w:shd w:val="clear" w:color="auto" w:fill="FFFFFF"/>
        </w:rPr>
      </w:pPr>
      <w:r w:rsidRPr="00B82A4D">
        <w:rPr>
          <w:sz w:val="24"/>
          <w:szCs w:val="24"/>
          <w:shd w:val="clear" w:color="auto" w:fill="FFFFFF"/>
        </w:rPr>
        <w:t xml:space="preserve">Los programas para poseedores de pequeñas extensiones de tierra de vocación forestal o agroforestal -PINPEP- y el programa de incentivos forestales -PINFOR- buscan contrarrestar la deforestación y la degradación de los bosques. El PINFOR inició sus acciones en el año 1997, incentivando actividades de </w:t>
      </w:r>
      <w:r w:rsidRPr="003648F1">
        <w:rPr>
          <w:sz w:val="24"/>
          <w:szCs w:val="24"/>
          <w:shd w:val="clear" w:color="auto" w:fill="FFFFFF"/>
        </w:rPr>
        <w:t>manejo de bosques, tanto de protección como de producción, así como el establecimiento de plantaciones forestales.</w:t>
      </w:r>
    </w:p>
    <w:p w14:paraId="39338006" w14:textId="77777777" w:rsidR="008A5924" w:rsidRPr="003648F1" w:rsidRDefault="008A5924" w:rsidP="008A5924">
      <w:pPr>
        <w:jc w:val="both"/>
        <w:rPr>
          <w:sz w:val="24"/>
          <w:szCs w:val="24"/>
          <w:shd w:val="clear" w:color="auto" w:fill="FFFFFF"/>
        </w:rPr>
      </w:pPr>
    </w:p>
    <w:p w14:paraId="07C332AF" w14:textId="77777777" w:rsidR="008A5924" w:rsidRPr="003648F1" w:rsidRDefault="008A5924" w:rsidP="008A5924">
      <w:pPr>
        <w:jc w:val="both"/>
        <w:rPr>
          <w:sz w:val="24"/>
          <w:szCs w:val="24"/>
          <w:shd w:val="clear" w:color="auto" w:fill="FFFFFF"/>
        </w:rPr>
      </w:pPr>
      <w:r w:rsidRPr="003648F1">
        <w:rPr>
          <w:sz w:val="24"/>
          <w:szCs w:val="24"/>
          <w:shd w:val="clear" w:color="auto" w:fill="FFFFFF"/>
        </w:rPr>
        <w:t xml:space="preserve">Entre 1998 y 2014, este programa incentivó el establecimiento de 126,199 hectáreas de plantaciones y manejo de la regeneración natural, y 232,765 hectáreas de protección de bosques naturales. Por su lado, PINPEP inició sus acciones en el año 2007 y entre ese año y el 2014 ha incentivado 2,680 hectáreas de plantaciones forestales; 5,199 hectáreas de sistemas agroforestales, y 38,705 hectáreas de bosque natural bajo manejo. En el año </w:t>
      </w:r>
      <w:r w:rsidR="00551FD4">
        <w:rPr>
          <w:sz w:val="24"/>
          <w:szCs w:val="24"/>
          <w:shd w:val="clear" w:color="auto" w:fill="FFFFFF"/>
        </w:rPr>
        <w:t>2015 se aprobó bajo el Decreto L</w:t>
      </w:r>
      <w:r w:rsidRPr="003648F1">
        <w:rPr>
          <w:sz w:val="24"/>
          <w:szCs w:val="24"/>
          <w:shd w:val="clear" w:color="auto" w:fill="FFFFFF"/>
        </w:rPr>
        <w:t>egislativo 02-2015 (Ley PROBOSQUE), la cual dará continuidad al programa PINFOR, por un periodo de 30 años.</w:t>
      </w:r>
    </w:p>
    <w:p w14:paraId="667C2882" w14:textId="77777777" w:rsidR="008A5924" w:rsidRPr="003648F1" w:rsidRDefault="008A5924" w:rsidP="008A5924">
      <w:pPr>
        <w:jc w:val="both"/>
        <w:rPr>
          <w:sz w:val="24"/>
          <w:szCs w:val="24"/>
          <w:shd w:val="clear" w:color="auto" w:fill="FFFFFF"/>
        </w:rPr>
      </w:pPr>
    </w:p>
    <w:p w14:paraId="442AE143" w14:textId="77777777" w:rsidR="008A5924" w:rsidRPr="003648F1" w:rsidRDefault="008A5924" w:rsidP="008A5924">
      <w:pPr>
        <w:jc w:val="both"/>
        <w:rPr>
          <w:sz w:val="24"/>
          <w:szCs w:val="24"/>
          <w:shd w:val="clear" w:color="auto" w:fill="FFFFFF"/>
        </w:rPr>
      </w:pPr>
      <w:r w:rsidRPr="003648F1">
        <w:rPr>
          <w:sz w:val="24"/>
          <w:szCs w:val="24"/>
          <w:shd w:val="clear" w:color="auto" w:fill="FFFFFF"/>
        </w:rPr>
        <w:t xml:space="preserve">Además de fomentar y continuar fortaleciendo estos programas, se considera necesario continuar apoyando la implementación de la Estrategia Nacional REDD+, que tiene como objetivo disminuir las emisiones de GEI por medio de la ejecución de acciones que disminuyan la deforestación y degradación de los bosques, así como la promoción de actividades de manejo de bosques y plantaciones agroforestales de forma sostenible, y el fortalecimiento de la legalidad forestal y gobernanza de los bosques. </w:t>
      </w:r>
    </w:p>
    <w:p w14:paraId="3C109F9B" w14:textId="77777777" w:rsidR="008A5924" w:rsidRPr="003648F1" w:rsidRDefault="008A5924" w:rsidP="008A5924">
      <w:pPr>
        <w:jc w:val="both"/>
        <w:rPr>
          <w:sz w:val="24"/>
          <w:szCs w:val="24"/>
          <w:shd w:val="clear" w:color="auto" w:fill="FFFFFF"/>
        </w:rPr>
      </w:pPr>
    </w:p>
    <w:p w14:paraId="64C7D619" w14:textId="77777777" w:rsidR="00173A21" w:rsidRDefault="00173A21" w:rsidP="008A5924">
      <w:pPr>
        <w:jc w:val="both"/>
        <w:rPr>
          <w:sz w:val="24"/>
          <w:szCs w:val="24"/>
          <w:shd w:val="clear" w:color="auto" w:fill="FFFFFF"/>
        </w:rPr>
      </w:pPr>
    </w:p>
    <w:p w14:paraId="616D6049" w14:textId="77777777" w:rsidR="00173A21" w:rsidRDefault="00173A21" w:rsidP="008A5924">
      <w:pPr>
        <w:jc w:val="both"/>
        <w:rPr>
          <w:sz w:val="24"/>
          <w:szCs w:val="24"/>
          <w:shd w:val="clear" w:color="auto" w:fill="FFFFFF"/>
        </w:rPr>
      </w:pPr>
    </w:p>
    <w:p w14:paraId="3C13BD3E" w14:textId="77777777" w:rsidR="00551FD4" w:rsidRDefault="00551FD4" w:rsidP="008A5924">
      <w:pPr>
        <w:jc w:val="both"/>
        <w:rPr>
          <w:sz w:val="24"/>
          <w:szCs w:val="24"/>
          <w:shd w:val="clear" w:color="auto" w:fill="FFFFFF"/>
        </w:rPr>
      </w:pPr>
    </w:p>
    <w:p w14:paraId="5C4FBC81" w14:textId="77777777" w:rsidR="008A5924" w:rsidRPr="003648F1" w:rsidRDefault="008A5924" w:rsidP="008A5924">
      <w:pPr>
        <w:jc w:val="both"/>
        <w:rPr>
          <w:sz w:val="24"/>
          <w:szCs w:val="24"/>
          <w:shd w:val="clear" w:color="auto" w:fill="FFFFFF"/>
        </w:rPr>
      </w:pPr>
      <w:r w:rsidRPr="003648F1">
        <w:rPr>
          <w:sz w:val="24"/>
          <w:szCs w:val="24"/>
          <w:shd w:val="clear" w:color="auto" w:fill="FFFFFF"/>
        </w:rPr>
        <w:t>Los incendios forestales son una causa importante de la degradación de los bosques a nivel nacional, sean estos, producto de quemas efectuadas por agricultores y ganaderos como parte de sus actividades de roza o desmonte o bien incendios intencionales relacionados con la cacería, con el objetivo de afectar el bosque y así poder utilizar las tierras una vez esta desprovista de árboles e incluso se ha indicado que ocurren intencionalmente por personas que buscan áreas para extraer objetos arqueológicos enterrados en algunos lugares de la zona. Los incendios forestales traen, asimismo, otros efectos colaterales tales como el desplazamiento de la fauna nativa, la destrucción de la flora nativa y favorece las condiciones para cualquier actividad ilícita con la madera proveniente de áreas afectadas (GCI, 2018).</w:t>
      </w:r>
    </w:p>
    <w:p w14:paraId="79FF778D" w14:textId="77777777" w:rsidR="008A5924" w:rsidRPr="003648F1" w:rsidRDefault="008A5924" w:rsidP="008A5924">
      <w:pPr>
        <w:jc w:val="both"/>
        <w:rPr>
          <w:sz w:val="24"/>
          <w:szCs w:val="24"/>
          <w:shd w:val="clear" w:color="auto" w:fill="FFFFFF"/>
        </w:rPr>
      </w:pPr>
    </w:p>
    <w:p w14:paraId="589A627E" w14:textId="77777777" w:rsidR="008A5924" w:rsidRPr="003648F1" w:rsidRDefault="008A5924" w:rsidP="008A5924">
      <w:pPr>
        <w:jc w:val="both"/>
        <w:rPr>
          <w:sz w:val="24"/>
          <w:szCs w:val="24"/>
          <w:shd w:val="clear" w:color="auto" w:fill="FFFFFF"/>
        </w:rPr>
      </w:pPr>
      <w:r w:rsidRPr="003648F1">
        <w:rPr>
          <w:sz w:val="24"/>
          <w:szCs w:val="24"/>
          <w:shd w:val="clear" w:color="auto" w:fill="FFFFFF"/>
        </w:rPr>
        <w:t xml:space="preserve">Adicionalmente, se estima que los incendios forestales causan emisiones por más de 3.5 millones de toneladas de CO2e por año en áreas de bosque, siendo la región de las Tierras Bajas </w:t>
      </w:r>
      <w:r w:rsidR="00197E56" w:rsidRPr="003648F1">
        <w:rPr>
          <w:sz w:val="24"/>
          <w:szCs w:val="24"/>
          <w:shd w:val="clear" w:color="auto" w:fill="FFFFFF"/>
        </w:rPr>
        <w:t>del Norte la que presenta el 87 por ciento</w:t>
      </w:r>
      <w:r w:rsidRPr="003648F1">
        <w:rPr>
          <w:sz w:val="24"/>
          <w:szCs w:val="24"/>
          <w:shd w:val="clear" w:color="auto" w:fill="FFFFFF"/>
        </w:rPr>
        <w:t xml:space="preserve"> de las emisiones por esta causa, lo cual equivale a un área quemada de 48,910 ha por año, seguida por la re</w:t>
      </w:r>
      <w:r w:rsidR="00197E56" w:rsidRPr="003648F1">
        <w:rPr>
          <w:sz w:val="24"/>
          <w:szCs w:val="24"/>
          <w:shd w:val="clear" w:color="auto" w:fill="FFFFFF"/>
        </w:rPr>
        <w:t>gión occidente con un 6 por ciento</w:t>
      </w:r>
      <w:r w:rsidRPr="003648F1">
        <w:rPr>
          <w:sz w:val="24"/>
          <w:szCs w:val="24"/>
          <w:shd w:val="clear" w:color="auto" w:fill="FFFFFF"/>
        </w:rPr>
        <w:t xml:space="preserve"> del total y la </w:t>
      </w:r>
      <w:r w:rsidR="00197E56" w:rsidRPr="003648F1">
        <w:rPr>
          <w:sz w:val="24"/>
          <w:szCs w:val="24"/>
          <w:shd w:val="clear" w:color="auto" w:fill="FFFFFF"/>
        </w:rPr>
        <w:t>región Sarstún Motagua con un 4 por ciento</w:t>
      </w:r>
      <w:r w:rsidRPr="003648F1">
        <w:rPr>
          <w:sz w:val="24"/>
          <w:szCs w:val="24"/>
          <w:shd w:val="clear" w:color="auto" w:fill="FFFFFF"/>
        </w:rPr>
        <w:t xml:space="preserve"> del total de 56,891 ha que se queman anualmente (GCI, 2018). </w:t>
      </w:r>
    </w:p>
    <w:p w14:paraId="35C168CC" w14:textId="77777777" w:rsidR="008A5924" w:rsidRPr="003648F1" w:rsidRDefault="008A5924" w:rsidP="008A5924">
      <w:pPr>
        <w:jc w:val="both"/>
        <w:rPr>
          <w:sz w:val="24"/>
          <w:szCs w:val="24"/>
          <w:shd w:val="clear" w:color="auto" w:fill="FFFFFF"/>
        </w:rPr>
      </w:pPr>
    </w:p>
    <w:p w14:paraId="57DE1899" w14:textId="66EF3F5D" w:rsidR="008A5924" w:rsidRPr="00B82A4D" w:rsidRDefault="008A5924" w:rsidP="008A5924">
      <w:pPr>
        <w:pStyle w:val="Descripcin"/>
        <w:keepNext/>
        <w:rPr>
          <w:color w:val="000000" w:themeColor="text1"/>
        </w:rPr>
      </w:pPr>
      <w:bookmarkStart w:id="233" w:name="_Toc16243003"/>
      <w:r w:rsidRPr="00B82A4D">
        <w:rPr>
          <w:color w:val="000000" w:themeColor="text1"/>
        </w:rPr>
        <w:t xml:space="preserve">Gráfico  </w:t>
      </w:r>
      <w:r w:rsidRPr="00B82A4D">
        <w:rPr>
          <w:color w:val="000000" w:themeColor="text1"/>
        </w:rPr>
        <w:fldChar w:fldCharType="begin"/>
      </w:r>
      <w:r w:rsidRPr="00B82A4D">
        <w:rPr>
          <w:color w:val="000000" w:themeColor="text1"/>
        </w:rPr>
        <w:instrText xml:space="preserve"> SEQ Gráfico_ \* ARABIC </w:instrText>
      </w:r>
      <w:r w:rsidRPr="00B82A4D">
        <w:rPr>
          <w:color w:val="000000" w:themeColor="text1"/>
        </w:rPr>
        <w:fldChar w:fldCharType="separate"/>
      </w:r>
      <w:r w:rsidR="004B2A60">
        <w:rPr>
          <w:noProof/>
          <w:color w:val="000000" w:themeColor="text1"/>
        </w:rPr>
        <w:t>40</w:t>
      </w:r>
      <w:r w:rsidRPr="00B82A4D">
        <w:rPr>
          <w:noProof/>
          <w:color w:val="000000" w:themeColor="text1"/>
        </w:rPr>
        <w:fldChar w:fldCharType="end"/>
      </w:r>
      <w:r w:rsidRPr="00B82A4D">
        <w:rPr>
          <w:color w:val="000000" w:themeColor="text1"/>
        </w:rPr>
        <w:t>: Número de incendios forestales y Hectáreas afectadas</w:t>
      </w:r>
      <w:bookmarkEnd w:id="233"/>
    </w:p>
    <w:p w14:paraId="7E629226" w14:textId="77777777" w:rsidR="008A5924" w:rsidRDefault="008A5924" w:rsidP="008A5924">
      <w:pPr>
        <w:keepNext/>
        <w:jc w:val="center"/>
        <w:rPr>
          <w:sz w:val="16"/>
          <w:lang w:val="es-MX"/>
        </w:rPr>
      </w:pPr>
      <w:r w:rsidRPr="00BF480D">
        <w:rPr>
          <w:sz w:val="16"/>
          <w:lang w:val="es-MX"/>
        </w:rPr>
        <w:t xml:space="preserve">Periodo 2001 </w:t>
      </w:r>
      <w:r w:rsidR="00056555">
        <w:rPr>
          <w:sz w:val="16"/>
          <w:lang w:val="es-MX"/>
        </w:rPr>
        <w:t>–</w:t>
      </w:r>
      <w:r w:rsidRPr="00BF480D">
        <w:rPr>
          <w:sz w:val="16"/>
          <w:lang w:val="es-MX"/>
        </w:rPr>
        <w:t xml:space="preserve"> 2017</w:t>
      </w:r>
    </w:p>
    <w:p w14:paraId="268DC394" w14:textId="77777777" w:rsidR="00056555" w:rsidRPr="00BF480D" w:rsidRDefault="00056555" w:rsidP="008A5924">
      <w:pPr>
        <w:keepNext/>
        <w:jc w:val="center"/>
        <w:rPr>
          <w:sz w:val="16"/>
          <w:lang w:val="es-MX"/>
        </w:rPr>
      </w:pPr>
    </w:p>
    <w:p w14:paraId="2794BD57" w14:textId="77777777" w:rsidR="008A5924" w:rsidRPr="00184700" w:rsidRDefault="008A5924" w:rsidP="008A5924">
      <w:pPr>
        <w:jc w:val="center"/>
        <w:rPr>
          <w:b/>
          <w:lang w:val="es-MX"/>
        </w:rPr>
      </w:pPr>
      <w:r w:rsidRPr="00184700">
        <w:rPr>
          <w:noProof/>
          <w:lang w:val="es-GT" w:eastAsia="es-GT"/>
        </w:rPr>
        <w:drawing>
          <wp:inline distT="0" distB="0" distL="0" distR="0" wp14:anchorId="6800EA8E" wp14:editId="06334226">
            <wp:extent cx="4465122" cy="3544784"/>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0306B68" w14:textId="77777777" w:rsidR="008A5924" w:rsidRDefault="00595203" w:rsidP="008A5924">
      <w:pPr>
        <w:jc w:val="both"/>
      </w:pPr>
      <w:r w:rsidRPr="00551FD4">
        <w:rPr>
          <w:b/>
          <w:sz w:val="18"/>
        </w:rPr>
        <w:t xml:space="preserve">                                         </w:t>
      </w:r>
      <w:r w:rsidR="008A5924" w:rsidRPr="00551FD4">
        <w:rPr>
          <w:b/>
          <w:sz w:val="18"/>
        </w:rPr>
        <w:t>Fuente:</w:t>
      </w:r>
      <w:r w:rsidR="008A5924" w:rsidRPr="00595203">
        <w:rPr>
          <w:sz w:val="18"/>
        </w:rPr>
        <w:t xml:space="preserve"> Cifras INAB</w:t>
      </w:r>
      <w:r w:rsidR="008A5924" w:rsidRPr="00184700">
        <w:t>.</w:t>
      </w:r>
    </w:p>
    <w:p w14:paraId="2C951C1F" w14:textId="77777777" w:rsidR="008A5924" w:rsidRPr="00184700" w:rsidRDefault="008A5924" w:rsidP="008A5924">
      <w:pPr>
        <w:jc w:val="both"/>
      </w:pPr>
    </w:p>
    <w:p w14:paraId="6F649299" w14:textId="77777777" w:rsidR="008A5924" w:rsidRPr="003648F1" w:rsidRDefault="008A5924" w:rsidP="008A5924">
      <w:pPr>
        <w:jc w:val="both"/>
        <w:rPr>
          <w:sz w:val="24"/>
          <w:szCs w:val="24"/>
          <w:shd w:val="clear" w:color="auto" w:fill="FFFFFF"/>
        </w:rPr>
      </w:pPr>
      <w:r w:rsidRPr="003648F1">
        <w:rPr>
          <w:sz w:val="24"/>
          <w:szCs w:val="24"/>
          <w:shd w:val="clear" w:color="auto" w:fill="FFFFFF"/>
        </w:rPr>
        <w:t>La frecuencia, extensión y daño provocados por los incendios forestales están estrechamente relacionados con el clima y, en particular, con los eventos del Niño que son más secos y resultan en que más quemas controladas se salgan de control y causen más daños. Aunque los incendios forestales no causan la deforestación directamente, son un indicador de la presión humana sobre la tierra y del avance de la frontera agrícola.</w:t>
      </w:r>
    </w:p>
    <w:p w14:paraId="0058E069" w14:textId="77777777" w:rsidR="008A5924" w:rsidRPr="003648F1" w:rsidRDefault="008A5924" w:rsidP="008A5924">
      <w:pPr>
        <w:jc w:val="both"/>
        <w:rPr>
          <w:sz w:val="24"/>
          <w:szCs w:val="24"/>
          <w:shd w:val="clear" w:color="auto" w:fill="FFFFFF"/>
        </w:rPr>
      </w:pPr>
    </w:p>
    <w:p w14:paraId="6CA5D41D" w14:textId="77777777" w:rsidR="00173A21" w:rsidRDefault="00173A21" w:rsidP="008A5924">
      <w:pPr>
        <w:jc w:val="both"/>
        <w:rPr>
          <w:sz w:val="24"/>
          <w:szCs w:val="24"/>
          <w:shd w:val="clear" w:color="auto" w:fill="FFFFFF"/>
        </w:rPr>
      </w:pPr>
    </w:p>
    <w:p w14:paraId="30C750AD" w14:textId="77777777" w:rsidR="00173A21" w:rsidRDefault="00173A21" w:rsidP="008A5924">
      <w:pPr>
        <w:jc w:val="both"/>
        <w:rPr>
          <w:sz w:val="24"/>
          <w:szCs w:val="24"/>
          <w:shd w:val="clear" w:color="auto" w:fill="FFFFFF"/>
        </w:rPr>
      </w:pPr>
    </w:p>
    <w:p w14:paraId="696ED38A" w14:textId="77777777" w:rsidR="008A5924" w:rsidRPr="003648F1" w:rsidRDefault="008A5924" w:rsidP="008A5924">
      <w:pPr>
        <w:jc w:val="both"/>
        <w:rPr>
          <w:sz w:val="24"/>
          <w:szCs w:val="24"/>
          <w:shd w:val="clear" w:color="auto" w:fill="FFFFFF"/>
        </w:rPr>
      </w:pPr>
      <w:r w:rsidRPr="003648F1">
        <w:rPr>
          <w:sz w:val="24"/>
          <w:szCs w:val="24"/>
          <w:shd w:val="clear" w:color="auto" w:fill="FFFFFF"/>
        </w:rPr>
        <w:t xml:space="preserve">Para la atención de los incendios forestales, entre el 2001 y el 2017 funcionaba el Sistema Nacional de Prevención y Control de Incendios Forestales –SIPECIF-. Creado mediante el Acuerdo Gubernativo </w:t>
      </w:r>
      <w:r w:rsidR="00551FD4">
        <w:rPr>
          <w:sz w:val="24"/>
          <w:szCs w:val="24"/>
          <w:shd w:val="clear" w:color="auto" w:fill="FFFFFF"/>
        </w:rPr>
        <w:br/>
      </w:r>
      <w:r w:rsidRPr="003648F1">
        <w:rPr>
          <w:sz w:val="24"/>
          <w:szCs w:val="24"/>
          <w:shd w:val="clear" w:color="auto" w:fill="FFFFFF"/>
        </w:rPr>
        <w:t>63-2001, con la finalidad de definir, implementar e integrar; programas, acciones y estrategias para la mitigación, control y extinción de los incendios forestales.</w:t>
      </w:r>
    </w:p>
    <w:p w14:paraId="5BB6350A" w14:textId="77777777" w:rsidR="008A5924" w:rsidRPr="003648F1" w:rsidRDefault="008A5924" w:rsidP="008A5924">
      <w:pPr>
        <w:jc w:val="both"/>
        <w:rPr>
          <w:sz w:val="24"/>
          <w:szCs w:val="24"/>
          <w:shd w:val="clear" w:color="auto" w:fill="FFFFFF"/>
        </w:rPr>
      </w:pPr>
    </w:p>
    <w:p w14:paraId="781DADA6" w14:textId="77777777" w:rsidR="008A5924" w:rsidRPr="003648F1" w:rsidRDefault="008A5924" w:rsidP="008A5924">
      <w:pPr>
        <w:jc w:val="both"/>
        <w:rPr>
          <w:sz w:val="24"/>
          <w:szCs w:val="24"/>
          <w:shd w:val="clear" w:color="auto" w:fill="FFFFFF"/>
        </w:rPr>
      </w:pPr>
      <w:r w:rsidRPr="003648F1">
        <w:rPr>
          <w:sz w:val="24"/>
          <w:szCs w:val="24"/>
          <w:shd w:val="clear" w:color="auto" w:fill="FFFFFF"/>
        </w:rPr>
        <w:t>Durante este periodo, se asignaron recursos para atender incendios forestales, por un monto estimado de Q95.13 millones, equivalente a una asignación promedio anual de Q5.6 millones y una asignación por hectárea afectada de Q357.08 en promedio.</w:t>
      </w:r>
    </w:p>
    <w:p w14:paraId="259BC486" w14:textId="77777777" w:rsidR="008A5924" w:rsidRDefault="008A5924" w:rsidP="008A5924">
      <w:pPr>
        <w:jc w:val="both"/>
        <w:rPr>
          <w:sz w:val="21"/>
          <w:szCs w:val="21"/>
          <w:shd w:val="clear" w:color="auto" w:fill="FFFFFF"/>
        </w:rPr>
      </w:pPr>
    </w:p>
    <w:p w14:paraId="63CF0F09" w14:textId="443165D7" w:rsidR="008A5924" w:rsidRPr="00B82A4D" w:rsidRDefault="008A5924" w:rsidP="008A5924">
      <w:pPr>
        <w:pStyle w:val="Descripcin"/>
        <w:rPr>
          <w:color w:val="000000" w:themeColor="text1"/>
        </w:rPr>
      </w:pPr>
      <w:bookmarkStart w:id="234" w:name="_Toc16242963"/>
      <w:r w:rsidRPr="00B82A4D">
        <w:rPr>
          <w:color w:val="000000" w:themeColor="text1"/>
        </w:rPr>
        <w:t xml:space="preserve">Cuadro  </w:t>
      </w:r>
      <w:r w:rsidRPr="00B82A4D">
        <w:rPr>
          <w:color w:val="000000" w:themeColor="text1"/>
        </w:rPr>
        <w:fldChar w:fldCharType="begin"/>
      </w:r>
      <w:r w:rsidRPr="00B82A4D">
        <w:rPr>
          <w:color w:val="000000" w:themeColor="text1"/>
        </w:rPr>
        <w:instrText xml:space="preserve"> SEQ Cuadro_ \* ARABIC </w:instrText>
      </w:r>
      <w:r w:rsidRPr="00B82A4D">
        <w:rPr>
          <w:color w:val="000000" w:themeColor="text1"/>
        </w:rPr>
        <w:fldChar w:fldCharType="separate"/>
      </w:r>
      <w:r w:rsidR="004B2A60">
        <w:rPr>
          <w:noProof/>
          <w:color w:val="000000" w:themeColor="text1"/>
        </w:rPr>
        <w:t>13</w:t>
      </w:r>
      <w:r w:rsidRPr="00B82A4D">
        <w:rPr>
          <w:noProof/>
          <w:color w:val="000000" w:themeColor="text1"/>
        </w:rPr>
        <w:fldChar w:fldCharType="end"/>
      </w:r>
      <w:r w:rsidRPr="00B82A4D">
        <w:rPr>
          <w:color w:val="000000" w:themeColor="text1"/>
        </w:rPr>
        <w:t xml:space="preserve">: </w:t>
      </w:r>
      <w:r w:rsidRPr="00B82A4D">
        <w:rPr>
          <w:color w:val="000000" w:themeColor="text1"/>
          <w:lang w:val="es-MX"/>
        </w:rPr>
        <w:t>Presupuesto destinado a la atención de incendios forestales en Guatemala</w:t>
      </w:r>
      <w:bookmarkEnd w:id="234"/>
    </w:p>
    <w:p w14:paraId="1980BB9E" w14:textId="77777777" w:rsidR="008A5924" w:rsidRDefault="008A5924" w:rsidP="008A5924">
      <w:pPr>
        <w:jc w:val="center"/>
        <w:rPr>
          <w:sz w:val="16"/>
          <w:lang w:val="es-MX"/>
        </w:rPr>
      </w:pPr>
      <w:r w:rsidRPr="0088198B">
        <w:rPr>
          <w:sz w:val="16"/>
          <w:lang w:val="es-MX"/>
        </w:rPr>
        <w:t>Periodo 2001-2017</w:t>
      </w:r>
    </w:p>
    <w:p w14:paraId="7AAA4CB9" w14:textId="77777777" w:rsidR="00056555" w:rsidRPr="0088198B" w:rsidRDefault="00056555" w:rsidP="008A5924">
      <w:pPr>
        <w:jc w:val="center"/>
        <w:rPr>
          <w:sz w:val="16"/>
          <w:lang w:val="es-MX"/>
        </w:rPr>
      </w:pPr>
    </w:p>
    <w:tbl>
      <w:tblPr>
        <w:tblW w:w="8386" w:type="dxa"/>
        <w:jc w:val="center"/>
        <w:tblCellMar>
          <w:left w:w="70" w:type="dxa"/>
          <w:right w:w="70" w:type="dxa"/>
        </w:tblCellMar>
        <w:tblLook w:val="04A0" w:firstRow="1" w:lastRow="0" w:firstColumn="1" w:lastColumn="0" w:noHBand="0" w:noVBand="1"/>
      </w:tblPr>
      <w:tblGrid>
        <w:gridCol w:w="792"/>
        <w:gridCol w:w="1018"/>
        <w:gridCol w:w="1113"/>
        <w:gridCol w:w="1095"/>
        <w:gridCol w:w="1208"/>
        <w:gridCol w:w="1133"/>
        <w:gridCol w:w="1204"/>
        <w:gridCol w:w="823"/>
      </w:tblGrid>
      <w:tr w:rsidR="008A5924" w:rsidRPr="00184700" w14:paraId="7E9D5360" w14:textId="77777777" w:rsidTr="00595203">
        <w:trPr>
          <w:trHeight w:val="603"/>
          <w:jc w:val="center"/>
        </w:trPr>
        <w:tc>
          <w:tcPr>
            <w:tcW w:w="792"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24E5B7A" w14:textId="77777777" w:rsidR="008A5924" w:rsidRPr="00184700" w:rsidRDefault="008A5924" w:rsidP="008A5924">
            <w:pPr>
              <w:jc w:val="center"/>
              <w:rPr>
                <w:b/>
                <w:bCs/>
                <w:sz w:val="18"/>
                <w:szCs w:val="18"/>
                <w:lang w:eastAsia="es-GT"/>
              </w:rPr>
            </w:pPr>
            <w:r w:rsidRPr="00184700">
              <w:rPr>
                <w:b/>
                <w:bCs/>
                <w:sz w:val="18"/>
                <w:szCs w:val="18"/>
                <w:lang w:eastAsia="es-GT"/>
              </w:rPr>
              <w:t>Año</w:t>
            </w:r>
          </w:p>
        </w:tc>
        <w:tc>
          <w:tcPr>
            <w:tcW w:w="101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3184457" w14:textId="77777777" w:rsidR="008A5924" w:rsidRPr="00184700" w:rsidRDefault="008A5924" w:rsidP="008A5924">
            <w:pPr>
              <w:jc w:val="center"/>
              <w:rPr>
                <w:b/>
                <w:bCs/>
                <w:sz w:val="18"/>
                <w:szCs w:val="18"/>
                <w:lang w:eastAsia="es-GT"/>
              </w:rPr>
            </w:pPr>
            <w:r w:rsidRPr="00184700">
              <w:rPr>
                <w:b/>
                <w:bCs/>
                <w:sz w:val="18"/>
                <w:szCs w:val="18"/>
                <w:lang w:eastAsia="es-GT"/>
              </w:rPr>
              <w:t>Número de Incendios Forestales</w:t>
            </w:r>
          </w:p>
        </w:tc>
        <w:tc>
          <w:tcPr>
            <w:tcW w:w="111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502A289" w14:textId="77777777" w:rsidR="008A5924" w:rsidRPr="00184700" w:rsidRDefault="008A5924" w:rsidP="008A5924">
            <w:pPr>
              <w:jc w:val="center"/>
              <w:rPr>
                <w:b/>
                <w:bCs/>
                <w:sz w:val="18"/>
                <w:szCs w:val="18"/>
                <w:lang w:eastAsia="es-GT"/>
              </w:rPr>
            </w:pPr>
            <w:r w:rsidRPr="00184700">
              <w:rPr>
                <w:b/>
                <w:bCs/>
                <w:sz w:val="18"/>
                <w:szCs w:val="18"/>
                <w:lang w:eastAsia="es-GT"/>
              </w:rPr>
              <w:t>Superficie Afectada  en Hectáreas</w:t>
            </w:r>
          </w:p>
        </w:tc>
        <w:tc>
          <w:tcPr>
            <w:tcW w:w="3435" w:type="dxa"/>
            <w:gridSpan w:val="3"/>
            <w:tcBorders>
              <w:top w:val="single" w:sz="4" w:space="0" w:color="auto"/>
              <w:left w:val="nil"/>
              <w:bottom w:val="single" w:sz="4" w:space="0" w:color="auto"/>
              <w:right w:val="single" w:sz="4" w:space="0" w:color="auto"/>
            </w:tcBorders>
            <w:shd w:val="clear" w:color="000000" w:fill="C5D9F1"/>
            <w:vAlign w:val="center"/>
            <w:hideMark/>
          </w:tcPr>
          <w:p w14:paraId="21222EF3" w14:textId="77777777" w:rsidR="008A5924" w:rsidRPr="00184700" w:rsidRDefault="008A5924" w:rsidP="008A5924">
            <w:pPr>
              <w:jc w:val="center"/>
              <w:rPr>
                <w:b/>
                <w:bCs/>
                <w:sz w:val="18"/>
                <w:szCs w:val="18"/>
                <w:lang w:eastAsia="es-GT"/>
              </w:rPr>
            </w:pPr>
            <w:r w:rsidRPr="00184700">
              <w:rPr>
                <w:b/>
                <w:bCs/>
                <w:sz w:val="18"/>
                <w:szCs w:val="18"/>
                <w:lang w:eastAsia="es-GT"/>
              </w:rPr>
              <w:t>Hectáreas afectadas por tipo de Bosque</w:t>
            </w:r>
          </w:p>
        </w:tc>
        <w:tc>
          <w:tcPr>
            <w:tcW w:w="120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76FD733" w14:textId="77777777" w:rsidR="008A5924" w:rsidRPr="00184700" w:rsidRDefault="008A5924" w:rsidP="008A5924">
            <w:pPr>
              <w:jc w:val="center"/>
              <w:rPr>
                <w:b/>
                <w:bCs/>
                <w:sz w:val="18"/>
                <w:szCs w:val="18"/>
                <w:lang w:eastAsia="es-GT"/>
              </w:rPr>
            </w:pPr>
            <w:r w:rsidRPr="00184700">
              <w:rPr>
                <w:b/>
                <w:bCs/>
                <w:sz w:val="18"/>
                <w:szCs w:val="18"/>
                <w:lang w:eastAsia="es-GT"/>
              </w:rPr>
              <w:t>Presupuesto asignado en millones</w:t>
            </w:r>
          </w:p>
        </w:tc>
        <w:tc>
          <w:tcPr>
            <w:tcW w:w="823"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89F9ED6" w14:textId="77777777" w:rsidR="008A5924" w:rsidRPr="00184700" w:rsidRDefault="008A5924" w:rsidP="008A5924">
            <w:pPr>
              <w:jc w:val="center"/>
              <w:rPr>
                <w:b/>
                <w:bCs/>
                <w:sz w:val="18"/>
                <w:szCs w:val="18"/>
                <w:lang w:eastAsia="es-GT"/>
              </w:rPr>
            </w:pPr>
            <w:r w:rsidRPr="00184700">
              <w:rPr>
                <w:b/>
                <w:bCs/>
                <w:sz w:val="18"/>
                <w:szCs w:val="18"/>
                <w:lang w:eastAsia="es-GT"/>
              </w:rPr>
              <w:t>Q/Ha</w:t>
            </w:r>
          </w:p>
        </w:tc>
      </w:tr>
      <w:tr w:rsidR="008A5924" w:rsidRPr="00184700" w14:paraId="28382E20" w14:textId="77777777" w:rsidTr="00595203">
        <w:trPr>
          <w:trHeight w:val="201"/>
          <w:jc w:val="center"/>
        </w:trPr>
        <w:tc>
          <w:tcPr>
            <w:tcW w:w="792" w:type="dxa"/>
            <w:vMerge/>
            <w:tcBorders>
              <w:top w:val="single" w:sz="4" w:space="0" w:color="auto"/>
              <w:left w:val="single" w:sz="4" w:space="0" w:color="auto"/>
              <w:bottom w:val="single" w:sz="4" w:space="0" w:color="auto"/>
              <w:right w:val="single" w:sz="4" w:space="0" w:color="auto"/>
            </w:tcBorders>
            <w:vAlign w:val="center"/>
            <w:hideMark/>
          </w:tcPr>
          <w:p w14:paraId="74948FB2" w14:textId="77777777" w:rsidR="008A5924" w:rsidRPr="00184700" w:rsidRDefault="008A5924" w:rsidP="008A5924">
            <w:pPr>
              <w:rPr>
                <w:b/>
                <w:bCs/>
                <w:sz w:val="18"/>
                <w:szCs w:val="18"/>
                <w:lang w:eastAsia="es-GT"/>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02598964" w14:textId="77777777" w:rsidR="008A5924" w:rsidRPr="00184700" w:rsidRDefault="008A5924" w:rsidP="008A5924">
            <w:pPr>
              <w:rPr>
                <w:b/>
                <w:bCs/>
                <w:sz w:val="18"/>
                <w:szCs w:val="18"/>
                <w:lang w:eastAsia="es-GT"/>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3FF88031" w14:textId="77777777" w:rsidR="008A5924" w:rsidRPr="00184700" w:rsidRDefault="008A5924" w:rsidP="008A5924">
            <w:pPr>
              <w:rPr>
                <w:b/>
                <w:bCs/>
                <w:sz w:val="18"/>
                <w:szCs w:val="18"/>
                <w:lang w:eastAsia="es-GT"/>
              </w:rPr>
            </w:pPr>
          </w:p>
        </w:tc>
        <w:tc>
          <w:tcPr>
            <w:tcW w:w="1095" w:type="dxa"/>
            <w:tcBorders>
              <w:top w:val="nil"/>
              <w:left w:val="nil"/>
              <w:bottom w:val="single" w:sz="4" w:space="0" w:color="auto"/>
              <w:right w:val="single" w:sz="4" w:space="0" w:color="auto"/>
            </w:tcBorders>
            <w:shd w:val="clear" w:color="000000" w:fill="C5D9F1"/>
            <w:vAlign w:val="center"/>
            <w:hideMark/>
          </w:tcPr>
          <w:p w14:paraId="3B5AC0DA" w14:textId="77777777" w:rsidR="008A5924" w:rsidRPr="00184700" w:rsidRDefault="008A5924" w:rsidP="008A5924">
            <w:pPr>
              <w:jc w:val="center"/>
              <w:rPr>
                <w:b/>
                <w:bCs/>
                <w:sz w:val="18"/>
                <w:szCs w:val="18"/>
                <w:lang w:eastAsia="es-GT"/>
              </w:rPr>
            </w:pPr>
            <w:r w:rsidRPr="00184700">
              <w:rPr>
                <w:b/>
                <w:bCs/>
                <w:sz w:val="18"/>
                <w:szCs w:val="18"/>
                <w:lang w:eastAsia="es-GT"/>
              </w:rPr>
              <w:t>Coníferas</w:t>
            </w:r>
          </w:p>
        </w:tc>
        <w:tc>
          <w:tcPr>
            <w:tcW w:w="1208" w:type="dxa"/>
            <w:tcBorders>
              <w:top w:val="nil"/>
              <w:left w:val="nil"/>
              <w:bottom w:val="single" w:sz="4" w:space="0" w:color="auto"/>
              <w:right w:val="single" w:sz="4" w:space="0" w:color="auto"/>
            </w:tcBorders>
            <w:shd w:val="clear" w:color="000000" w:fill="C5D9F1"/>
            <w:vAlign w:val="center"/>
            <w:hideMark/>
          </w:tcPr>
          <w:p w14:paraId="23A54F00" w14:textId="77777777" w:rsidR="008A5924" w:rsidRPr="00184700" w:rsidRDefault="008A5924" w:rsidP="008A5924">
            <w:pPr>
              <w:jc w:val="center"/>
              <w:rPr>
                <w:b/>
                <w:bCs/>
                <w:sz w:val="18"/>
                <w:szCs w:val="18"/>
                <w:lang w:eastAsia="es-GT"/>
              </w:rPr>
            </w:pPr>
            <w:r w:rsidRPr="00184700">
              <w:rPr>
                <w:b/>
                <w:bCs/>
                <w:sz w:val="18"/>
                <w:szCs w:val="18"/>
                <w:lang w:eastAsia="es-GT"/>
              </w:rPr>
              <w:t>Latifoliado</w:t>
            </w:r>
          </w:p>
        </w:tc>
        <w:tc>
          <w:tcPr>
            <w:tcW w:w="1133" w:type="dxa"/>
            <w:tcBorders>
              <w:top w:val="nil"/>
              <w:left w:val="nil"/>
              <w:bottom w:val="single" w:sz="4" w:space="0" w:color="auto"/>
              <w:right w:val="single" w:sz="4" w:space="0" w:color="auto"/>
            </w:tcBorders>
            <w:shd w:val="clear" w:color="000000" w:fill="C5D9F1"/>
            <w:noWrap/>
            <w:vAlign w:val="bottom"/>
            <w:hideMark/>
          </w:tcPr>
          <w:p w14:paraId="17D48ABE" w14:textId="77777777" w:rsidR="008A5924" w:rsidRPr="00184700" w:rsidRDefault="008A5924" w:rsidP="008A5924">
            <w:pPr>
              <w:jc w:val="center"/>
              <w:rPr>
                <w:b/>
                <w:bCs/>
                <w:sz w:val="18"/>
                <w:szCs w:val="18"/>
                <w:lang w:eastAsia="es-GT"/>
              </w:rPr>
            </w:pPr>
            <w:r w:rsidRPr="00184700">
              <w:rPr>
                <w:b/>
                <w:bCs/>
                <w:sz w:val="18"/>
                <w:szCs w:val="18"/>
                <w:lang w:eastAsia="es-GT"/>
              </w:rPr>
              <w:t xml:space="preserve">Mixto </w:t>
            </w: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4FDB6966" w14:textId="77777777" w:rsidR="008A5924" w:rsidRPr="00184700" w:rsidRDefault="008A5924" w:rsidP="008A5924">
            <w:pPr>
              <w:rPr>
                <w:b/>
                <w:bCs/>
                <w:sz w:val="18"/>
                <w:szCs w:val="18"/>
                <w:lang w:eastAsia="es-GT"/>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2F6747BF" w14:textId="77777777" w:rsidR="008A5924" w:rsidRPr="00184700" w:rsidRDefault="008A5924" w:rsidP="008A5924">
            <w:pPr>
              <w:rPr>
                <w:b/>
                <w:bCs/>
                <w:sz w:val="18"/>
                <w:szCs w:val="18"/>
                <w:lang w:eastAsia="es-GT"/>
              </w:rPr>
            </w:pPr>
          </w:p>
        </w:tc>
      </w:tr>
      <w:tr w:rsidR="008A5924" w:rsidRPr="00184700" w14:paraId="6BCF74BF" w14:textId="77777777" w:rsidTr="00595203">
        <w:trPr>
          <w:trHeight w:val="201"/>
          <w:jc w:val="center"/>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0E4E3CE6" w14:textId="77777777" w:rsidR="008A5924" w:rsidRPr="00184700" w:rsidRDefault="008A5924" w:rsidP="008A5924">
            <w:pPr>
              <w:jc w:val="center"/>
              <w:rPr>
                <w:sz w:val="18"/>
                <w:szCs w:val="18"/>
                <w:lang w:eastAsia="es-GT"/>
              </w:rPr>
            </w:pPr>
            <w:r w:rsidRPr="00184700">
              <w:rPr>
                <w:sz w:val="18"/>
                <w:szCs w:val="18"/>
                <w:lang w:eastAsia="es-GT"/>
              </w:rPr>
              <w:t>2001</w:t>
            </w:r>
          </w:p>
        </w:tc>
        <w:tc>
          <w:tcPr>
            <w:tcW w:w="1018" w:type="dxa"/>
            <w:tcBorders>
              <w:top w:val="nil"/>
              <w:left w:val="nil"/>
              <w:bottom w:val="single" w:sz="4" w:space="0" w:color="auto"/>
              <w:right w:val="single" w:sz="4" w:space="0" w:color="auto"/>
            </w:tcBorders>
            <w:shd w:val="clear" w:color="auto" w:fill="auto"/>
            <w:noWrap/>
            <w:vAlign w:val="center"/>
            <w:hideMark/>
          </w:tcPr>
          <w:p w14:paraId="6A82EAAA" w14:textId="77777777" w:rsidR="008A5924" w:rsidRPr="00184700" w:rsidRDefault="008A5924" w:rsidP="008A5924">
            <w:pPr>
              <w:jc w:val="right"/>
              <w:rPr>
                <w:sz w:val="18"/>
                <w:szCs w:val="18"/>
                <w:lang w:eastAsia="es-GT"/>
              </w:rPr>
            </w:pPr>
            <w:r w:rsidRPr="00184700">
              <w:rPr>
                <w:sz w:val="18"/>
                <w:szCs w:val="18"/>
                <w:lang w:eastAsia="es-GT"/>
              </w:rPr>
              <w:t>659</w:t>
            </w:r>
          </w:p>
        </w:tc>
        <w:tc>
          <w:tcPr>
            <w:tcW w:w="1113" w:type="dxa"/>
            <w:tcBorders>
              <w:top w:val="nil"/>
              <w:left w:val="nil"/>
              <w:bottom w:val="single" w:sz="4" w:space="0" w:color="auto"/>
              <w:right w:val="single" w:sz="4" w:space="0" w:color="auto"/>
            </w:tcBorders>
            <w:shd w:val="clear" w:color="auto" w:fill="auto"/>
            <w:noWrap/>
            <w:vAlign w:val="center"/>
            <w:hideMark/>
          </w:tcPr>
          <w:p w14:paraId="3B7174EB" w14:textId="77777777" w:rsidR="008A5924" w:rsidRPr="00184700" w:rsidRDefault="008A5924" w:rsidP="008A5924">
            <w:pPr>
              <w:jc w:val="right"/>
              <w:rPr>
                <w:sz w:val="18"/>
                <w:szCs w:val="18"/>
                <w:lang w:eastAsia="es-GT"/>
              </w:rPr>
            </w:pPr>
            <w:r w:rsidRPr="00184700">
              <w:rPr>
                <w:sz w:val="18"/>
                <w:szCs w:val="18"/>
                <w:lang w:eastAsia="es-GT"/>
              </w:rPr>
              <w:t>18,638.20</w:t>
            </w:r>
          </w:p>
        </w:tc>
        <w:tc>
          <w:tcPr>
            <w:tcW w:w="1095" w:type="dxa"/>
            <w:tcBorders>
              <w:top w:val="nil"/>
              <w:left w:val="nil"/>
              <w:bottom w:val="single" w:sz="4" w:space="0" w:color="auto"/>
              <w:right w:val="single" w:sz="4" w:space="0" w:color="auto"/>
            </w:tcBorders>
            <w:shd w:val="clear" w:color="auto" w:fill="auto"/>
            <w:noWrap/>
            <w:vAlign w:val="center"/>
            <w:hideMark/>
          </w:tcPr>
          <w:p w14:paraId="0A9F2A33" w14:textId="77777777" w:rsidR="008A5924" w:rsidRPr="00184700" w:rsidRDefault="008A5924" w:rsidP="008A5924">
            <w:pPr>
              <w:jc w:val="right"/>
              <w:rPr>
                <w:sz w:val="18"/>
                <w:szCs w:val="18"/>
                <w:lang w:eastAsia="es-GT"/>
              </w:rPr>
            </w:pPr>
            <w:r w:rsidRPr="00184700">
              <w:rPr>
                <w:sz w:val="18"/>
                <w:szCs w:val="18"/>
                <w:lang w:eastAsia="es-GT"/>
              </w:rPr>
              <w:t>9,479.21</w:t>
            </w:r>
          </w:p>
        </w:tc>
        <w:tc>
          <w:tcPr>
            <w:tcW w:w="1208" w:type="dxa"/>
            <w:tcBorders>
              <w:top w:val="nil"/>
              <w:left w:val="nil"/>
              <w:bottom w:val="single" w:sz="4" w:space="0" w:color="auto"/>
              <w:right w:val="single" w:sz="4" w:space="0" w:color="auto"/>
            </w:tcBorders>
            <w:shd w:val="clear" w:color="auto" w:fill="auto"/>
            <w:noWrap/>
            <w:vAlign w:val="center"/>
            <w:hideMark/>
          </w:tcPr>
          <w:p w14:paraId="17229D4E" w14:textId="77777777" w:rsidR="008A5924" w:rsidRPr="00184700" w:rsidRDefault="008A5924" w:rsidP="008A5924">
            <w:pPr>
              <w:jc w:val="right"/>
              <w:rPr>
                <w:sz w:val="18"/>
                <w:szCs w:val="18"/>
                <w:lang w:eastAsia="es-GT"/>
              </w:rPr>
            </w:pPr>
            <w:r w:rsidRPr="00184700">
              <w:rPr>
                <w:sz w:val="18"/>
                <w:szCs w:val="18"/>
                <w:lang w:eastAsia="es-GT"/>
              </w:rPr>
              <w:t>1,464.41</w:t>
            </w:r>
          </w:p>
        </w:tc>
        <w:tc>
          <w:tcPr>
            <w:tcW w:w="1133" w:type="dxa"/>
            <w:tcBorders>
              <w:top w:val="nil"/>
              <w:left w:val="nil"/>
              <w:bottom w:val="single" w:sz="4" w:space="0" w:color="auto"/>
              <w:right w:val="single" w:sz="4" w:space="0" w:color="auto"/>
            </w:tcBorders>
            <w:shd w:val="clear" w:color="auto" w:fill="auto"/>
            <w:noWrap/>
            <w:vAlign w:val="center"/>
            <w:hideMark/>
          </w:tcPr>
          <w:p w14:paraId="25F96459" w14:textId="77777777" w:rsidR="008A5924" w:rsidRPr="00184700" w:rsidRDefault="008A5924" w:rsidP="008A5924">
            <w:pPr>
              <w:jc w:val="right"/>
              <w:rPr>
                <w:sz w:val="18"/>
                <w:szCs w:val="18"/>
                <w:lang w:eastAsia="es-GT"/>
              </w:rPr>
            </w:pPr>
            <w:r w:rsidRPr="00184700">
              <w:rPr>
                <w:sz w:val="18"/>
                <w:szCs w:val="18"/>
                <w:lang w:eastAsia="es-GT"/>
              </w:rPr>
              <w:t>7,694.55</w:t>
            </w:r>
          </w:p>
        </w:tc>
        <w:tc>
          <w:tcPr>
            <w:tcW w:w="1204" w:type="dxa"/>
            <w:tcBorders>
              <w:top w:val="nil"/>
              <w:left w:val="nil"/>
              <w:bottom w:val="single" w:sz="4" w:space="0" w:color="auto"/>
              <w:right w:val="single" w:sz="4" w:space="0" w:color="auto"/>
            </w:tcBorders>
            <w:shd w:val="clear" w:color="auto" w:fill="auto"/>
            <w:noWrap/>
            <w:vAlign w:val="center"/>
            <w:hideMark/>
          </w:tcPr>
          <w:p w14:paraId="6B8B67D9" w14:textId="77777777" w:rsidR="008A5924" w:rsidRPr="00184700" w:rsidRDefault="008A5924" w:rsidP="008A5924">
            <w:pPr>
              <w:jc w:val="right"/>
              <w:rPr>
                <w:sz w:val="18"/>
                <w:szCs w:val="18"/>
                <w:lang w:eastAsia="es-GT"/>
              </w:rPr>
            </w:pPr>
            <w:r w:rsidRPr="00184700">
              <w:rPr>
                <w:sz w:val="18"/>
                <w:szCs w:val="18"/>
                <w:lang w:eastAsia="es-GT"/>
              </w:rPr>
              <w:t>0.72</w:t>
            </w:r>
          </w:p>
        </w:tc>
        <w:tc>
          <w:tcPr>
            <w:tcW w:w="823" w:type="dxa"/>
            <w:tcBorders>
              <w:top w:val="nil"/>
              <w:left w:val="nil"/>
              <w:bottom w:val="single" w:sz="4" w:space="0" w:color="auto"/>
              <w:right w:val="single" w:sz="4" w:space="0" w:color="auto"/>
            </w:tcBorders>
            <w:shd w:val="clear" w:color="auto" w:fill="auto"/>
            <w:noWrap/>
            <w:vAlign w:val="center"/>
            <w:hideMark/>
          </w:tcPr>
          <w:p w14:paraId="5E1BCE8A" w14:textId="77777777" w:rsidR="008A5924" w:rsidRPr="00184700" w:rsidRDefault="008A5924" w:rsidP="008A5924">
            <w:pPr>
              <w:jc w:val="right"/>
              <w:rPr>
                <w:sz w:val="18"/>
                <w:szCs w:val="18"/>
                <w:lang w:eastAsia="es-GT"/>
              </w:rPr>
            </w:pPr>
            <w:r w:rsidRPr="00184700">
              <w:rPr>
                <w:sz w:val="18"/>
                <w:szCs w:val="18"/>
                <w:lang w:eastAsia="es-GT"/>
              </w:rPr>
              <w:t>38.79</w:t>
            </w:r>
          </w:p>
        </w:tc>
      </w:tr>
      <w:tr w:rsidR="008A5924" w:rsidRPr="00184700" w14:paraId="16229FD3" w14:textId="77777777" w:rsidTr="00595203">
        <w:trPr>
          <w:trHeight w:val="201"/>
          <w:jc w:val="center"/>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10BEC3D1" w14:textId="77777777" w:rsidR="008A5924" w:rsidRPr="00184700" w:rsidRDefault="008A5924" w:rsidP="008A5924">
            <w:pPr>
              <w:jc w:val="center"/>
              <w:rPr>
                <w:sz w:val="18"/>
                <w:szCs w:val="18"/>
                <w:lang w:eastAsia="es-GT"/>
              </w:rPr>
            </w:pPr>
            <w:r w:rsidRPr="00184700">
              <w:rPr>
                <w:sz w:val="18"/>
                <w:szCs w:val="18"/>
                <w:lang w:eastAsia="es-GT"/>
              </w:rPr>
              <w:t>2002</w:t>
            </w:r>
          </w:p>
        </w:tc>
        <w:tc>
          <w:tcPr>
            <w:tcW w:w="1018" w:type="dxa"/>
            <w:tcBorders>
              <w:top w:val="nil"/>
              <w:left w:val="nil"/>
              <w:bottom w:val="single" w:sz="4" w:space="0" w:color="auto"/>
              <w:right w:val="single" w:sz="4" w:space="0" w:color="auto"/>
            </w:tcBorders>
            <w:shd w:val="clear" w:color="auto" w:fill="auto"/>
            <w:noWrap/>
            <w:vAlign w:val="center"/>
            <w:hideMark/>
          </w:tcPr>
          <w:p w14:paraId="016AE94B" w14:textId="77777777" w:rsidR="008A5924" w:rsidRPr="00184700" w:rsidRDefault="008A5924" w:rsidP="008A5924">
            <w:pPr>
              <w:jc w:val="right"/>
              <w:rPr>
                <w:sz w:val="18"/>
                <w:szCs w:val="18"/>
                <w:lang w:eastAsia="es-GT"/>
              </w:rPr>
            </w:pPr>
            <w:r w:rsidRPr="00184700">
              <w:rPr>
                <w:sz w:val="18"/>
                <w:szCs w:val="18"/>
                <w:lang w:eastAsia="es-GT"/>
              </w:rPr>
              <w:t>729</w:t>
            </w:r>
          </w:p>
        </w:tc>
        <w:tc>
          <w:tcPr>
            <w:tcW w:w="1113" w:type="dxa"/>
            <w:tcBorders>
              <w:top w:val="nil"/>
              <w:left w:val="nil"/>
              <w:bottom w:val="single" w:sz="4" w:space="0" w:color="auto"/>
              <w:right w:val="single" w:sz="4" w:space="0" w:color="auto"/>
            </w:tcBorders>
            <w:shd w:val="clear" w:color="auto" w:fill="auto"/>
            <w:noWrap/>
            <w:vAlign w:val="center"/>
            <w:hideMark/>
          </w:tcPr>
          <w:p w14:paraId="7D8496D8" w14:textId="77777777" w:rsidR="008A5924" w:rsidRPr="00184700" w:rsidRDefault="008A5924" w:rsidP="008A5924">
            <w:pPr>
              <w:jc w:val="right"/>
              <w:rPr>
                <w:sz w:val="18"/>
                <w:szCs w:val="18"/>
                <w:lang w:eastAsia="es-GT"/>
              </w:rPr>
            </w:pPr>
            <w:r w:rsidRPr="00184700">
              <w:rPr>
                <w:sz w:val="18"/>
                <w:szCs w:val="18"/>
                <w:lang w:eastAsia="es-GT"/>
              </w:rPr>
              <w:t>17,887.80</w:t>
            </w:r>
          </w:p>
        </w:tc>
        <w:tc>
          <w:tcPr>
            <w:tcW w:w="1095" w:type="dxa"/>
            <w:tcBorders>
              <w:top w:val="nil"/>
              <w:left w:val="nil"/>
              <w:bottom w:val="single" w:sz="4" w:space="0" w:color="auto"/>
              <w:right w:val="single" w:sz="4" w:space="0" w:color="auto"/>
            </w:tcBorders>
            <w:shd w:val="clear" w:color="auto" w:fill="auto"/>
            <w:noWrap/>
            <w:vAlign w:val="center"/>
            <w:hideMark/>
          </w:tcPr>
          <w:p w14:paraId="629BC9F0" w14:textId="77777777" w:rsidR="008A5924" w:rsidRPr="00184700" w:rsidRDefault="008A5924" w:rsidP="008A5924">
            <w:pPr>
              <w:jc w:val="right"/>
              <w:rPr>
                <w:sz w:val="18"/>
                <w:szCs w:val="18"/>
                <w:lang w:eastAsia="es-GT"/>
              </w:rPr>
            </w:pPr>
            <w:r w:rsidRPr="00184700">
              <w:rPr>
                <w:sz w:val="18"/>
                <w:szCs w:val="18"/>
                <w:lang w:eastAsia="es-GT"/>
              </w:rPr>
              <w:t>7,004.25</w:t>
            </w:r>
          </w:p>
        </w:tc>
        <w:tc>
          <w:tcPr>
            <w:tcW w:w="1208" w:type="dxa"/>
            <w:tcBorders>
              <w:top w:val="nil"/>
              <w:left w:val="nil"/>
              <w:bottom w:val="single" w:sz="4" w:space="0" w:color="auto"/>
              <w:right w:val="single" w:sz="4" w:space="0" w:color="auto"/>
            </w:tcBorders>
            <w:shd w:val="clear" w:color="auto" w:fill="auto"/>
            <w:noWrap/>
            <w:vAlign w:val="center"/>
            <w:hideMark/>
          </w:tcPr>
          <w:p w14:paraId="0D9EF01B" w14:textId="77777777" w:rsidR="008A5924" w:rsidRPr="00184700" w:rsidRDefault="008A5924" w:rsidP="008A5924">
            <w:pPr>
              <w:jc w:val="right"/>
              <w:rPr>
                <w:sz w:val="18"/>
                <w:szCs w:val="18"/>
                <w:lang w:eastAsia="es-GT"/>
              </w:rPr>
            </w:pPr>
            <w:r w:rsidRPr="00184700">
              <w:rPr>
                <w:sz w:val="18"/>
                <w:szCs w:val="18"/>
                <w:lang w:eastAsia="es-GT"/>
              </w:rPr>
              <w:t>2,889.08</w:t>
            </w:r>
          </w:p>
        </w:tc>
        <w:tc>
          <w:tcPr>
            <w:tcW w:w="1133" w:type="dxa"/>
            <w:tcBorders>
              <w:top w:val="nil"/>
              <w:left w:val="nil"/>
              <w:bottom w:val="single" w:sz="4" w:space="0" w:color="auto"/>
              <w:right w:val="single" w:sz="4" w:space="0" w:color="auto"/>
            </w:tcBorders>
            <w:shd w:val="clear" w:color="auto" w:fill="auto"/>
            <w:noWrap/>
            <w:vAlign w:val="center"/>
            <w:hideMark/>
          </w:tcPr>
          <w:p w14:paraId="256DEF36" w14:textId="77777777" w:rsidR="008A5924" w:rsidRPr="00184700" w:rsidRDefault="008A5924" w:rsidP="008A5924">
            <w:pPr>
              <w:jc w:val="right"/>
              <w:rPr>
                <w:sz w:val="18"/>
                <w:szCs w:val="18"/>
                <w:lang w:eastAsia="es-GT"/>
              </w:rPr>
            </w:pPr>
            <w:r w:rsidRPr="00184700">
              <w:rPr>
                <w:sz w:val="18"/>
                <w:szCs w:val="18"/>
                <w:lang w:eastAsia="es-GT"/>
              </w:rPr>
              <w:t>7,994.47</w:t>
            </w:r>
          </w:p>
        </w:tc>
        <w:tc>
          <w:tcPr>
            <w:tcW w:w="1204" w:type="dxa"/>
            <w:tcBorders>
              <w:top w:val="nil"/>
              <w:left w:val="nil"/>
              <w:bottom w:val="single" w:sz="4" w:space="0" w:color="auto"/>
              <w:right w:val="single" w:sz="4" w:space="0" w:color="auto"/>
            </w:tcBorders>
            <w:shd w:val="clear" w:color="auto" w:fill="auto"/>
            <w:noWrap/>
            <w:vAlign w:val="center"/>
            <w:hideMark/>
          </w:tcPr>
          <w:p w14:paraId="057EB553" w14:textId="77777777" w:rsidR="008A5924" w:rsidRPr="00184700" w:rsidRDefault="008A5924" w:rsidP="008A5924">
            <w:pPr>
              <w:jc w:val="right"/>
              <w:rPr>
                <w:sz w:val="18"/>
                <w:szCs w:val="18"/>
                <w:lang w:eastAsia="es-GT"/>
              </w:rPr>
            </w:pPr>
            <w:r w:rsidRPr="00184700">
              <w:rPr>
                <w:sz w:val="18"/>
                <w:szCs w:val="18"/>
                <w:lang w:eastAsia="es-GT"/>
              </w:rPr>
              <w:t>18.14</w:t>
            </w:r>
          </w:p>
        </w:tc>
        <w:tc>
          <w:tcPr>
            <w:tcW w:w="823" w:type="dxa"/>
            <w:tcBorders>
              <w:top w:val="nil"/>
              <w:left w:val="nil"/>
              <w:bottom w:val="single" w:sz="4" w:space="0" w:color="auto"/>
              <w:right w:val="single" w:sz="4" w:space="0" w:color="auto"/>
            </w:tcBorders>
            <w:shd w:val="clear" w:color="auto" w:fill="auto"/>
            <w:noWrap/>
            <w:vAlign w:val="center"/>
            <w:hideMark/>
          </w:tcPr>
          <w:p w14:paraId="68FEE84C" w14:textId="77777777" w:rsidR="008A5924" w:rsidRPr="00184700" w:rsidRDefault="008A5924" w:rsidP="008A5924">
            <w:pPr>
              <w:jc w:val="right"/>
              <w:rPr>
                <w:sz w:val="18"/>
                <w:szCs w:val="18"/>
                <w:lang w:eastAsia="es-GT"/>
              </w:rPr>
            </w:pPr>
            <w:r w:rsidRPr="00184700">
              <w:rPr>
                <w:sz w:val="18"/>
                <w:szCs w:val="18"/>
                <w:lang w:eastAsia="es-GT"/>
              </w:rPr>
              <w:t>1,014.17</w:t>
            </w:r>
          </w:p>
        </w:tc>
      </w:tr>
      <w:tr w:rsidR="008A5924" w:rsidRPr="00184700" w14:paraId="379FED2C" w14:textId="77777777" w:rsidTr="00595203">
        <w:trPr>
          <w:trHeight w:val="201"/>
          <w:jc w:val="center"/>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495A30ED" w14:textId="77777777" w:rsidR="008A5924" w:rsidRPr="00184700" w:rsidRDefault="008A5924" w:rsidP="008A5924">
            <w:pPr>
              <w:jc w:val="center"/>
              <w:rPr>
                <w:sz w:val="18"/>
                <w:szCs w:val="18"/>
                <w:lang w:eastAsia="es-GT"/>
              </w:rPr>
            </w:pPr>
            <w:r w:rsidRPr="00184700">
              <w:rPr>
                <w:sz w:val="18"/>
                <w:szCs w:val="18"/>
                <w:lang w:eastAsia="es-GT"/>
              </w:rPr>
              <w:t>2003</w:t>
            </w:r>
          </w:p>
        </w:tc>
        <w:tc>
          <w:tcPr>
            <w:tcW w:w="1018" w:type="dxa"/>
            <w:tcBorders>
              <w:top w:val="nil"/>
              <w:left w:val="nil"/>
              <w:bottom w:val="single" w:sz="4" w:space="0" w:color="auto"/>
              <w:right w:val="single" w:sz="4" w:space="0" w:color="auto"/>
            </w:tcBorders>
            <w:shd w:val="clear" w:color="auto" w:fill="auto"/>
            <w:noWrap/>
            <w:vAlign w:val="center"/>
            <w:hideMark/>
          </w:tcPr>
          <w:p w14:paraId="2413D4AF" w14:textId="77777777" w:rsidR="008A5924" w:rsidRPr="00184700" w:rsidRDefault="008A5924" w:rsidP="008A5924">
            <w:pPr>
              <w:jc w:val="right"/>
              <w:rPr>
                <w:sz w:val="18"/>
                <w:szCs w:val="18"/>
                <w:lang w:eastAsia="es-GT"/>
              </w:rPr>
            </w:pPr>
            <w:r w:rsidRPr="00184700">
              <w:rPr>
                <w:sz w:val="18"/>
                <w:szCs w:val="18"/>
                <w:lang w:eastAsia="es-GT"/>
              </w:rPr>
              <w:t>449</w:t>
            </w:r>
          </w:p>
        </w:tc>
        <w:tc>
          <w:tcPr>
            <w:tcW w:w="1113" w:type="dxa"/>
            <w:tcBorders>
              <w:top w:val="nil"/>
              <w:left w:val="nil"/>
              <w:bottom w:val="single" w:sz="4" w:space="0" w:color="auto"/>
              <w:right w:val="single" w:sz="4" w:space="0" w:color="auto"/>
            </w:tcBorders>
            <w:shd w:val="clear" w:color="auto" w:fill="auto"/>
            <w:noWrap/>
            <w:vAlign w:val="center"/>
            <w:hideMark/>
          </w:tcPr>
          <w:p w14:paraId="27D2F639" w14:textId="77777777" w:rsidR="008A5924" w:rsidRPr="00184700" w:rsidRDefault="008A5924" w:rsidP="008A5924">
            <w:pPr>
              <w:jc w:val="right"/>
              <w:rPr>
                <w:sz w:val="18"/>
                <w:szCs w:val="18"/>
                <w:lang w:eastAsia="es-GT"/>
              </w:rPr>
            </w:pPr>
            <w:r w:rsidRPr="00184700">
              <w:rPr>
                <w:sz w:val="18"/>
                <w:szCs w:val="18"/>
                <w:lang w:eastAsia="es-GT"/>
              </w:rPr>
              <w:t>59,924.30</w:t>
            </w:r>
          </w:p>
        </w:tc>
        <w:tc>
          <w:tcPr>
            <w:tcW w:w="1095" w:type="dxa"/>
            <w:tcBorders>
              <w:top w:val="nil"/>
              <w:left w:val="nil"/>
              <w:bottom w:val="single" w:sz="4" w:space="0" w:color="auto"/>
              <w:right w:val="single" w:sz="4" w:space="0" w:color="auto"/>
            </w:tcBorders>
            <w:shd w:val="clear" w:color="auto" w:fill="auto"/>
            <w:noWrap/>
            <w:vAlign w:val="center"/>
            <w:hideMark/>
          </w:tcPr>
          <w:p w14:paraId="633CA878" w14:textId="77777777" w:rsidR="008A5924" w:rsidRPr="00184700" w:rsidRDefault="008A5924" w:rsidP="008A5924">
            <w:pPr>
              <w:jc w:val="right"/>
              <w:rPr>
                <w:sz w:val="18"/>
                <w:szCs w:val="18"/>
                <w:lang w:eastAsia="es-GT"/>
              </w:rPr>
            </w:pPr>
            <w:r w:rsidRPr="00184700">
              <w:rPr>
                <w:sz w:val="18"/>
                <w:szCs w:val="18"/>
                <w:lang w:eastAsia="es-GT"/>
              </w:rPr>
              <w:t>6,831.09</w:t>
            </w:r>
          </w:p>
        </w:tc>
        <w:tc>
          <w:tcPr>
            <w:tcW w:w="1208" w:type="dxa"/>
            <w:tcBorders>
              <w:top w:val="nil"/>
              <w:left w:val="nil"/>
              <w:bottom w:val="single" w:sz="4" w:space="0" w:color="auto"/>
              <w:right w:val="single" w:sz="4" w:space="0" w:color="auto"/>
            </w:tcBorders>
            <w:shd w:val="clear" w:color="auto" w:fill="auto"/>
            <w:noWrap/>
            <w:vAlign w:val="center"/>
            <w:hideMark/>
          </w:tcPr>
          <w:p w14:paraId="2917F38A" w14:textId="77777777" w:rsidR="008A5924" w:rsidRPr="00184700" w:rsidRDefault="008A5924" w:rsidP="008A5924">
            <w:pPr>
              <w:jc w:val="right"/>
              <w:rPr>
                <w:sz w:val="18"/>
                <w:szCs w:val="18"/>
                <w:lang w:eastAsia="es-GT"/>
              </w:rPr>
            </w:pPr>
            <w:r w:rsidRPr="00184700">
              <w:rPr>
                <w:sz w:val="18"/>
                <w:szCs w:val="18"/>
                <w:lang w:eastAsia="es-GT"/>
              </w:rPr>
              <w:t>49,195.50</w:t>
            </w:r>
          </w:p>
        </w:tc>
        <w:tc>
          <w:tcPr>
            <w:tcW w:w="1133" w:type="dxa"/>
            <w:tcBorders>
              <w:top w:val="nil"/>
              <w:left w:val="nil"/>
              <w:bottom w:val="single" w:sz="4" w:space="0" w:color="auto"/>
              <w:right w:val="single" w:sz="4" w:space="0" w:color="auto"/>
            </w:tcBorders>
            <w:shd w:val="clear" w:color="auto" w:fill="auto"/>
            <w:noWrap/>
            <w:vAlign w:val="center"/>
            <w:hideMark/>
          </w:tcPr>
          <w:p w14:paraId="16E6B6D9" w14:textId="77777777" w:rsidR="008A5924" w:rsidRPr="00184700" w:rsidRDefault="008A5924" w:rsidP="008A5924">
            <w:pPr>
              <w:jc w:val="right"/>
              <w:rPr>
                <w:sz w:val="18"/>
                <w:szCs w:val="18"/>
                <w:lang w:eastAsia="es-GT"/>
              </w:rPr>
            </w:pPr>
            <w:r w:rsidRPr="00184700">
              <w:rPr>
                <w:sz w:val="18"/>
                <w:szCs w:val="18"/>
                <w:lang w:eastAsia="es-GT"/>
              </w:rPr>
              <w:t>3,897.76</w:t>
            </w:r>
          </w:p>
        </w:tc>
        <w:tc>
          <w:tcPr>
            <w:tcW w:w="1204" w:type="dxa"/>
            <w:tcBorders>
              <w:top w:val="nil"/>
              <w:left w:val="nil"/>
              <w:bottom w:val="single" w:sz="4" w:space="0" w:color="auto"/>
              <w:right w:val="single" w:sz="4" w:space="0" w:color="auto"/>
            </w:tcBorders>
            <w:shd w:val="clear" w:color="auto" w:fill="auto"/>
            <w:noWrap/>
            <w:vAlign w:val="center"/>
            <w:hideMark/>
          </w:tcPr>
          <w:p w14:paraId="2C0161C6" w14:textId="77777777" w:rsidR="008A5924" w:rsidRPr="00184700" w:rsidRDefault="008A5924" w:rsidP="008A5924">
            <w:pPr>
              <w:jc w:val="right"/>
              <w:rPr>
                <w:sz w:val="18"/>
                <w:szCs w:val="18"/>
                <w:lang w:eastAsia="es-GT"/>
              </w:rPr>
            </w:pPr>
            <w:r w:rsidRPr="00184700">
              <w:rPr>
                <w:sz w:val="18"/>
                <w:szCs w:val="18"/>
                <w:lang w:eastAsia="es-GT"/>
              </w:rPr>
              <w:t>13.20</w:t>
            </w:r>
          </w:p>
        </w:tc>
        <w:tc>
          <w:tcPr>
            <w:tcW w:w="823" w:type="dxa"/>
            <w:tcBorders>
              <w:top w:val="nil"/>
              <w:left w:val="nil"/>
              <w:bottom w:val="single" w:sz="4" w:space="0" w:color="auto"/>
              <w:right w:val="single" w:sz="4" w:space="0" w:color="auto"/>
            </w:tcBorders>
            <w:shd w:val="clear" w:color="auto" w:fill="auto"/>
            <w:noWrap/>
            <w:vAlign w:val="center"/>
            <w:hideMark/>
          </w:tcPr>
          <w:p w14:paraId="4C10B295" w14:textId="77777777" w:rsidR="008A5924" w:rsidRPr="00184700" w:rsidRDefault="008A5924" w:rsidP="008A5924">
            <w:pPr>
              <w:jc w:val="right"/>
              <w:rPr>
                <w:sz w:val="18"/>
                <w:szCs w:val="18"/>
                <w:lang w:eastAsia="es-GT"/>
              </w:rPr>
            </w:pPr>
            <w:r w:rsidRPr="00184700">
              <w:rPr>
                <w:sz w:val="18"/>
                <w:szCs w:val="18"/>
                <w:lang w:eastAsia="es-GT"/>
              </w:rPr>
              <w:t>220.28</w:t>
            </w:r>
          </w:p>
        </w:tc>
      </w:tr>
      <w:tr w:rsidR="008A5924" w:rsidRPr="00184700" w14:paraId="5D091376"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D5A922B" w14:textId="77777777" w:rsidR="008A5924" w:rsidRPr="00184700" w:rsidRDefault="008A5924" w:rsidP="008A5924">
            <w:pPr>
              <w:jc w:val="center"/>
              <w:rPr>
                <w:sz w:val="18"/>
                <w:szCs w:val="18"/>
                <w:lang w:eastAsia="es-GT"/>
              </w:rPr>
            </w:pPr>
            <w:r w:rsidRPr="00184700">
              <w:rPr>
                <w:sz w:val="18"/>
                <w:szCs w:val="18"/>
                <w:lang w:eastAsia="es-GT"/>
              </w:rPr>
              <w:t>2004</w:t>
            </w:r>
          </w:p>
        </w:tc>
        <w:tc>
          <w:tcPr>
            <w:tcW w:w="1018" w:type="dxa"/>
            <w:tcBorders>
              <w:top w:val="nil"/>
              <w:left w:val="nil"/>
              <w:bottom w:val="single" w:sz="4" w:space="0" w:color="auto"/>
              <w:right w:val="single" w:sz="4" w:space="0" w:color="auto"/>
            </w:tcBorders>
            <w:shd w:val="clear" w:color="auto" w:fill="auto"/>
            <w:noWrap/>
            <w:vAlign w:val="center"/>
            <w:hideMark/>
          </w:tcPr>
          <w:p w14:paraId="66A645A6" w14:textId="77777777" w:rsidR="008A5924" w:rsidRPr="00184700" w:rsidRDefault="008A5924" w:rsidP="008A5924">
            <w:pPr>
              <w:jc w:val="right"/>
              <w:rPr>
                <w:sz w:val="18"/>
                <w:szCs w:val="18"/>
                <w:lang w:eastAsia="es-GT"/>
              </w:rPr>
            </w:pPr>
            <w:r w:rsidRPr="00184700">
              <w:rPr>
                <w:sz w:val="18"/>
                <w:szCs w:val="18"/>
                <w:lang w:eastAsia="es-GT"/>
              </w:rPr>
              <w:t>296</w:t>
            </w:r>
          </w:p>
        </w:tc>
        <w:tc>
          <w:tcPr>
            <w:tcW w:w="1113" w:type="dxa"/>
            <w:tcBorders>
              <w:top w:val="nil"/>
              <w:left w:val="nil"/>
              <w:bottom w:val="single" w:sz="4" w:space="0" w:color="auto"/>
              <w:right w:val="single" w:sz="4" w:space="0" w:color="auto"/>
            </w:tcBorders>
            <w:shd w:val="clear" w:color="auto" w:fill="auto"/>
            <w:noWrap/>
            <w:vAlign w:val="center"/>
            <w:hideMark/>
          </w:tcPr>
          <w:p w14:paraId="13CADCD4" w14:textId="77777777" w:rsidR="008A5924" w:rsidRPr="00184700" w:rsidRDefault="008A5924" w:rsidP="008A5924">
            <w:pPr>
              <w:jc w:val="right"/>
              <w:rPr>
                <w:sz w:val="18"/>
                <w:szCs w:val="18"/>
                <w:lang w:eastAsia="es-GT"/>
              </w:rPr>
            </w:pPr>
            <w:r w:rsidRPr="00184700">
              <w:rPr>
                <w:sz w:val="18"/>
                <w:szCs w:val="18"/>
                <w:lang w:eastAsia="es-GT"/>
              </w:rPr>
              <w:t>6,616.42</w:t>
            </w:r>
          </w:p>
        </w:tc>
        <w:tc>
          <w:tcPr>
            <w:tcW w:w="1095" w:type="dxa"/>
            <w:tcBorders>
              <w:top w:val="nil"/>
              <w:left w:val="nil"/>
              <w:bottom w:val="single" w:sz="4" w:space="0" w:color="auto"/>
              <w:right w:val="single" w:sz="4" w:space="0" w:color="auto"/>
            </w:tcBorders>
            <w:shd w:val="clear" w:color="auto" w:fill="auto"/>
            <w:noWrap/>
            <w:vAlign w:val="center"/>
            <w:hideMark/>
          </w:tcPr>
          <w:p w14:paraId="68867D97" w14:textId="77777777" w:rsidR="008A5924" w:rsidRPr="00184700" w:rsidRDefault="008A5924" w:rsidP="008A5924">
            <w:pPr>
              <w:jc w:val="right"/>
              <w:rPr>
                <w:sz w:val="18"/>
                <w:szCs w:val="18"/>
                <w:lang w:eastAsia="es-GT"/>
              </w:rPr>
            </w:pPr>
            <w:r w:rsidRPr="00184700">
              <w:rPr>
                <w:sz w:val="18"/>
                <w:szCs w:val="18"/>
                <w:lang w:eastAsia="es-GT"/>
              </w:rPr>
              <w:t>4,954.93</w:t>
            </w:r>
          </w:p>
        </w:tc>
        <w:tc>
          <w:tcPr>
            <w:tcW w:w="1208" w:type="dxa"/>
            <w:tcBorders>
              <w:top w:val="nil"/>
              <w:left w:val="nil"/>
              <w:bottom w:val="single" w:sz="4" w:space="0" w:color="auto"/>
              <w:right w:val="single" w:sz="4" w:space="0" w:color="auto"/>
            </w:tcBorders>
            <w:shd w:val="clear" w:color="auto" w:fill="auto"/>
            <w:noWrap/>
            <w:vAlign w:val="center"/>
            <w:hideMark/>
          </w:tcPr>
          <w:p w14:paraId="0A8CFC20" w14:textId="77777777" w:rsidR="008A5924" w:rsidRPr="00184700" w:rsidRDefault="008A5924" w:rsidP="008A5924">
            <w:pPr>
              <w:jc w:val="right"/>
              <w:rPr>
                <w:sz w:val="18"/>
                <w:szCs w:val="18"/>
                <w:lang w:eastAsia="es-GT"/>
              </w:rPr>
            </w:pPr>
            <w:r w:rsidRPr="00184700">
              <w:rPr>
                <w:sz w:val="18"/>
                <w:szCs w:val="18"/>
                <w:lang w:eastAsia="es-GT"/>
              </w:rPr>
              <w:t>466.07</w:t>
            </w:r>
          </w:p>
        </w:tc>
        <w:tc>
          <w:tcPr>
            <w:tcW w:w="1133" w:type="dxa"/>
            <w:tcBorders>
              <w:top w:val="nil"/>
              <w:left w:val="nil"/>
              <w:bottom w:val="single" w:sz="4" w:space="0" w:color="auto"/>
              <w:right w:val="single" w:sz="4" w:space="0" w:color="auto"/>
            </w:tcBorders>
            <w:shd w:val="clear" w:color="auto" w:fill="auto"/>
            <w:noWrap/>
            <w:vAlign w:val="center"/>
            <w:hideMark/>
          </w:tcPr>
          <w:p w14:paraId="5DB10B2D" w14:textId="77777777" w:rsidR="008A5924" w:rsidRPr="00184700" w:rsidRDefault="008A5924" w:rsidP="008A5924">
            <w:pPr>
              <w:jc w:val="right"/>
              <w:rPr>
                <w:sz w:val="18"/>
                <w:szCs w:val="18"/>
                <w:lang w:eastAsia="es-GT"/>
              </w:rPr>
            </w:pPr>
            <w:r w:rsidRPr="00184700">
              <w:rPr>
                <w:sz w:val="18"/>
                <w:szCs w:val="18"/>
                <w:lang w:eastAsia="es-GT"/>
              </w:rPr>
              <w:t>1,195.42</w:t>
            </w:r>
          </w:p>
        </w:tc>
        <w:tc>
          <w:tcPr>
            <w:tcW w:w="1204" w:type="dxa"/>
            <w:tcBorders>
              <w:top w:val="nil"/>
              <w:left w:val="nil"/>
              <w:bottom w:val="single" w:sz="4" w:space="0" w:color="auto"/>
              <w:right w:val="single" w:sz="4" w:space="0" w:color="auto"/>
            </w:tcBorders>
            <w:shd w:val="clear" w:color="auto" w:fill="auto"/>
            <w:noWrap/>
            <w:vAlign w:val="center"/>
            <w:hideMark/>
          </w:tcPr>
          <w:p w14:paraId="6C0695FC" w14:textId="77777777" w:rsidR="008A5924" w:rsidRPr="00184700" w:rsidRDefault="008A5924" w:rsidP="008A5924">
            <w:pPr>
              <w:jc w:val="right"/>
              <w:rPr>
                <w:sz w:val="18"/>
                <w:szCs w:val="18"/>
                <w:lang w:eastAsia="es-GT"/>
              </w:rPr>
            </w:pPr>
            <w:r w:rsidRPr="00184700">
              <w:rPr>
                <w:sz w:val="18"/>
                <w:szCs w:val="18"/>
                <w:lang w:eastAsia="es-GT"/>
              </w:rPr>
              <w:t>5.30</w:t>
            </w:r>
          </w:p>
        </w:tc>
        <w:tc>
          <w:tcPr>
            <w:tcW w:w="823" w:type="dxa"/>
            <w:tcBorders>
              <w:top w:val="nil"/>
              <w:left w:val="nil"/>
              <w:bottom w:val="single" w:sz="4" w:space="0" w:color="auto"/>
              <w:right w:val="single" w:sz="4" w:space="0" w:color="auto"/>
            </w:tcBorders>
            <w:shd w:val="clear" w:color="auto" w:fill="auto"/>
            <w:noWrap/>
            <w:vAlign w:val="center"/>
            <w:hideMark/>
          </w:tcPr>
          <w:p w14:paraId="53B4E02D" w14:textId="77777777" w:rsidR="008A5924" w:rsidRPr="00184700" w:rsidRDefault="008A5924" w:rsidP="008A5924">
            <w:pPr>
              <w:jc w:val="right"/>
              <w:rPr>
                <w:sz w:val="18"/>
                <w:szCs w:val="18"/>
                <w:lang w:eastAsia="es-GT"/>
              </w:rPr>
            </w:pPr>
            <w:r w:rsidRPr="00184700">
              <w:rPr>
                <w:sz w:val="18"/>
                <w:szCs w:val="18"/>
                <w:lang w:eastAsia="es-GT"/>
              </w:rPr>
              <w:t>802.02</w:t>
            </w:r>
          </w:p>
        </w:tc>
      </w:tr>
      <w:tr w:rsidR="008A5924" w:rsidRPr="00184700" w14:paraId="6972C129"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03C6C09" w14:textId="77777777" w:rsidR="008A5924" w:rsidRPr="00184700" w:rsidRDefault="008A5924" w:rsidP="008A5924">
            <w:pPr>
              <w:jc w:val="center"/>
              <w:rPr>
                <w:sz w:val="18"/>
                <w:szCs w:val="18"/>
                <w:lang w:eastAsia="es-GT"/>
              </w:rPr>
            </w:pPr>
            <w:r w:rsidRPr="00184700">
              <w:rPr>
                <w:sz w:val="18"/>
                <w:szCs w:val="18"/>
                <w:lang w:eastAsia="es-GT"/>
              </w:rPr>
              <w:t>2005</w:t>
            </w:r>
          </w:p>
        </w:tc>
        <w:tc>
          <w:tcPr>
            <w:tcW w:w="1018" w:type="dxa"/>
            <w:tcBorders>
              <w:top w:val="nil"/>
              <w:left w:val="nil"/>
              <w:bottom w:val="single" w:sz="4" w:space="0" w:color="auto"/>
              <w:right w:val="single" w:sz="4" w:space="0" w:color="auto"/>
            </w:tcBorders>
            <w:shd w:val="clear" w:color="auto" w:fill="auto"/>
            <w:noWrap/>
            <w:vAlign w:val="center"/>
            <w:hideMark/>
          </w:tcPr>
          <w:p w14:paraId="69096AC3" w14:textId="77777777" w:rsidR="008A5924" w:rsidRPr="00184700" w:rsidRDefault="008A5924" w:rsidP="008A5924">
            <w:pPr>
              <w:jc w:val="right"/>
              <w:rPr>
                <w:sz w:val="18"/>
                <w:szCs w:val="18"/>
                <w:lang w:eastAsia="es-GT"/>
              </w:rPr>
            </w:pPr>
            <w:r w:rsidRPr="00184700">
              <w:rPr>
                <w:sz w:val="18"/>
                <w:szCs w:val="18"/>
                <w:lang w:eastAsia="es-GT"/>
              </w:rPr>
              <w:t>721</w:t>
            </w:r>
          </w:p>
        </w:tc>
        <w:tc>
          <w:tcPr>
            <w:tcW w:w="1113" w:type="dxa"/>
            <w:tcBorders>
              <w:top w:val="nil"/>
              <w:left w:val="nil"/>
              <w:bottom w:val="single" w:sz="4" w:space="0" w:color="auto"/>
              <w:right w:val="single" w:sz="4" w:space="0" w:color="auto"/>
            </w:tcBorders>
            <w:shd w:val="clear" w:color="auto" w:fill="auto"/>
            <w:noWrap/>
            <w:vAlign w:val="center"/>
            <w:hideMark/>
          </w:tcPr>
          <w:p w14:paraId="29519E59" w14:textId="77777777" w:rsidR="008A5924" w:rsidRPr="00184700" w:rsidRDefault="008A5924" w:rsidP="008A5924">
            <w:pPr>
              <w:jc w:val="right"/>
              <w:rPr>
                <w:sz w:val="18"/>
                <w:szCs w:val="18"/>
                <w:lang w:eastAsia="es-GT"/>
              </w:rPr>
            </w:pPr>
            <w:r w:rsidRPr="00184700">
              <w:rPr>
                <w:sz w:val="18"/>
                <w:szCs w:val="18"/>
                <w:lang w:eastAsia="es-GT"/>
              </w:rPr>
              <w:t>34,157.10</w:t>
            </w:r>
          </w:p>
        </w:tc>
        <w:tc>
          <w:tcPr>
            <w:tcW w:w="1095" w:type="dxa"/>
            <w:tcBorders>
              <w:top w:val="nil"/>
              <w:left w:val="nil"/>
              <w:bottom w:val="single" w:sz="4" w:space="0" w:color="auto"/>
              <w:right w:val="single" w:sz="4" w:space="0" w:color="auto"/>
            </w:tcBorders>
            <w:shd w:val="clear" w:color="auto" w:fill="auto"/>
            <w:noWrap/>
            <w:vAlign w:val="center"/>
            <w:hideMark/>
          </w:tcPr>
          <w:p w14:paraId="3B347833" w14:textId="77777777" w:rsidR="008A5924" w:rsidRPr="00184700" w:rsidRDefault="008A5924" w:rsidP="008A5924">
            <w:pPr>
              <w:jc w:val="right"/>
              <w:rPr>
                <w:sz w:val="18"/>
                <w:szCs w:val="18"/>
                <w:lang w:eastAsia="es-GT"/>
              </w:rPr>
            </w:pPr>
            <w:r w:rsidRPr="00184700">
              <w:rPr>
                <w:sz w:val="18"/>
                <w:szCs w:val="18"/>
                <w:lang w:eastAsia="es-GT"/>
              </w:rPr>
              <w:t>4,657.25</w:t>
            </w:r>
          </w:p>
        </w:tc>
        <w:tc>
          <w:tcPr>
            <w:tcW w:w="1208" w:type="dxa"/>
            <w:tcBorders>
              <w:top w:val="nil"/>
              <w:left w:val="nil"/>
              <w:bottom w:val="single" w:sz="4" w:space="0" w:color="auto"/>
              <w:right w:val="single" w:sz="4" w:space="0" w:color="auto"/>
            </w:tcBorders>
            <w:shd w:val="clear" w:color="auto" w:fill="auto"/>
            <w:noWrap/>
            <w:vAlign w:val="center"/>
            <w:hideMark/>
          </w:tcPr>
          <w:p w14:paraId="66F41B62" w14:textId="77777777" w:rsidR="008A5924" w:rsidRPr="00184700" w:rsidRDefault="008A5924" w:rsidP="008A5924">
            <w:pPr>
              <w:jc w:val="right"/>
              <w:rPr>
                <w:sz w:val="18"/>
                <w:szCs w:val="18"/>
                <w:lang w:eastAsia="es-GT"/>
              </w:rPr>
            </w:pPr>
            <w:r w:rsidRPr="00184700">
              <w:rPr>
                <w:sz w:val="18"/>
                <w:szCs w:val="18"/>
                <w:lang w:eastAsia="es-GT"/>
              </w:rPr>
              <w:t>23,716.60</w:t>
            </w:r>
          </w:p>
        </w:tc>
        <w:tc>
          <w:tcPr>
            <w:tcW w:w="1133" w:type="dxa"/>
            <w:tcBorders>
              <w:top w:val="nil"/>
              <w:left w:val="nil"/>
              <w:bottom w:val="single" w:sz="4" w:space="0" w:color="auto"/>
              <w:right w:val="single" w:sz="4" w:space="0" w:color="auto"/>
            </w:tcBorders>
            <w:shd w:val="clear" w:color="auto" w:fill="auto"/>
            <w:noWrap/>
            <w:vAlign w:val="center"/>
            <w:hideMark/>
          </w:tcPr>
          <w:p w14:paraId="3DCB7D28" w14:textId="77777777" w:rsidR="008A5924" w:rsidRPr="00184700" w:rsidRDefault="008A5924" w:rsidP="008A5924">
            <w:pPr>
              <w:jc w:val="right"/>
              <w:rPr>
                <w:sz w:val="18"/>
                <w:szCs w:val="18"/>
                <w:lang w:eastAsia="es-GT"/>
              </w:rPr>
            </w:pPr>
            <w:r w:rsidRPr="00184700">
              <w:rPr>
                <w:sz w:val="18"/>
                <w:szCs w:val="18"/>
                <w:lang w:eastAsia="es-GT"/>
              </w:rPr>
              <w:t>5,783.29</w:t>
            </w:r>
          </w:p>
        </w:tc>
        <w:tc>
          <w:tcPr>
            <w:tcW w:w="1204" w:type="dxa"/>
            <w:tcBorders>
              <w:top w:val="nil"/>
              <w:left w:val="nil"/>
              <w:bottom w:val="single" w:sz="4" w:space="0" w:color="auto"/>
              <w:right w:val="single" w:sz="4" w:space="0" w:color="auto"/>
            </w:tcBorders>
            <w:shd w:val="clear" w:color="auto" w:fill="auto"/>
            <w:noWrap/>
            <w:vAlign w:val="center"/>
            <w:hideMark/>
          </w:tcPr>
          <w:p w14:paraId="428D395A" w14:textId="77777777" w:rsidR="008A5924" w:rsidRPr="00184700" w:rsidRDefault="008A5924" w:rsidP="008A5924">
            <w:pPr>
              <w:jc w:val="right"/>
              <w:rPr>
                <w:sz w:val="18"/>
                <w:szCs w:val="18"/>
                <w:lang w:eastAsia="es-GT"/>
              </w:rPr>
            </w:pPr>
            <w:r w:rsidRPr="00184700">
              <w:rPr>
                <w:sz w:val="18"/>
                <w:szCs w:val="18"/>
                <w:lang w:eastAsia="es-GT"/>
              </w:rPr>
              <w:t>15.82</w:t>
            </w:r>
          </w:p>
        </w:tc>
        <w:tc>
          <w:tcPr>
            <w:tcW w:w="823" w:type="dxa"/>
            <w:tcBorders>
              <w:top w:val="nil"/>
              <w:left w:val="nil"/>
              <w:bottom w:val="single" w:sz="4" w:space="0" w:color="auto"/>
              <w:right w:val="single" w:sz="4" w:space="0" w:color="auto"/>
            </w:tcBorders>
            <w:shd w:val="clear" w:color="auto" w:fill="auto"/>
            <w:noWrap/>
            <w:vAlign w:val="center"/>
            <w:hideMark/>
          </w:tcPr>
          <w:p w14:paraId="3EDE1906" w14:textId="77777777" w:rsidR="008A5924" w:rsidRPr="00184700" w:rsidRDefault="008A5924" w:rsidP="008A5924">
            <w:pPr>
              <w:jc w:val="right"/>
              <w:rPr>
                <w:sz w:val="18"/>
                <w:szCs w:val="18"/>
                <w:lang w:eastAsia="es-GT"/>
              </w:rPr>
            </w:pPr>
            <w:r w:rsidRPr="00184700">
              <w:rPr>
                <w:sz w:val="18"/>
                <w:szCs w:val="18"/>
                <w:lang w:eastAsia="es-GT"/>
              </w:rPr>
              <w:t>464.02</w:t>
            </w:r>
          </w:p>
        </w:tc>
      </w:tr>
      <w:tr w:rsidR="008A5924" w:rsidRPr="00184700" w14:paraId="3480F234"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726934C2" w14:textId="77777777" w:rsidR="008A5924" w:rsidRPr="00184700" w:rsidRDefault="008A5924" w:rsidP="008A5924">
            <w:pPr>
              <w:jc w:val="center"/>
              <w:rPr>
                <w:sz w:val="18"/>
                <w:szCs w:val="18"/>
                <w:lang w:eastAsia="es-GT"/>
              </w:rPr>
            </w:pPr>
            <w:r w:rsidRPr="00184700">
              <w:rPr>
                <w:sz w:val="18"/>
                <w:szCs w:val="18"/>
                <w:lang w:eastAsia="es-GT"/>
              </w:rPr>
              <w:t>2006</w:t>
            </w:r>
          </w:p>
        </w:tc>
        <w:tc>
          <w:tcPr>
            <w:tcW w:w="1018" w:type="dxa"/>
            <w:tcBorders>
              <w:top w:val="nil"/>
              <w:left w:val="nil"/>
              <w:bottom w:val="single" w:sz="4" w:space="0" w:color="auto"/>
              <w:right w:val="single" w:sz="4" w:space="0" w:color="auto"/>
            </w:tcBorders>
            <w:shd w:val="clear" w:color="auto" w:fill="auto"/>
            <w:noWrap/>
            <w:vAlign w:val="center"/>
            <w:hideMark/>
          </w:tcPr>
          <w:p w14:paraId="4919E1C6" w14:textId="77777777" w:rsidR="008A5924" w:rsidRPr="00184700" w:rsidRDefault="008A5924" w:rsidP="008A5924">
            <w:pPr>
              <w:jc w:val="right"/>
              <w:rPr>
                <w:sz w:val="18"/>
                <w:szCs w:val="18"/>
                <w:lang w:eastAsia="es-GT"/>
              </w:rPr>
            </w:pPr>
            <w:r w:rsidRPr="00184700">
              <w:rPr>
                <w:sz w:val="18"/>
                <w:szCs w:val="18"/>
                <w:lang w:eastAsia="es-GT"/>
              </w:rPr>
              <w:t>620</w:t>
            </w:r>
          </w:p>
        </w:tc>
        <w:tc>
          <w:tcPr>
            <w:tcW w:w="1113" w:type="dxa"/>
            <w:tcBorders>
              <w:top w:val="nil"/>
              <w:left w:val="nil"/>
              <w:bottom w:val="single" w:sz="4" w:space="0" w:color="auto"/>
              <w:right w:val="single" w:sz="4" w:space="0" w:color="auto"/>
            </w:tcBorders>
            <w:shd w:val="clear" w:color="auto" w:fill="auto"/>
            <w:noWrap/>
            <w:vAlign w:val="center"/>
            <w:hideMark/>
          </w:tcPr>
          <w:p w14:paraId="00F746F8" w14:textId="77777777" w:rsidR="008A5924" w:rsidRPr="00184700" w:rsidRDefault="008A5924" w:rsidP="008A5924">
            <w:pPr>
              <w:jc w:val="right"/>
              <w:rPr>
                <w:sz w:val="18"/>
                <w:szCs w:val="18"/>
                <w:lang w:eastAsia="es-GT"/>
              </w:rPr>
            </w:pPr>
            <w:r w:rsidRPr="00184700">
              <w:rPr>
                <w:sz w:val="18"/>
                <w:szCs w:val="18"/>
                <w:lang w:eastAsia="es-GT"/>
              </w:rPr>
              <w:t>12,389.20</w:t>
            </w:r>
          </w:p>
        </w:tc>
        <w:tc>
          <w:tcPr>
            <w:tcW w:w="1095" w:type="dxa"/>
            <w:tcBorders>
              <w:top w:val="nil"/>
              <w:left w:val="nil"/>
              <w:bottom w:val="single" w:sz="4" w:space="0" w:color="auto"/>
              <w:right w:val="single" w:sz="4" w:space="0" w:color="auto"/>
            </w:tcBorders>
            <w:shd w:val="clear" w:color="auto" w:fill="auto"/>
            <w:noWrap/>
            <w:vAlign w:val="center"/>
            <w:hideMark/>
          </w:tcPr>
          <w:p w14:paraId="296A49FF" w14:textId="77777777" w:rsidR="008A5924" w:rsidRPr="00184700" w:rsidRDefault="008A5924" w:rsidP="008A5924">
            <w:pPr>
              <w:jc w:val="right"/>
              <w:rPr>
                <w:sz w:val="18"/>
                <w:szCs w:val="18"/>
                <w:lang w:eastAsia="es-GT"/>
              </w:rPr>
            </w:pPr>
            <w:r w:rsidRPr="00184700">
              <w:rPr>
                <w:sz w:val="18"/>
                <w:szCs w:val="18"/>
                <w:lang w:eastAsia="es-GT"/>
              </w:rPr>
              <w:t>6,179.99</w:t>
            </w:r>
          </w:p>
        </w:tc>
        <w:tc>
          <w:tcPr>
            <w:tcW w:w="1208" w:type="dxa"/>
            <w:tcBorders>
              <w:top w:val="nil"/>
              <w:left w:val="nil"/>
              <w:bottom w:val="single" w:sz="4" w:space="0" w:color="auto"/>
              <w:right w:val="single" w:sz="4" w:space="0" w:color="auto"/>
            </w:tcBorders>
            <w:shd w:val="clear" w:color="auto" w:fill="auto"/>
            <w:noWrap/>
            <w:vAlign w:val="center"/>
            <w:hideMark/>
          </w:tcPr>
          <w:p w14:paraId="6DA5946D" w14:textId="77777777" w:rsidR="008A5924" w:rsidRPr="00184700" w:rsidRDefault="008A5924" w:rsidP="008A5924">
            <w:pPr>
              <w:jc w:val="right"/>
              <w:rPr>
                <w:sz w:val="18"/>
                <w:szCs w:val="18"/>
                <w:lang w:eastAsia="es-GT"/>
              </w:rPr>
            </w:pPr>
            <w:r w:rsidRPr="00184700">
              <w:rPr>
                <w:sz w:val="18"/>
                <w:szCs w:val="18"/>
                <w:lang w:eastAsia="es-GT"/>
              </w:rPr>
              <w:t>1,334.13</w:t>
            </w:r>
          </w:p>
        </w:tc>
        <w:tc>
          <w:tcPr>
            <w:tcW w:w="1133" w:type="dxa"/>
            <w:tcBorders>
              <w:top w:val="nil"/>
              <w:left w:val="nil"/>
              <w:bottom w:val="single" w:sz="4" w:space="0" w:color="auto"/>
              <w:right w:val="single" w:sz="4" w:space="0" w:color="auto"/>
            </w:tcBorders>
            <w:shd w:val="clear" w:color="auto" w:fill="auto"/>
            <w:noWrap/>
            <w:vAlign w:val="center"/>
            <w:hideMark/>
          </w:tcPr>
          <w:p w14:paraId="043C084F" w14:textId="77777777" w:rsidR="008A5924" w:rsidRPr="00184700" w:rsidRDefault="008A5924" w:rsidP="008A5924">
            <w:pPr>
              <w:jc w:val="right"/>
              <w:rPr>
                <w:sz w:val="18"/>
                <w:szCs w:val="18"/>
                <w:lang w:eastAsia="es-GT"/>
              </w:rPr>
            </w:pPr>
            <w:r w:rsidRPr="00184700">
              <w:rPr>
                <w:sz w:val="18"/>
                <w:szCs w:val="18"/>
                <w:lang w:eastAsia="es-GT"/>
              </w:rPr>
              <w:t>4,875.11</w:t>
            </w:r>
          </w:p>
        </w:tc>
        <w:tc>
          <w:tcPr>
            <w:tcW w:w="1204" w:type="dxa"/>
            <w:tcBorders>
              <w:top w:val="nil"/>
              <w:left w:val="nil"/>
              <w:bottom w:val="single" w:sz="4" w:space="0" w:color="auto"/>
              <w:right w:val="single" w:sz="4" w:space="0" w:color="auto"/>
            </w:tcBorders>
            <w:shd w:val="clear" w:color="auto" w:fill="auto"/>
            <w:noWrap/>
            <w:vAlign w:val="center"/>
            <w:hideMark/>
          </w:tcPr>
          <w:p w14:paraId="0E176D62" w14:textId="77777777" w:rsidR="008A5924" w:rsidRPr="00184700" w:rsidRDefault="008A5924" w:rsidP="008A5924">
            <w:pPr>
              <w:jc w:val="right"/>
              <w:rPr>
                <w:sz w:val="18"/>
                <w:szCs w:val="18"/>
                <w:lang w:eastAsia="es-GT"/>
              </w:rPr>
            </w:pPr>
            <w:r w:rsidRPr="00184700">
              <w:rPr>
                <w:sz w:val="18"/>
                <w:szCs w:val="18"/>
                <w:lang w:eastAsia="es-GT"/>
              </w:rPr>
              <w:t>6.35</w:t>
            </w:r>
          </w:p>
        </w:tc>
        <w:tc>
          <w:tcPr>
            <w:tcW w:w="823" w:type="dxa"/>
            <w:tcBorders>
              <w:top w:val="nil"/>
              <w:left w:val="nil"/>
              <w:bottom w:val="single" w:sz="4" w:space="0" w:color="auto"/>
              <w:right w:val="single" w:sz="4" w:space="0" w:color="auto"/>
            </w:tcBorders>
            <w:shd w:val="clear" w:color="auto" w:fill="auto"/>
            <w:noWrap/>
            <w:vAlign w:val="center"/>
            <w:hideMark/>
          </w:tcPr>
          <w:p w14:paraId="33CC024C" w14:textId="77777777" w:rsidR="008A5924" w:rsidRPr="00184700" w:rsidRDefault="008A5924" w:rsidP="008A5924">
            <w:pPr>
              <w:jc w:val="right"/>
              <w:rPr>
                <w:sz w:val="18"/>
                <w:szCs w:val="18"/>
                <w:lang w:eastAsia="es-GT"/>
              </w:rPr>
            </w:pPr>
            <w:r w:rsidRPr="00184700">
              <w:rPr>
                <w:sz w:val="18"/>
                <w:szCs w:val="18"/>
                <w:lang w:eastAsia="es-GT"/>
              </w:rPr>
              <w:t>513.60</w:t>
            </w:r>
          </w:p>
        </w:tc>
      </w:tr>
      <w:tr w:rsidR="008A5924" w:rsidRPr="00184700" w14:paraId="61FF3581"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1D89180" w14:textId="77777777" w:rsidR="008A5924" w:rsidRPr="00184700" w:rsidRDefault="008A5924" w:rsidP="008A5924">
            <w:pPr>
              <w:jc w:val="center"/>
              <w:rPr>
                <w:sz w:val="18"/>
                <w:szCs w:val="18"/>
                <w:lang w:eastAsia="es-GT"/>
              </w:rPr>
            </w:pPr>
            <w:r w:rsidRPr="00184700">
              <w:rPr>
                <w:sz w:val="18"/>
                <w:szCs w:val="18"/>
                <w:lang w:eastAsia="es-GT"/>
              </w:rPr>
              <w:t>2007</w:t>
            </w:r>
          </w:p>
        </w:tc>
        <w:tc>
          <w:tcPr>
            <w:tcW w:w="1018" w:type="dxa"/>
            <w:tcBorders>
              <w:top w:val="nil"/>
              <w:left w:val="nil"/>
              <w:bottom w:val="single" w:sz="4" w:space="0" w:color="auto"/>
              <w:right w:val="single" w:sz="4" w:space="0" w:color="auto"/>
            </w:tcBorders>
            <w:shd w:val="clear" w:color="auto" w:fill="auto"/>
            <w:noWrap/>
            <w:vAlign w:val="center"/>
            <w:hideMark/>
          </w:tcPr>
          <w:p w14:paraId="7C52C8D1" w14:textId="77777777" w:rsidR="008A5924" w:rsidRPr="00184700" w:rsidRDefault="008A5924" w:rsidP="008A5924">
            <w:pPr>
              <w:jc w:val="right"/>
              <w:rPr>
                <w:sz w:val="18"/>
                <w:szCs w:val="18"/>
                <w:lang w:eastAsia="es-GT"/>
              </w:rPr>
            </w:pPr>
            <w:r w:rsidRPr="00184700">
              <w:rPr>
                <w:sz w:val="18"/>
                <w:szCs w:val="18"/>
                <w:lang w:eastAsia="es-GT"/>
              </w:rPr>
              <w:t>643</w:t>
            </w:r>
          </w:p>
        </w:tc>
        <w:tc>
          <w:tcPr>
            <w:tcW w:w="1113" w:type="dxa"/>
            <w:tcBorders>
              <w:top w:val="nil"/>
              <w:left w:val="nil"/>
              <w:bottom w:val="single" w:sz="4" w:space="0" w:color="auto"/>
              <w:right w:val="single" w:sz="4" w:space="0" w:color="auto"/>
            </w:tcBorders>
            <w:shd w:val="clear" w:color="auto" w:fill="auto"/>
            <w:noWrap/>
            <w:vAlign w:val="center"/>
            <w:hideMark/>
          </w:tcPr>
          <w:p w14:paraId="0EEEFAA8" w14:textId="77777777" w:rsidR="008A5924" w:rsidRPr="00184700" w:rsidRDefault="008A5924" w:rsidP="008A5924">
            <w:pPr>
              <w:jc w:val="right"/>
              <w:rPr>
                <w:sz w:val="18"/>
                <w:szCs w:val="18"/>
                <w:lang w:eastAsia="es-GT"/>
              </w:rPr>
            </w:pPr>
            <w:r w:rsidRPr="00184700">
              <w:rPr>
                <w:sz w:val="18"/>
                <w:szCs w:val="18"/>
                <w:lang w:eastAsia="es-GT"/>
              </w:rPr>
              <w:t>18,776.70</w:t>
            </w:r>
          </w:p>
        </w:tc>
        <w:tc>
          <w:tcPr>
            <w:tcW w:w="1095" w:type="dxa"/>
            <w:tcBorders>
              <w:top w:val="nil"/>
              <w:left w:val="nil"/>
              <w:bottom w:val="single" w:sz="4" w:space="0" w:color="auto"/>
              <w:right w:val="single" w:sz="4" w:space="0" w:color="auto"/>
            </w:tcBorders>
            <w:shd w:val="clear" w:color="auto" w:fill="auto"/>
            <w:noWrap/>
            <w:vAlign w:val="center"/>
            <w:hideMark/>
          </w:tcPr>
          <w:p w14:paraId="0112B4E9" w14:textId="77777777" w:rsidR="008A5924" w:rsidRPr="00184700" w:rsidRDefault="008A5924" w:rsidP="008A5924">
            <w:pPr>
              <w:jc w:val="right"/>
              <w:rPr>
                <w:sz w:val="18"/>
                <w:szCs w:val="18"/>
                <w:lang w:eastAsia="es-GT"/>
              </w:rPr>
            </w:pPr>
            <w:r w:rsidRPr="00184700">
              <w:rPr>
                <w:sz w:val="18"/>
                <w:szCs w:val="18"/>
                <w:lang w:eastAsia="es-GT"/>
              </w:rPr>
              <w:t>6,762.93</w:t>
            </w:r>
          </w:p>
        </w:tc>
        <w:tc>
          <w:tcPr>
            <w:tcW w:w="1208" w:type="dxa"/>
            <w:tcBorders>
              <w:top w:val="nil"/>
              <w:left w:val="nil"/>
              <w:bottom w:val="single" w:sz="4" w:space="0" w:color="auto"/>
              <w:right w:val="single" w:sz="4" w:space="0" w:color="auto"/>
            </w:tcBorders>
            <w:shd w:val="clear" w:color="auto" w:fill="auto"/>
            <w:noWrap/>
            <w:vAlign w:val="center"/>
            <w:hideMark/>
          </w:tcPr>
          <w:p w14:paraId="45B2F2C3" w14:textId="77777777" w:rsidR="008A5924" w:rsidRPr="00184700" w:rsidRDefault="008A5924" w:rsidP="008A5924">
            <w:pPr>
              <w:jc w:val="right"/>
              <w:rPr>
                <w:sz w:val="18"/>
                <w:szCs w:val="18"/>
                <w:lang w:eastAsia="es-GT"/>
              </w:rPr>
            </w:pPr>
            <w:r w:rsidRPr="00184700">
              <w:rPr>
                <w:sz w:val="18"/>
                <w:szCs w:val="18"/>
                <w:lang w:eastAsia="es-GT"/>
              </w:rPr>
              <w:t>7,911.33</w:t>
            </w:r>
          </w:p>
        </w:tc>
        <w:tc>
          <w:tcPr>
            <w:tcW w:w="1133" w:type="dxa"/>
            <w:tcBorders>
              <w:top w:val="nil"/>
              <w:left w:val="nil"/>
              <w:bottom w:val="single" w:sz="4" w:space="0" w:color="auto"/>
              <w:right w:val="single" w:sz="4" w:space="0" w:color="auto"/>
            </w:tcBorders>
            <w:shd w:val="clear" w:color="auto" w:fill="auto"/>
            <w:noWrap/>
            <w:vAlign w:val="center"/>
            <w:hideMark/>
          </w:tcPr>
          <w:p w14:paraId="7D17EB71" w14:textId="77777777" w:rsidR="008A5924" w:rsidRPr="00184700" w:rsidRDefault="008A5924" w:rsidP="008A5924">
            <w:pPr>
              <w:jc w:val="right"/>
              <w:rPr>
                <w:sz w:val="18"/>
                <w:szCs w:val="18"/>
                <w:lang w:eastAsia="es-GT"/>
              </w:rPr>
            </w:pPr>
            <w:r w:rsidRPr="00184700">
              <w:rPr>
                <w:sz w:val="18"/>
                <w:szCs w:val="18"/>
                <w:lang w:eastAsia="es-GT"/>
              </w:rPr>
              <w:t>4,102.47</w:t>
            </w:r>
          </w:p>
        </w:tc>
        <w:tc>
          <w:tcPr>
            <w:tcW w:w="1204" w:type="dxa"/>
            <w:tcBorders>
              <w:top w:val="nil"/>
              <w:left w:val="nil"/>
              <w:bottom w:val="single" w:sz="4" w:space="0" w:color="auto"/>
              <w:right w:val="single" w:sz="4" w:space="0" w:color="auto"/>
            </w:tcBorders>
            <w:shd w:val="clear" w:color="auto" w:fill="auto"/>
            <w:noWrap/>
            <w:vAlign w:val="center"/>
            <w:hideMark/>
          </w:tcPr>
          <w:p w14:paraId="19B05A18" w14:textId="77777777" w:rsidR="008A5924" w:rsidRPr="00184700" w:rsidRDefault="008A5924" w:rsidP="008A5924">
            <w:pPr>
              <w:jc w:val="right"/>
              <w:rPr>
                <w:sz w:val="18"/>
                <w:szCs w:val="18"/>
                <w:lang w:eastAsia="es-GT"/>
              </w:rPr>
            </w:pPr>
            <w:r w:rsidRPr="00184700">
              <w:rPr>
                <w:sz w:val="18"/>
                <w:szCs w:val="18"/>
                <w:lang w:eastAsia="es-GT"/>
              </w:rPr>
              <w:t>6.59</w:t>
            </w:r>
          </w:p>
        </w:tc>
        <w:tc>
          <w:tcPr>
            <w:tcW w:w="823" w:type="dxa"/>
            <w:tcBorders>
              <w:top w:val="nil"/>
              <w:left w:val="nil"/>
              <w:bottom w:val="single" w:sz="4" w:space="0" w:color="auto"/>
              <w:right w:val="single" w:sz="4" w:space="0" w:color="auto"/>
            </w:tcBorders>
            <w:shd w:val="clear" w:color="auto" w:fill="auto"/>
            <w:noWrap/>
            <w:vAlign w:val="center"/>
            <w:hideMark/>
          </w:tcPr>
          <w:p w14:paraId="1D7D10EE" w14:textId="77777777" w:rsidR="008A5924" w:rsidRPr="00184700" w:rsidRDefault="008A5924" w:rsidP="008A5924">
            <w:pPr>
              <w:jc w:val="right"/>
              <w:rPr>
                <w:sz w:val="18"/>
                <w:szCs w:val="18"/>
                <w:lang w:eastAsia="es-GT"/>
              </w:rPr>
            </w:pPr>
            <w:r w:rsidRPr="00184700">
              <w:rPr>
                <w:sz w:val="18"/>
                <w:szCs w:val="18"/>
                <w:lang w:eastAsia="es-GT"/>
              </w:rPr>
              <w:t>352.18</w:t>
            </w:r>
          </w:p>
        </w:tc>
      </w:tr>
      <w:tr w:rsidR="008A5924" w:rsidRPr="00184700" w14:paraId="0E05EEE2"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16B474CD" w14:textId="77777777" w:rsidR="008A5924" w:rsidRPr="00184700" w:rsidRDefault="008A5924" w:rsidP="008A5924">
            <w:pPr>
              <w:jc w:val="center"/>
              <w:rPr>
                <w:sz w:val="18"/>
                <w:szCs w:val="18"/>
                <w:lang w:eastAsia="es-GT"/>
              </w:rPr>
            </w:pPr>
            <w:r w:rsidRPr="00184700">
              <w:rPr>
                <w:sz w:val="18"/>
                <w:szCs w:val="18"/>
                <w:lang w:eastAsia="es-GT"/>
              </w:rPr>
              <w:t>2008</w:t>
            </w:r>
          </w:p>
        </w:tc>
        <w:tc>
          <w:tcPr>
            <w:tcW w:w="1018" w:type="dxa"/>
            <w:tcBorders>
              <w:top w:val="nil"/>
              <w:left w:val="nil"/>
              <w:bottom w:val="single" w:sz="4" w:space="0" w:color="auto"/>
              <w:right w:val="single" w:sz="4" w:space="0" w:color="auto"/>
            </w:tcBorders>
            <w:shd w:val="clear" w:color="auto" w:fill="auto"/>
            <w:noWrap/>
            <w:vAlign w:val="center"/>
            <w:hideMark/>
          </w:tcPr>
          <w:p w14:paraId="23F19545" w14:textId="77777777" w:rsidR="008A5924" w:rsidRPr="00184700" w:rsidRDefault="008A5924" w:rsidP="008A5924">
            <w:pPr>
              <w:jc w:val="right"/>
              <w:rPr>
                <w:sz w:val="18"/>
                <w:szCs w:val="18"/>
                <w:lang w:eastAsia="es-GT"/>
              </w:rPr>
            </w:pPr>
            <w:r w:rsidRPr="00184700">
              <w:rPr>
                <w:sz w:val="18"/>
                <w:szCs w:val="18"/>
                <w:lang w:eastAsia="es-GT"/>
              </w:rPr>
              <w:t>544</w:t>
            </w:r>
          </w:p>
        </w:tc>
        <w:tc>
          <w:tcPr>
            <w:tcW w:w="1113" w:type="dxa"/>
            <w:tcBorders>
              <w:top w:val="nil"/>
              <w:left w:val="nil"/>
              <w:bottom w:val="single" w:sz="4" w:space="0" w:color="auto"/>
              <w:right w:val="single" w:sz="4" w:space="0" w:color="auto"/>
            </w:tcBorders>
            <w:shd w:val="clear" w:color="auto" w:fill="auto"/>
            <w:noWrap/>
            <w:vAlign w:val="center"/>
            <w:hideMark/>
          </w:tcPr>
          <w:p w14:paraId="05F845C5" w14:textId="77777777" w:rsidR="008A5924" w:rsidRPr="00184700" w:rsidRDefault="008A5924" w:rsidP="008A5924">
            <w:pPr>
              <w:jc w:val="right"/>
              <w:rPr>
                <w:sz w:val="18"/>
                <w:szCs w:val="18"/>
                <w:lang w:eastAsia="es-GT"/>
              </w:rPr>
            </w:pPr>
            <w:r w:rsidRPr="00184700">
              <w:rPr>
                <w:sz w:val="18"/>
                <w:szCs w:val="18"/>
                <w:lang w:eastAsia="es-GT"/>
              </w:rPr>
              <w:t>10,972.60</w:t>
            </w:r>
          </w:p>
        </w:tc>
        <w:tc>
          <w:tcPr>
            <w:tcW w:w="1095" w:type="dxa"/>
            <w:tcBorders>
              <w:top w:val="nil"/>
              <w:left w:val="nil"/>
              <w:bottom w:val="single" w:sz="4" w:space="0" w:color="auto"/>
              <w:right w:val="single" w:sz="4" w:space="0" w:color="auto"/>
            </w:tcBorders>
            <w:shd w:val="clear" w:color="auto" w:fill="auto"/>
            <w:noWrap/>
            <w:vAlign w:val="center"/>
            <w:hideMark/>
          </w:tcPr>
          <w:p w14:paraId="209957E8" w14:textId="77777777" w:rsidR="008A5924" w:rsidRPr="00184700" w:rsidRDefault="008A5924" w:rsidP="008A5924">
            <w:pPr>
              <w:jc w:val="right"/>
              <w:rPr>
                <w:sz w:val="18"/>
                <w:szCs w:val="18"/>
                <w:lang w:eastAsia="es-GT"/>
              </w:rPr>
            </w:pPr>
            <w:r w:rsidRPr="00184700">
              <w:rPr>
                <w:sz w:val="18"/>
                <w:szCs w:val="18"/>
                <w:lang w:eastAsia="es-GT"/>
              </w:rPr>
              <w:t>4,764.16</w:t>
            </w:r>
          </w:p>
        </w:tc>
        <w:tc>
          <w:tcPr>
            <w:tcW w:w="1208" w:type="dxa"/>
            <w:tcBorders>
              <w:top w:val="nil"/>
              <w:left w:val="nil"/>
              <w:bottom w:val="single" w:sz="4" w:space="0" w:color="auto"/>
              <w:right w:val="single" w:sz="4" w:space="0" w:color="auto"/>
            </w:tcBorders>
            <w:shd w:val="clear" w:color="auto" w:fill="auto"/>
            <w:noWrap/>
            <w:vAlign w:val="center"/>
            <w:hideMark/>
          </w:tcPr>
          <w:p w14:paraId="35CE21BE" w14:textId="77777777" w:rsidR="008A5924" w:rsidRPr="00184700" w:rsidRDefault="008A5924" w:rsidP="008A5924">
            <w:pPr>
              <w:jc w:val="right"/>
              <w:rPr>
                <w:sz w:val="18"/>
                <w:szCs w:val="18"/>
                <w:lang w:eastAsia="es-GT"/>
              </w:rPr>
            </w:pPr>
            <w:r w:rsidRPr="00184700">
              <w:rPr>
                <w:sz w:val="18"/>
                <w:szCs w:val="18"/>
                <w:lang w:eastAsia="es-GT"/>
              </w:rPr>
              <w:t>2,285.78</w:t>
            </w:r>
          </w:p>
        </w:tc>
        <w:tc>
          <w:tcPr>
            <w:tcW w:w="1133" w:type="dxa"/>
            <w:tcBorders>
              <w:top w:val="nil"/>
              <w:left w:val="nil"/>
              <w:bottom w:val="single" w:sz="4" w:space="0" w:color="auto"/>
              <w:right w:val="single" w:sz="4" w:space="0" w:color="auto"/>
            </w:tcBorders>
            <w:shd w:val="clear" w:color="auto" w:fill="auto"/>
            <w:noWrap/>
            <w:vAlign w:val="center"/>
            <w:hideMark/>
          </w:tcPr>
          <w:p w14:paraId="3FF15449" w14:textId="77777777" w:rsidR="008A5924" w:rsidRPr="00184700" w:rsidRDefault="008A5924" w:rsidP="008A5924">
            <w:pPr>
              <w:jc w:val="right"/>
              <w:rPr>
                <w:sz w:val="18"/>
                <w:szCs w:val="18"/>
                <w:lang w:eastAsia="es-GT"/>
              </w:rPr>
            </w:pPr>
            <w:r w:rsidRPr="00184700">
              <w:rPr>
                <w:sz w:val="18"/>
                <w:szCs w:val="18"/>
                <w:lang w:eastAsia="es-GT"/>
              </w:rPr>
              <w:t>3,922.70</w:t>
            </w:r>
          </w:p>
        </w:tc>
        <w:tc>
          <w:tcPr>
            <w:tcW w:w="1204" w:type="dxa"/>
            <w:tcBorders>
              <w:top w:val="nil"/>
              <w:left w:val="nil"/>
              <w:bottom w:val="single" w:sz="4" w:space="0" w:color="auto"/>
              <w:right w:val="single" w:sz="4" w:space="0" w:color="auto"/>
            </w:tcBorders>
            <w:shd w:val="clear" w:color="auto" w:fill="auto"/>
            <w:noWrap/>
            <w:vAlign w:val="center"/>
            <w:hideMark/>
          </w:tcPr>
          <w:p w14:paraId="283B3B54" w14:textId="77777777" w:rsidR="008A5924" w:rsidRPr="00184700" w:rsidRDefault="008A5924" w:rsidP="008A5924">
            <w:pPr>
              <w:jc w:val="right"/>
              <w:rPr>
                <w:sz w:val="18"/>
                <w:szCs w:val="18"/>
                <w:lang w:eastAsia="es-GT"/>
              </w:rPr>
            </w:pPr>
            <w:r w:rsidRPr="00184700">
              <w:rPr>
                <w:sz w:val="18"/>
                <w:szCs w:val="18"/>
                <w:lang w:eastAsia="es-GT"/>
              </w:rPr>
              <w:t>5.67</w:t>
            </w:r>
          </w:p>
        </w:tc>
        <w:tc>
          <w:tcPr>
            <w:tcW w:w="823" w:type="dxa"/>
            <w:tcBorders>
              <w:top w:val="nil"/>
              <w:left w:val="nil"/>
              <w:bottom w:val="single" w:sz="4" w:space="0" w:color="auto"/>
              <w:right w:val="single" w:sz="4" w:space="0" w:color="auto"/>
            </w:tcBorders>
            <w:shd w:val="clear" w:color="auto" w:fill="auto"/>
            <w:noWrap/>
            <w:vAlign w:val="center"/>
            <w:hideMark/>
          </w:tcPr>
          <w:p w14:paraId="035FD1F2" w14:textId="77777777" w:rsidR="008A5924" w:rsidRPr="00184700" w:rsidRDefault="008A5924" w:rsidP="008A5924">
            <w:pPr>
              <w:jc w:val="right"/>
              <w:rPr>
                <w:sz w:val="18"/>
                <w:szCs w:val="18"/>
                <w:lang w:eastAsia="es-GT"/>
              </w:rPr>
            </w:pPr>
            <w:r w:rsidRPr="00184700">
              <w:rPr>
                <w:sz w:val="18"/>
                <w:szCs w:val="18"/>
                <w:lang w:eastAsia="es-GT"/>
              </w:rPr>
              <w:t>517.41</w:t>
            </w:r>
          </w:p>
        </w:tc>
      </w:tr>
      <w:tr w:rsidR="008A5924" w:rsidRPr="00184700" w14:paraId="08BDC34F"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14AA0FE6" w14:textId="77777777" w:rsidR="008A5924" w:rsidRPr="00184700" w:rsidRDefault="008A5924" w:rsidP="008A5924">
            <w:pPr>
              <w:jc w:val="center"/>
              <w:rPr>
                <w:sz w:val="18"/>
                <w:szCs w:val="18"/>
                <w:lang w:eastAsia="es-GT"/>
              </w:rPr>
            </w:pPr>
            <w:r w:rsidRPr="00184700">
              <w:rPr>
                <w:sz w:val="18"/>
                <w:szCs w:val="18"/>
                <w:lang w:eastAsia="es-GT"/>
              </w:rPr>
              <w:t>2009</w:t>
            </w:r>
          </w:p>
        </w:tc>
        <w:tc>
          <w:tcPr>
            <w:tcW w:w="1018" w:type="dxa"/>
            <w:tcBorders>
              <w:top w:val="nil"/>
              <w:left w:val="nil"/>
              <w:bottom w:val="single" w:sz="4" w:space="0" w:color="auto"/>
              <w:right w:val="single" w:sz="4" w:space="0" w:color="auto"/>
            </w:tcBorders>
            <w:shd w:val="clear" w:color="auto" w:fill="auto"/>
            <w:noWrap/>
            <w:vAlign w:val="center"/>
            <w:hideMark/>
          </w:tcPr>
          <w:p w14:paraId="5B309C15" w14:textId="77777777" w:rsidR="008A5924" w:rsidRPr="00184700" w:rsidRDefault="008A5924" w:rsidP="008A5924">
            <w:pPr>
              <w:jc w:val="right"/>
              <w:rPr>
                <w:sz w:val="18"/>
                <w:szCs w:val="18"/>
                <w:lang w:eastAsia="es-GT"/>
              </w:rPr>
            </w:pPr>
            <w:r w:rsidRPr="00184700">
              <w:rPr>
                <w:sz w:val="18"/>
                <w:szCs w:val="18"/>
                <w:lang w:eastAsia="es-GT"/>
              </w:rPr>
              <w:t>608</w:t>
            </w:r>
          </w:p>
        </w:tc>
        <w:tc>
          <w:tcPr>
            <w:tcW w:w="1113" w:type="dxa"/>
            <w:tcBorders>
              <w:top w:val="nil"/>
              <w:left w:val="nil"/>
              <w:bottom w:val="single" w:sz="4" w:space="0" w:color="auto"/>
              <w:right w:val="single" w:sz="4" w:space="0" w:color="auto"/>
            </w:tcBorders>
            <w:shd w:val="clear" w:color="auto" w:fill="auto"/>
            <w:noWrap/>
            <w:vAlign w:val="center"/>
            <w:hideMark/>
          </w:tcPr>
          <w:p w14:paraId="72E0ADF0" w14:textId="77777777" w:rsidR="008A5924" w:rsidRPr="00184700" w:rsidRDefault="008A5924" w:rsidP="008A5924">
            <w:pPr>
              <w:jc w:val="right"/>
              <w:rPr>
                <w:sz w:val="18"/>
                <w:szCs w:val="18"/>
                <w:lang w:eastAsia="es-GT"/>
              </w:rPr>
            </w:pPr>
            <w:r w:rsidRPr="00184700">
              <w:rPr>
                <w:sz w:val="18"/>
                <w:szCs w:val="18"/>
                <w:lang w:eastAsia="es-GT"/>
              </w:rPr>
              <w:t>12,944.20</w:t>
            </w:r>
          </w:p>
        </w:tc>
        <w:tc>
          <w:tcPr>
            <w:tcW w:w="1095" w:type="dxa"/>
            <w:tcBorders>
              <w:top w:val="nil"/>
              <w:left w:val="nil"/>
              <w:bottom w:val="single" w:sz="4" w:space="0" w:color="auto"/>
              <w:right w:val="single" w:sz="4" w:space="0" w:color="auto"/>
            </w:tcBorders>
            <w:shd w:val="clear" w:color="auto" w:fill="auto"/>
            <w:noWrap/>
            <w:vAlign w:val="center"/>
            <w:hideMark/>
          </w:tcPr>
          <w:p w14:paraId="307DC800" w14:textId="77777777" w:rsidR="008A5924" w:rsidRPr="00184700" w:rsidRDefault="008A5924" w:rsidP="008A5924">
            <w:pPr>
              <w:jc w:val="right"/>
              <w:rPr>
                <w:sz w:val="18"/>
                <w:szCs w:val="18"/>
                <w:lang w:eastAsia="es-GT"/>
              </w:rPr>
            </w:pPr>
            <w:r w:rsidRPr="00184700">
              <w:rPr>
                <w:sz w:val="18"/>
                <w:szCs w:val="18"/>
                <w:lang w:eastAsia="es-GT"/>
              </w:rPr>
              <w:t>4,856.88</w:t>
            </w:r>
          </w:p>
        </w:tc>
        <w:tc>
          <w:tcPr>
            <w:tcW w:w="1208" w:type="dxa"/>
            <w:tcBorders>
              <w:top w:val="nil"/>
              <w:left w:val="nil"/>
              <w:bottom w:val="single" w:sz="4" w:space="0" w:color="auto"/>
              <w:right w:val="single" w:sz="4" w:space="0" w:color="auto"/>
            </w:tcBorders>
            <w:shd w:val="clear" w:color="auto" w:fill="auto"/>
            <w:noWrap/>
            <w:vAlign w:val="center"/>
            <w:hideMark/>
          </w:tcPr>
          <w:p w14:paraId="646E6C8F" w14:textId="77777777" w:rsidR="008A5924" w:rsidRPr="00184700" w:rsidRDefault="008A5924" w:rsidP="008A5924">
            <w:pPr>
              <w:jc w:val="right"/>
              <w:rPr>
                <w:sz w:val="18"/>
                <w:szCs w:val="18"/>
                <w:lang w:eastAsia="es-GT"/>
              </w:rPr>
            </w:pPr>
            <w:r w:rsidRPr="00184700">
              <w:rPr>
                <w:sz w:val="18"/>
                <w:szCs w:val="18"/>
                <w:lang w:eastAsia="es-GT"/>
              </w:rPr>
              <w:t>4,809.14</w:t>
            </w:r>
          </w:p>
        </w:tc>
        <w:tc>
          <w:tcPr>
            <w:tcW w:w="1133" w:type="dxa"/>
            <w:tcBorders>
              <w:top w:val="nil"/>
              <w:left w:val="nil"/>
              <w:bottom w:val="single" w:sz="4" w:space="0" w:color="auto"/>
              <w:right w:val="single" w:sz="4" w:space="0" w:color="auto"/>
            </w:tcBorders>
            <w:shd w:val="clear" w:color="auto" w:fill="auto"/>
            <w:noWrap/>
            <w:vAlign w:val="center"/>
            <w:hideMark/>
          </w:tcPr>
          <w:p w14:paraId="7B478B81" w14:textId="77777777" w:rsidR="008A5924" w:rsidRPr="00184700" w:rsidRDefault="008A5924" w:rsidP="008A5924">
            <w:pPr>
              <w:jc w:val="right"/>
              <w:rPr>
                <w:sz w:val="18"/>
                <w:szCs w:val="18"/>
                <w:lang w:eastAsia="es-GT"/>
              </w:rPr>
            </w:pPr>
            <w:r w:rsidRPr="00184700">
              <w:rPr>
                <w:sz w:val="18"/>
                <w:szCs w:val="18"/>
                <w:lang w:eastAsia="es-GT"/>
              </w:rPr>
              <w:t>3,278.23</w:t>
            </w:r>
          </w:p>
        </w:tc>
        <w:tc>
          <w:tcPr>
            <w:tcW w:w="1204" w:type="dxa"/>
            <w:tcBorders>
              <w:top w:val="nil"/>
              <w:left w:val="nil"/>
              <w:bottom w:val="single" w:sz="4" w:space="0" w:color="auto"/>
              <w:right w:val="single" w:sz="4" w:space="0" w:color="auto"/>
            </w:tcBorders>
            <w:shd w:val="clear" w:color="auto" w:fill="auto"/>
            <w:noWrap/>
            <w:vAlign w:val="center"/>
            <w:hideMark/>
          </w:tcPr>
          <w:p w14:paraId="02BFC0BD" w14:textId="77777777" w:rsidR="008A5924" w:rsidRPr="00184700" w:rsidRDefault="008A5924" w:rsidP="008A5924">
            <w:pPr>
              <w:jc w:val="right"/>
              <w:rPr>
                <w:sz w:val="18"/>
                <w:szCs w:val="18"/>
                <w:lang w:eastAsia="es-GT"/>
              </w:rPr>
            </w:pPr>
            <w:r w:rsidRPr="00184700">
              <w:rPr>
                <w:sz w:val="18"/>
                <w:szCs w:val="18"/>
                <w:lang w:eastAsia="es-GT"/>
              </w:rPr>
              <w:t>2.01</w:t>
            </w:r>
          </w:p>
        </w:tc>
        <w:tc>
          <w:tcPr>
            <w:tcW w:w="823" w:type="dxa"/>
            <w:tcBorders>
              <w:top w:val="nil"/>
              <w:left w:val="nil"/>
              <w:bottom w:val="single" w:sz="4" w:space="0" w:color="auto"/>
              <w:right w:val="single" w:sz="4" w:space="0" w:color="auto"/>
            </w:tcBorders>
            <w:shd w:val="clear" w:color="auto" w:fill="auto"/>
            <w:noWrap/>
            <w:vAlign w:val="center"/>
            <w:hideMark/>
          </w:tcPr>
          <w:p w14:paraId="1151C34B" w14:textId="77777777" w:rsidR="008A5924" w:rsidRPr="00184700" w:rsidRDefault="008A5924" w:rsidP="008A5924">
            <w:pPr>
              <w:jc w:val="right"/>
              <w:rPr>
                <w:sz w:val="18"/>
                <w:szCs w:val="18"/>
                <w:lang w:eastAsia="es-GT"/>
              </w:rPr>
            </w:pPr>
            <w:r w:rsidRPr="00184700">
              <w:rPr>
                <w:sz w:val="18"/>
                <w:szCs w:val="18"/>
                <w:lang w:eastAsia="es-GT"/>
              </w:rPr>
              <w:t>156.15</w:t>
            </w:r>
          </w:p>
        </w:tc>
      </w:tr>
      <w:tr w:rsidR="008A5924" w:rsidRPr="00184700" w14:paraId="20E5E60C"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72FA5482" w14:textId="77777777" w:rsidR="008A5924" w:rsidRPr="00184700" w:rsidRDefault="008A5924" w:rsidP="008A5924">
            <w:pPr>
              <w:jc w:val="center"/>
              <w:rPr>
                <w:sz w:val="18"/>
                <w:szCs w:val="18"/>
                <w:lang w:eastAsia="es-GT"/>
              </w:rPr>
            </w:pPr>
            <w:r w:rsidRPr="00184700">
              <w:rPr>
                <w:sz w:val="18"/>
                <w:szCs w:val="18"/>
                <w:lang w:eastAsia="es-GT"/>
              </w:rPr>
              <w:t>2010</w:t>
            </w:r>
          </w:p>
        </w:tc>
        <w:tc>
          <w:tcPr>
            <w:tcW w:w="1018" w:type="dxa"/>
            <w:tcBorders>
              <w:top w:val="nil"/>
              <w:left w:val="nil"/>
              <w:bottom w:val="single" w:sz="4" w:space="0" w:color="auto"/>
              <w:right w:val="single" w:sz="4" w:space="0" w:color="auto"/>
            </w:tcBorders>
            <w:shd w:val="clear" w:color="auto" w:fill="auto"/>
            <w:noWrap/>
            <w:vAlign w:val="center"/>
            <w:hideMark/>
          </w:tcPr>
          <w:p w14:paraId="088902E1" w14:textId="77777777" w:rsidR="008A5924" w:rsidRPr="00184700" w:rsidRDefault="008A5924" w:rsidP="008A5924">
            <w:pPr>
              <w:jc w:val="right"/>
              <w:rPr>
                <w:sz w:val="18"/>
                <w:szCs w:val="18"/>
                <w:lang w:eastAsia="es-GT"/>
              </w:rPr>
            </w:pPr>
            <w:r w:rsidRPr="00184700">
              <w:rPr>
                <w:sz w:val="18"/>
                <w:szCs w:val="18"/>
                <w:lang w:eastAsia="es-GT"/>
              </w:rPr>
              <w:t>465</w:t>
            </w:r>
          </w:p>
        </w:tc>
        <w:tc>
          <w:tcPr>
            <w:tcW w:w="1113" w:type="dxa"/>
            <w:tcBorders>
              <w:top w:val="nil"/>
              <w:left w:val="nil"/>
              <w:bottom w:val="single" w:sz="4" w:space="0" w:color="auto"/>
              <w:right w:val="single" w:sz="4" w:space="0" w:color="auto"/>
            </w:tcBorders>
            <w:shd w:val="clear" w:color="auto" w:fill="auto"/>
            <w:noWrap/>
            <w:vAlign w:val="center"/>
            <w:hideMark/>
          </w:tcPr>
          <w:p w14:paraId="0B402AC3" w14:textId="77777777" w:rsidR="008A5924" w:rsidRPr="00184700" w:rsidRDefault="008A5924" w:rsidP="008A5924">
            <w:pPr>
              <w:jc w:val="right"/>
              <w:rPr>
                <w:sz w:val="18"/>
                <w:szCs w:val="18"/>
                <w:lang w:eastAsia="es-GT"/>
              </w:rPr>
            </w:pPr>
            <w:r w:rsidRPr="00184700">
              <w:rPr>
                <w:sz w:val="18"/>
                <w:szCs w:val="18"/>
                <w:lang w:eastAsia="es-GT"/>
              </w:rPr>
              <w:t>7,234.69</w:t>
            </w:r>
          </w:p>
        </w:tc>
        <w:tc>
          <w:tcPr>
            <w:tcW w:w="1095" w:type="dxa"/>
            <w:tcBorders>
              <w:top w:val="nil"/>
              <w:left w:val="nil"/>
              <w:bottom w:val="single" w:sz="4" w:space="0" w:color="auto"/>
              <w:right w:val="single" w:sz="4" w:space="0" w:color="auto"/>
            </w:tcBorders>
            <w:shd w:val="clear" w:color="auto" w:fill="auto"/>
            <w:noWrap/>
            <w:vAlign w:val="center"/>
            <w:hideMark/>
          </w:tcPr>
          <w:p w14:paraId="37B53715" w14:textId="77777777" w:rsidR="008A5924" w:rsidRPr="00184700" w:rsidRDefault="008A5924" w:rsidP="008A5924">
            <w:pPr>
              <w:jc w:val="right"/>
              <w:rPr>
                <w:sz w:val="18"/>
                <w:szCs w:val="18"/>
                <w:lang w:eastAsia="es-GT"/>
              </w:rPr>
            </w:pPr>
            <w:r w:rsidRPr="00184700">
              <w:rPr>
                <w:sz w:val="18"/>
                <w:szCs w:val="18"/>
                <w:lang w:eastAsia="es-GT"/>
              </w:rPr>
              <w:t>3,757.89</w:t>
            </w:r>
          </w:p>
        </w:tc>
        <w:tc>
          <w:tcPr>
            <w:tcW w:w="1208" w:type="dxa"/>
            <w:tcBorders>
              <w:top w:val="nil"/>
              <w:left w:val="nil"/>
              <w:bottom w:val="single" w:sz="4" w:space="0" w:color="auto"/>
              <w:right w:val="single" w:sz="4" w:space="0" w:color="auto"/>
            </w:tcBorders>
            <w:shd w:val="clear" w:color="auto" w:fill="auto"/>
            <w:noWrap/>
            <w:vAlign w:val="center"/>
            <w:hideMark/>
          </w:tcPr>
          <w:p w14:paraId="3E0EFBF8" w14:textId="77777777" w:rsidR="008A5924" w:rsidRPr="00184700" w:rsidRDefault="008A5924" w:rsidP="008A5924">
            <w:pPr>
              <w:jc w:val="right"/>
              <w:rPr>
                <w:sz w:val="18"/>
                <w:szCs w:val="18"/>
                <w:lang w:eastAsia="es-GT"/>
              </w:rPr>
            </w:pPr>
            <w:r w:rsidRPr="00184700">
              <w:rPr>
                <w:sz w:val="18"/>
                <w:szCs w:val="18"/>
                <w:lang w:eastAsia="es-GT"/>
              </w:rPr>
              <w:t>783.9</w:t>
            </w:r>
          </w:p>
        </w:tc>
        <w:tc>
          <w:tcPr>
            <w:tcW w:w="1133" w:type="dxa"/>
            <w:tcBorders>
              <w:top w:val="nil"/>
              <w:left w:val="nil"/>
              <w:bottom w:val="single" w:sz="4" w:space="0" w:color="auto"/>
              <w:right w:val="single" w:sz="4" w:space="0" w:color="auto"/>
            </w:tcBorders>
            <w:shd w:val="clear" w:color="auto" w:fill="auto"/>
            <w:noWrap/>
            <w:vAlign w:val="center"/>
            <w:hideMark/>
          </w:tcPr>
          <w:p w14:paraId="5FE51CAD" w14:textId="77777777" w:rsidR="008A5924" w:rsidRPr="00184700" w:rsidRDefault="008A5924" w:rsidP="008A5924">
            <w:pPr>
              <w:jc w:val="right"/>
              <w:rPr>
                <w:sz w:val="18"/>
                <w:szCs w:val="18"/>
                <w:lang w:eastAsia="es-GT"/>
              </w:rPr>
            </w:pPr>
            <w:r w:rsidRPr="00184700">
              <w:rPr>
                <w:sz w:val="18"/>
                <w:szCs w:val="18"/>
                <w:lang w:eastAsia="es-GT"/>
              </w:rPr>
              <w:t>2,692.89</w:t>
            </w:r>
          </w:p>
        </w:tc>
        <w:tc>
          <w:tcPr>
            <w:tcW w:w="1204" w:type="dxa"/>
            <w:tcBorders>
              <w:top w:val="nil"/>
              <w:left w:val="nil"/>
              <w:bottom w:val="single" w:sz="4" w:space="0" w:color="auto"/>
              <w:right w:val="single" w:sz="4" w:space="0" w:color="auto"/>
            </w:tcBorders>
            <w:shd w:val="clear" w:color="auto" w:fill="auto"/>
            <w:noWrap/>
            <w:vAlign w:val="center"/>
            <w:hideMark/>
          </w:tcPr>
          <w:p w14:paraId="738A12E7" w14:textId="77777777" w:rsidR="008A5924" w:rsidRPr="00184700" w:rsidRDefault="008A5924" w:rsidP="008A5924">
            <w:pPr>
              <w:jc w:val="right"/>
              <w:rPr>
                <w:sz w:val="18"/>
                <w:szCs w:val="18"/>
                <w:lang w:eastAsia="es-GT"/>
              </w:rPr>
            </w:pPr>
            <w:r w:rsidRPr="00184700">
              <w:rPr>
                <w:sz w:val="18"/>
                <w:szCs w:val="18"/>
                <w:lang w:eastAsia="es-GT"/>
              </w:rPr>
              <w:t>0.00</w:t>
            </w:r>
          </w:p>
        </w:tc>
        <w:tc>
          <w:tcPr>
            <w:tcW w:w="823" w:type="dxa"/>
            <w:tcBorders>
              <w:top w:val="nil"/>
              <w:left w:val="nil"/>
              <w:bottom w:val="single" w:sz="4" w:space="0" w:color="auto"/>
              <w:right w:val="single" w:sz="4" w:space="0" w:color="auto"/>
            </w:tcBorders>
            <w:shd w:val="clear" w:color="auto" w:fill="auto"/>
            <w:noWrap/>
            <w:vAlign w:val="center"/>
            <w:hideMark/>
          </w:tcPr>
          <w:p w14:paraId="13042401" w14:textId="77777777" w:rsidR="008A5924" w:rsidRPr="00184700" w:rsidRDefault="008A5924" w:rsidP="008A5924">
            <w:pPr>
              <w:jc w:val="right"/>
              <w:rPr>
                <w:sz w:val="18"/>
                <w:szCs w:val="18"/>
                <w:lang w:eastAsia="es-GT"/>
              </w:rPr>
            </w:pPr>
            <w:r w:rsidRPr="00184700">
              <w:rPr>
                <w:sz w:val="18"/>
                <w:szCs w:val="18"/>
                <w:lang w:eastAsia="es-GT"/>
              </w:rPr>
              <w:t>8.10</w:t>
            </w:r>
          </w:p>
        </w:tc>
      </w:tr>
      <w:tr w:rsidR="008A5924" w:rsidRPr="00184700" w14:paraId="2E3F8583"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2EB7303B" w14:textId="77777777" w:rsidR="008A5924" w:rsidRPr="00184700" w:rsidRDefault="008A5924" w:rsidP="008A5924">
            <w:pPr>
              <w:jc w:val="center"/>
              <w:rPr>
                <w:sz w:val="18"/>
                <w:szCs w:val="18"/>
                <w:lang w:eastAsia="es-GT"/>
              </w:rPr>
            </w:pPr>
            <w:r w:rsidRPr="00184700">
              <w:rPr>
                <w:sz w:val="18"/>
                <w:szCs w:val="18"/>
                <w:lang w:eastAsia="es-GT"/>
              </w:rPr>
              <w:t>2011</w:t>
            </w:r>
          </w:p>
        </w:tc>
        <w:tc>
          <w:tcPr>
            <w:tcW w:w="1018" w:type="dxa"/>
            <w:tcBorders>
              <w:top w:val="nil"/>
              <w:left w:val="nil"/>
              <w:bottom w:val="single" w:sz="4" w:space="0" w:color="auto"/>
              <w:right w:val="single" w:sz="4" w:space="0" w:color="auto"/>
            </w:tcBorders>
            <w:shd w:val="clear" w:color="auto" w:fill="auto"/>
            <w:noWrap/>
            <w:vAlign w:val="center"/>
            <w:hideMark/>
          </w:tcPr>
          <w:p w14:paraId="44C2010E" w14:textId="77777777" w:rsidR="008A5924" w:rsidRPr="00184700" w:rsidRDefault="008A5924" w:rsidP="008A5924">
            <w:pPr>
              <w:jc w:val="right"/>
              <w:rPr>
                <w:sz w:val="18"/>
                <w:szCs w:val="18"/>
                <w:lang w:eastAsia="es-GT"/>
              </w:rPr>
            </w:pPr>
            <w:r w:rsidRPr="00184700">
              <w:rPr>
                <w:sz w:val="18"/>
                <w:szCs w:val="18"/>
                <w:lang w:eastAsia="es-GT"/>
              </w:rPr>
              <w:t>546</w:t>
            </w:r>
          </w:p>
        </w:tc>
        <w:tc>
          <w:tcPr>
            <w:tcW w:w="1113" w:type="dxa"/>
            <w:tcBorders>
              <w:top w:val="nil"/>
              <w:left w:val="nil"/>
              <w:bottom w:val="single" w:sz="4" w:space="0" w:color="auto"/>
              <w:right w:val="single" w:sz="4" w:space="0" w:color="auto"/>
            </w:tcBorders>
            <w:shd w:val="clear" w:color="auto" w:fill="auto"/>
            <w:noWrap/>
            <w:vAlign w:val="center"/>
            <w:hideMark/>
          </w:tcPr>
          <w:p w14:paraId="61AF43B6" w14:textId="77777777" w:rsidR="008A5924" w:rsidRPr="00184700" w:rsidRDefault="008A5924" w:rsidP="008A5924">
            <w:pPr>
              <w:jc w:val="right"/>
              <w:rPr>
                <w:sz w:val="18"/>
                <w:szCs w:val="18"/>
                <w:lang w:eastAsia="es-GT"/>
              </w:rPr>
            </w:pPr>
            <w:r w:rsidRPr="00184700">
              <w:rPr>
                <w:sz w:val="18"/>
                <w:szCs w:val="18"/>
                <w:lang w:eastAsia="es-GT"/>
              </w:rPr>
              <w:t>13,300.80</w:t>
            </w:r>
          </w:p>
        </w:tc>
        <w:tc>
          <w:tcPr>
            <w:tcW w:w="1095" w:type="dxa"/>
            <w:tcBorders>
              <w:top w:val="nil"/>
              <w:left w:val="nil"/>
              <w:bottom w:val="single" w:sz="4" w:space="0" w:color="auto"/>
              <w:right w:val="single" w:sz="4" w:space="0" w:color="auto"/>
            </w:tcBorders>
            <w:shd w:val="clear" w:color="auto" w:fill="auto"/>
            <w:noWrap/>
            <w:vAlign w:val="center"/>
            <w:hideMark/>
          </w:tcPr>
          <w:p w14:paraId="1BC57DDA" w14:textId="77777777" w:rsidR="008A5924" w:rsidRPr="00184700" w:rsidRDefault="008A5924" w:rsidP="008A5924">
            <w:pPr>
              <w:jc w:val="right"/>
              <w:rPr>
                <w:sz w:val="18"/>
                <w:szCs w:val="18"/>
                <w:lang w:eastAsia="es-GT"/>
              </w:rPr>
            </w:pPr>
            <w:r w:rsidRPr="00184700">
              <w:rPr>
                <w:sz w:val="18"/>
                <w:szCs w:val="18"/>
                <w:lang w:eastAsia="es-GT"/>
              </w:rPr>
              <w:t>4,292.16</w:t>
            </w:r>
          </w:p>
        </w:tc>
        <w:tc>
          <w:tcPr>
            <w:tcW w:w="1208" w:type="dxa"/>
            <w:tcBorders>
              <w:top w:val="nil"/>
              <w:left w:val="nil"/>
              <w:bottom w:val="single" w:sz="4" w:space="0" w:color="auto"/>
              <w:right w:val="single" w:sz="4" w:space="0" w:color="auto"/>
            </w:tcBorders>
            <w:shd w:val="clear" w:color="auto" w:fill="auto"/>
            <w:noWrap/>
            <w:vAlign w:val="center"/>
            <w:hideMark/>
          </w:tcPr>
          <w:p w14:paraId="0279DAC8" w14:textId="77777777" w:rsidR="008A5924" w:rsidRPr="00184700" w:rsidRDefault="008A5924" w:rsidP="008A5924">
            <w:pPr>
              <w:jc w:val="right"/>
              <w:rPr>
                <w:sz w:val="18"/>
                <w:szCs w:val="18"/>
                <w:lang w:eastAsia="es-GT"/>
              </w:rPr>
            </w:pPr>
            <w:r w:rsidRPr="00184700">
              <w:rPr>
                <w:sz w:val="18"/>
                <w:szCs w:val="18"/>
                <w:lang w:eastAsia="es-GT"/>
              </w:rPr>
              <w:t>6,153.91</w:t>
            </w:r>
          </w:p>
        </w:tc>
        <w:tc>
          <w:tcPr>
            <w:tcW w:w="1133" w:type="dxa"/>
            <w:tcBorders>
              <w:top w:val="nil"/>
              <w:left w:val="nil"/>
              <w:bottom w:val="single" w:sz="4" w:space="0" w:color="auto"/>
              <w:right w:val="single" w:sz="4" w:space="0" w:color="auto"/>
            </w:tcBorders>
            <w:shd w:val="clear" w:color="auto" w:fill="auto"/>
            <w:noWrap/>
            <w:vAlign w:val="center"/>
            <w:hideMark/>
          </w:tcPr>
          <w:p w14:paraId="17CAE22E" w14:textId="77777777" w:rsidR="008A5924" w:rsidRPr="00184700" w:rsidRDefault="008A5924" w:rsidP="008A5924">
            <w:pPr>
              <w:jc w:val="right"/>
              <w:rPr>
                <w:sz w:val="18"/>
                <w:szCs w:val="18"/>
                <w:lang w:eastAsia="es-GT"/>
              </w:rPr>
            </w:pPr>
            <w:r w:rsidRPr="00184700">
              <w:rPr>
                <w:sz w:val="18"/>
                <w:szCs w:val="18"/>
                <w:lang w:eastAsia="es-GT"/>
              </w:rPr>
              <w:t>2,854.71</w:t>
            </w:r>
          </w:p>
        </w:tc>
        <w:tc>
          <w:tcPr>
            <w:tcW w:w="1204" w:type="dxa"/>
            <w:tcBorders>
              <w:top w:val="nil"/>
              <w:left w:val="nil"/>
              <w:bottom w:val="single" w:sz="4" w:space="0" w:color="auto"/>
              <w:right w:val="single" w:sz="4" w:space="0" w:color="auto"/>
            </w:tcBorders>
            <w:shd w:val="clear" w:color="auto" w:fill="auto"/>
            <w:noWrap/>
            <w:vAlign w:val="center"/>
            <w:hideMark/>
          </w:tcPr>
          <w:p w14:paraId="5D53C90A" w14:textId="77777777" w:rsidR="008A5924" w:rsidRPr="00184700" w:rsidRDefault="008A5924" w:rsidP="008A5924">
            <w:pPr>
              <w:jc w:val="right"/>
              <w:rPr>
                <w:sz w:val="18"/>
                <w:szCs w:val="18"/>
                <w:lang w:eastAsia="es-GT"/>
              </w:rPr>
            </w:pPr>
            <w:r w:rsidRPr="00184700">
              <w:rPr>
                <w:sz w:val="18"/>
                <w:szCs w:val="18"/>
                <w:lang w:eastAsia="es-GT"/>
              </w:rPr>
              <w:t>5.22</w:t>
            </w:r>
          </w:p>
        </w:tc>
        <w:tc>
          <w:tcPr>
            <w:tcW w:w="823" w:type="dxa"/>
            <w:tcBorders>
              <w:top w:val="nil"/>
              <w:left w:val="nil"/>
              <w:bottom w:val="single" w:sz="4" w:space="0" w:color="auto"/>
              <w:right w:val="single" w:sz="4" w:space="0" w:color="auto"/>
            </w:tcBorders>
            <w:shd w:val="clear" w:color="auto" w:fill="auto"/>
            <w:noWrap/>
            <w:vAlign w:val="center"/>
            <w:hideMark/>
          </w:tcPr>
          <w:p w14:paraId="72547CAA" w14:textId="77777777" w:rsidR="008A5924" w:rsidRPr="00184700" w:rsidRDefault="008A5924" w:rsidP="008A5924">
            <w:pPr>
              <w:jc w:val="right"/>
              <w:rPr>
                <w:sz w:val="18"/>
                <w:szCs w:val="18"/>
                <w:lang w:eastAsia="es-GT"/>
              </w:rPr>
            </w:pPr>
            <w:r w:rsidRPr="00184700">
              <w:rPr>
                <w:sz w:val="18"/>
                <w:szCs w:val="18"/>
                <w:lang w:eastAsia="es-GT"/>
              </w:rPr>
              <w:t>393.54</w:t>
            </w:r>
          </w:p>
        </w:tc>
      </w:tr>
      <w:tr w:rsidR="008A5924" w:rsidRPr="00184700" w14:paraId="3BF4E8BD"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5F1C0E4" w14:textId="77777777" w:rsidR="008A5924" w:rsidRPr="00184700" w:rsidRDefault="008A5924" w:rsidP="008A5924">
            <w:pPr>
              <w:jc w:val="center"/>
              <w:rPr>
                <w:sz w:val="18"/>
                <w:szCs w:val="18"/>
                <w:lang w:eastAsia="es-GT"/>
              </w:rPr>
            </w:pPr>
            <w:r w:rsidRPr="00184700">
              <w:rPr>
                <w:sz w:val="18"/>
                <w:szCs w:val="18"/>
                <w:lang w:eastAsia="es-GT"/>
              </w:rPr>
              <w:t>2012</w:t>
            </w:r>
          </w:p>
        </w:tc>
        <w:tc>
          <w:tcPr>
            <w:tcW w:w="1018" w:type="dxa"/>
            <w:tcBorders>
              <w:top w:val="nil"/>
              <w:left w:val="nil"/>
              <w:bottom w:val="single" w:sz="4" w:space="0" w:color="auto"/>
              <w:right w:val="single" w:sz="4" w:space="0" w:color="auto"/>
            </w:tcBorders>
            <w:shd w:val="clear" w:color="auto" w:fill="auto"/>
            <w:noWrap/>
            <w:vAlign w:val="center"/>
            <w:hideMark/>
          </w:tcPr>
          <w:p w14:paraId="3681BD8D" w14:textId="77777777" w:rsidR="008A5924" w:rsidRPr="00184700" w:rsidRDefault="008A5924" w:rsidP="008A5924">
            <w:pPr>
              <w:jc w:val="right"/>
              <w:rPr>
                <w:sz w:val="18"/>
                <w:szCs w:val="18"/>
                <w:lang w:eastAsia="es-GT"/>
              </w:rPr>
            </w:pPr>
            <w:r w:rsidRPr="00184700">
              <w:rPr>
                <w:sz w:val="18"/>
                <w:szCs w:val="18"/>
                <w:lang w:eastAsia="es-GT"/>
              </w:rPr>
              <w:t>396</w:t>
            </w:r>
          </w:p>
        </w:tc>
        <w:tc>
          <w:tcPr>
            <w:tcW w:w="1113" w:type="dxa"/>
            <w:tcBorders>
              <w:top w:val="nil"/>
              <w:left w:val="nil"/>
              <w:bottom w:val="single" w:sz="4" w:space="0" w:color="auto"/>
              <w:right w:val="single" w:sz="4" w:space="0" w:color="auto"/>
            </w:tcBorders>
            <w:shd w:val="clear" w:color="auto" w:fill="auto"/>
            <w:noWrap/>
            <w:vAlign w:val="center"/>
            <w:hideMark/>
          </w:tcPr>
          <w:p w14:paraId="2A519215" w14:textId="77777777" w:rsidR="008A5924" w:rsidRPr="00184700" w:rsidRDefault="008A5924" w:rsidP="008A5924">
            <w:pPr>
              <w:jc w:val="right"/>
              <w:rPr>
                <w:sz w:val="18"/>
                <w:szCs w:val="18"/>
                <w:lang w:eastAsia="es-GT"/>
              </w:rPr>
            </w:pPr>
            <w:r w:rsidRPr="00184700">
              <w:rPr>
                <w:sz w:val="18"/>
                <w:szCs w:val="18"/>
                <w:lang w:eastAsia="es-GT"/>
              </w:rPr>
              <w:t>5,376.98</w:t>
            </w:r>
          </w:p>
        </w:tc>
        <w:tc>
          <w:tcPr>
            <w:tcW w:w="1095" w:type="dxa"/>
            <w:tcBorders>
              <w:top w:val="nil"/>
              <w:left w:val="nil"/>
              <w:bottom w:val="single" w:sz="4" w:space="0" w:color="auto"/>
              <w:right w:val="single" w:sz="4" w:space="0" w:color="auto"/>
            </w:tcBorders>
            <w:shd w:val="clear" w:color="auto" w:fill="auto"/>
            <w:noWrap/>
            <w:vAlign w:val="center"/>
            <w:hideMark/>
          </w:tcPr>
          <w:p w14:paraId="165DEA87" w14:textId="77777777" w:rsidR="008A5924" w:rsidRPr="00184700" w:rsidRDefault="008A5924" w:rsidP="008A5924">
            <w:pPr>
              <w:jc w:val="right"/>
              <w:rPr>
                <w:sz w:val="18"/>
                <w:szCs w:val="18"/>
                <w:lang w:eastAsia="es-GT"/>
              </w:rPr>
            </w:pPr>
            <w:r w:rsidRPr="00184700">
              <w:rPr>
                <w:sz w:val="18"/>
                <w:szCs w:val="18"/>
                <w:lang w:eastAsia="es-GT"/>
              </w:rPr>
              <w:t>2,756.46</w:t>
            </w:r>
          </w:p>
        </w:tc>
        <w:tc>
          <w:tcPr>
            <w:tcW w:w="1208" w:type="dxa"/>
            <w:tcBorders>
              <w:top w:val="nil"/>
              <w:left w:val="nil"/>
              <w:bottom w:val="single" w:sz="4" w:space="0" w:color="auto"/>
              <w:right w:val="single" w:sz="4" w:space="0" w:color="auto"/>
            </w:tcBorders>
            <w:shd w:val="clear" w:color="auto" w:fill="auto"/>
            <w:noWrap/>
            <w:vAlign w:val="center"/>
            <w:hideMark/>
          </w:tcPr>
          <w:p w14:paraId="2BFAE7AE" w14:textId="77777777" w:rsidR="008A5924" w:rsidRPr="00184700" w:rsidRDefault="008A5924" w:rsidP="008A5924">
            <w:pPr>
              <w:jc w:val="right"/>
              <w:rPr>
                <w:sz w:val="18"/>
                <w:szCs w:val="18"/>
                <w:lang w:eastAsia="es-GT"/>
              </w:rPr>
            </w:pPr>
            <w:r w:rsidRPr="00184700">
              <w:rPr>
                <w:sz w:val="18"/>
                <w:szCs w:val="18"/>
                <w:lang w:eastAsia="es-GT"/>
              </w:rPr>
              <w:t>739.44</w:t>
            </w:r>
          </w:p>
        </w:tc>
        <w:tc>
          <w:tcPr>
            <w:tcW w:w="1133" w:type="dxa"/>
            <w:tcBorders>
              <w:top w:val="nil"/>
              <w:left w:val="nil"/>
              <w:bottom w:val="single" w:sz="4" w:space="0" w:color="auto"/>
              <w:right w:val="single" w:sz="4" w:space="0" w:color="auto"/>
            </w:tcBorders>
            <w:shd w:val="clear" w:color="auto" w:fill="auto"/>
            <w:noWrap/>
            <w:vAlign w:val="center"/>
            <w:hideMark/>
          </w:tcPr>
          <w:p w14:paraId="5396BF3F" w14:textId="77777777" w:rsidR="008A5924" w:rsidRPr="00184700" w:rsidRDefault="008A5924" w:rsidP="008A5924">
            <w:pPr>
              <w:jc w:val="right"/>
              <w:rPr>
                <w:sz w:val="18"/>
                <w:szCs w:val="18"/>
                <w:lang w:eastAsia="es-GT"/>
              </w:rPr>
            </w:pPr>
            <w:r w:rsidRPr="00184700">
              <w:rPr>
                <w:sz w:val="18"/>
                <w:szCs w:val="18"/>
                <w:lang w:eastAsia="es-GT"/>
              </w:rPr>
              <w:t>1,881.08</w:t>
            </w:r>
          </w:p>
        </w:tc>
        <w:tc>
          <w:tcPr>
            <w:tcW w:w="1204" w:type="dxa"/>
            <w:tcBorders>
              <w:top w:val="nil"/>
              <w:left w:val="nil"/>
              <w:bottom w:val="single" w:sz="4" w:space="0" w:color="auto"/>
              <w:right w:val="single" w:sz="4" w:space="0" w:color="auto"/>
            </w:tcBorders>
            <w:shd w:val="clear" w:color="auto" w:fill="auto"/>
            <w:noWrap/>
            <w:vAlign w:val="center"/>
            <w:hideMark/>
          </w:tcPr>
          <w:p w14:paraId="5933C733" w14:textId="77777777" w:rsidR="008A5924" w:rsidRPr="00184700" w:rsidRDefault="008A5924" w:rsidP="008A5924">
            <w:pPr>
              <w:jc w:val="right"/>
              <w:rPr>
                <w:sz w:val="18"/>
                <w:szCs w:val="18"/>
                <w:lang w:eastAsia="es-GT"/>
              </w:rPr>
            </w:pPr>
            <w:r w:rsidRPr="00184700">
              <w:rPr>
                <w:sz w:val="18"/>
                <w:szCs w:val="18"/>
                <w:lang w:eastAsia="es-GT"/>
              </w:rPr>
              <w:t>0.52</w:t>
            </w:r>
          </w:p>
        </w:tc>
        <w:tc>
          <w:tcPr>
            <w:tcW w:w="823" w:type="dxa"/>
            <w:tcBorders>
              <w:top w:val="nil"/>
              <w:left w:val="nil"/>
              <w:bottom w:val="single" w:sz="4" w:space="0" w:color="auto"/>
              <w:right w:val="single" w:sz="4" w:space="0" w:color="auto"/>
            </w:tcBorders>
            <w:shd w:val="clear" w:color="auto" w:fill="auto"/>
            <w:noWrap/>
            <w:vAlign w:val="center"/>
            <w:hideMark/>
          </w:tcPr>
          <w:p w14:paraId="326DDE46" w14:textId="77777777" w:rsidR="008A5924" w:rsidRPr="00184700" w:rsidRDefault="008A5924" w:rsidP="008A5924">
            <w:pPr>
              <w:jc w:val="right"/>
              <w:rPr>
                <w:sz w:val="18"/>
                <w:szCs w:val="18"/>
                <w:lang w:eastAsia="es-GT"/>
              </w:rPr>
            </w:pPr>
            <w:r w:rsidRPr="00184700">
              <w:rPr>
                <w:sz w:val="18"/>
                <w:szCs w:val="18"/>
                <w:lang w:eastAsia="es-GT"/>
              </w:rPr>
              <w:t>97.00</w:t>
            </w:r>
          </w:p>
        </w:tc>
      </w:tr>
      <w:tr w:rsidR="008A5924" w:rsidRPr="00184700" w14:paraId="2ADB86FF"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3D91752D" w14:textId="77777777" w:rsidR="008A5924" w:rsidRPr="00184700" w:rsidRDefault="008A5924" w:rsidP="008A5924">
            <w:pPr>
              <w:jc w:val="center"/>
              <w:rPr>
                <w:sz w:val="18"/>
                <w:szCs w:val="18"/>
                <w:lang w:eastAsia="es-GT"/>
              </w:rPr>
            </w:pPr>
            <w:r w:rsidRPr="00184700">
              <w:rPr>
                <w:sz w:val="18"/>
                <w:szCs w:val="18"/>
                <w:lang w:eastAsia="es-GT"/>
              </w:rPr>
              <w:t>2013</w:t>
            </w:r>
          </w:p>
        </w:tc>
        <w:tc>
          <w:tcPr>
            <w:tcW w:w="1018" w:type="dxa"/>
            <w:tcBorders>
              <w:top w:val="nil"/>
              <w:left w:val="nil"/>
              <w:bottom w:val="single" w:sz="4" w:space="0" w:color="auto"/>
              <w:right w:val="single" w:sz="4" w:space="0" w:color="auto"/>
            </w:tcBorders>
            <w:shd w:val="clear" w:color="auto" w:fill="auto"/>
            <w:noWrap/>
            <w:vAlign w:val="center"/>
            <w:hideMark/>
          </w:tcPr>
          <w:p w14:paraId="10490303" w14:textId="77777777" w:rsidR="008A5924" w:rsidRPr="00184700" w:rsidRDefault="008A5924" w:rsidP="008A5924">
            <w:pPr>
              <w:jc w:val="right"/>
              <w:rPr>
                <w:sz w:val="18"/>
                <w:szCs w:val="18"/>
                <w:lang w:eastAsia="es-GT"/>
              </w:rPr>
            </w:pPr>
            <w:r w:rsidRPr="00184700">
              <w:rPr>
                <w:sz w:val="18"/>
                <w:szCs w:val="18"/>
                <w:lang w:eastAsia="es-GT"/>
              </w:rPr>
              <w:t>489</w:t>
            </w:r>
          </w:p>
        </w:tc>
        <w:tc>
          <w:tcPr>
            <w:tcW w:w="1113" w:type="dxa"/>
            <w:tcBorders>
              <w:top w:val="nil"/>
              <w:left w:val="nil"/>
              <w:bottom w:val="single" w:sz="4" w:space="0" w:color="auto"/>
              <w:right w:val="single" w:sz="4" w:space="0" w:color="auto"/>
            </w:tcBorders>
            <w:shd w:val="clear" w:color="auto" w:fill="auto"/>
            <w:noWrap/>
            <w:vAlign w:val="center"/>
            <w:hideMark/>
          </w:tcPr>
          <w:p w14:paraId="5C053E63" w14:textId="77777777" w:rsidR="008A5924" w:rsidRPr="00184700" w:rsidRDefault="008A5924" w:rsidP="008A5924">
            <w:pPr>
              <w:jc w:val="right"/>
              <w:rPr>
                <w:sz w:val="18"/>
                <w:szCs w:val="18"/>
                <w:lang w:eastAsia="es-GT"/>
              </w:rPr>
            </w:pPr>
            <w:r w:rsidRPr="00184700">
              <w:rPr>
                <w:sz w:val="18"/>
                <w:szCs w:val="18"/>
                <w:lang w:eastAsia="es-GT"/>
              </w:rPr>
              <w:t>10,440.50</w:t>
            </w:r>
          </w:p>
        </w:tc>
        <w:tc>
          <w:tcPr>
            <w:tcW w:w="1095" w:type="dxa"/>
            <w:tcBorders>
              <w:top w:val="nil"/>
              <w:left w:val="nil"/>
              <w:bottom w:val="single" w:sz="4" w:space="0" w:color="auto"/>
              <w:right w:val="single" w:sz="4" w:space="0" w:color="auto"/>
            </w:tcBorders>
            <w:shd w:val="clear" w:color="auto" w:fill="auto"/>
            <w:noWrap/>
            <w:vAlign w:val="center"/>
            <w:hideMark/>
          </w:tcPr>
          <w:p w14:paraId="503753ED" w14:textId="77777777" w:rsidR="008A5924" w:rsidRPr="00184700" w:rsidRDefault="008A5924" w:rsidP="008A5924">
            <w:pPr>
              <w:jc w:val="right"/>
              <w:rPr>
                <w:sz w:val="18"/>
                <w:szCs w:val="18"/>
                <w:lang w:eastAsia="es-GT"/>
              </w:rPr>
            </w:pPr>
            <w:r w:rsidRPr="00184700">
              <w:rPr>
                <w:sz w:val="18"/>
                <w:szCs w:val="18"/>
                <w:lang w:eastAsia="es-GT"/>
              </w:rPr>
              <w:t>5,435.99</w:t>
            </w:r>
          </w:p>
        </w:tc>
        <w:tc>
          <w:tcPr>
            <w:tcW w:w="1208" w:type="dxa"/>
            <w:tcBorders>
              <w:top w:val="nil"/>
              <w:left w:val="nil"/>
              <w:bottom w:val="single" w:sz="4" w:space="0" w:color="auto"/>
              <w:right w:val="single" w:sz="4" w:space="0" w:color="auto"/>
            </w:tcBorders>
            <w:shd w:val="clear" w:color="auto" w:fill="auto"/>
            <w:noWrap/>
            <w:vAlign w:val="center"/>
            <w:hideMark/>
          </w:tcPr>
          <w:p w14:paraId="759B7D84" w14:textId="77777777" w:rsidR="008A5924" w:rsidRPr="00184700" w:rsidRDefault="008A5924" w:rsidP="008A5924">
            <w:pPr>
              <w:jc w:val="right"/>
              <w:rPr>
                <w:sz w:val="18"/>
                <w:szCs w:val="18"/>
                <w:lang w:eastAsia="es-GT"/>
              </w:rPr>
            </w:pPr>
            <w:r w:rsidRPr="00184700">
              <w:rPr>
                <w:sz w:val="18"/>
                <w:szCs w:val="18"/>
                <w:lang w:eastAsia="es-GT"/>
              </w:rPr>
              <w:t>1,424.77</w:t>
            </w:r>
          </w:p>
        </w:tc>
        <w:tc>
          <w:tcPr>
            <w:tcW w:w="1133" w:type="dxa"/>
            <w:tcBorders>
              <w:top w:val="nil"/>
              <w:left w:val="nil"/>
              <w:bottom w:val="single" w:sz="4" w:space="0" w:color="auto"/>
              <w:right w:val="single" w:sz="4" w:space="0" w:color="auto"/>
            </w:tcBorders>
            <w:shd w:val="clear" w:color="auto" w:fill="auto"/>
            <w:noWrap/>
            <w:vAlign w:val="center"/>
            <w:hideMark/>
          </w:tcPr>
          <w:p w14:paraId="692B29A9" w14:textId="77777777" w:rsidR="008A5924" w:rsidRPr="00184700" w:rsidRDefault="008A5924" w:rsidP="008A5924">
            <w:pPr>
              <w:jc w:val="right"/>
              <w:rPr>
                <w:sz w:val="18"/>
                <w:szCs w:val="18"/>
                <w:lang w:eastAsia="es-GT"/>
              </w:rPr>
            </w:pPr>
            <w:r w:rsidRPr="00184700">
              <w:rPr>
                <w:sz w:val="18"/>
                <w:szCs w:val="18"/>
                <w:lang w:eastAsia="es-GT"/>
              </w:rPr>
              <w:t>3,579.78</w:t>
            </w:r>
          </w:p>
        </w:tc>
        <w:tc>
          <w:tcPr>
            <w:tcW w:w="1204" w:type="dxa"/>
            <w:tcBorders>
              <w:top w:val="nil"/>
              <w:left w:val="nil"/>
              <w:bottom w:val="single" w:sz="4" w:space="0" w:color="auto"/>
              <w:right w:val="single" w:sz="4" w:space="0" w:color="auto"/>
            </w:tcBorders>
            <w:shd w:val="clear" w:color="auto" w:fill="auto"/>
            <w:noWrap/>
            <w:vAlign w:val="center"/>
            <w:hideMark/>
          </w:tcPr>
          <w:p w14:paraId="37EA2A36" w14:textId="77777777" w:rsidR="008A5924" w:rsidRPr="00184700" w:rsidRDefault="008A5924" w:rsidP="008A5924">
            <w:pPr>
              <w:jc w:val="right"/>
              <w:rPr>
                <w:sz w:val="18"/>
                <w:szCs w:val="18"/>
                <w:lang w:eastAsia="es-GT"/>
              </w:rPr>
            </w:pPr>
            <w:r w:rsidRPr="00184700">
              <w:rPr>
                <w:sz w:val="18"/>
                <w:szCs w:val="18"/>
                <w:lang w:eastAsia="es-GT"/>
              </w:rPr>
              <w:t>0.69</w:t>
            </w:r>
          </w:p>
        </w:tc>
        <w:tc>
          <w:tcPr>
            <w:tcW w:w="823" w:type="dxa"/>
            <w:tcBorders>
              <w:top w:val="nil"/>
              <w:left w:val="nil"/>
              <w:bottom w:val="single" w:sz="4" w:space="0" w:color="auto"/>
              <w:right w:val="single" w:sz="4" w:space="0" w:color="auto"/>
            </w:tcBorders>
            <w:shd w:val="clear" w:color="auto" w:fill="auto"/>
            <w:noWrap/>
            <w:vAlign w:val="center"/>
            <w:hideMark/>
          </w:tcPr>
          <w:p w14:paraId="2D623016" w14:textId="77777777" w:rsidR="008A5924" w:rsidRPr="00184700" w:rsidRDefault="008A5924" w:rsidP="008A5924">
            <w:pPr>
              <w:jc w:val="right"/>
              <w:rPr>
                <w:sz w:val="18"/>
                <w:szCs w:val="18"/>
                <w:lang w:eastAsia="es-GT"/>
              </w:rPr>
            </w:pPr>
            <w:r w:rsidRPr="00184700">
              <w:rPr>
                <w:sz w:val="18"/>
                <w:szCs w:val="18"/>
                <w:lang w:eastAsia="es-GT"/>
              </w:rPr>
              <w:t>67.09</w:t>
            </w:r>
          </w:p>
        </w:tc>
      </w:tr>
      <w:tr w:rsidR="008A5924" w:rsidRPr="00184700" w14:paraId="7D33CF8C"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2D6B7A8" w14:textId="77777777" w:rsidR="008A5924" w:rsidRPr="00184700" w:rsidRDefault="008A5924" w:rsidP="008A5924">
            <w:pPr>
              <w:jc w:val="center"/>
              <w:rPr>
                <w:sz w:val="18"/>
                <w:szCs w:val="18"/>
                <w:lang w:eastAsia="es-GT"/>
              </w:rPr>
            </w:pPr>
            <w:r w:rsidRPr="00184700">
              <w:rPr>
                <w:sz w:val="18"/>
                <w:szCs w:val="18"/>
                <w:lang w:eastAsia="es-GT"/>
              </w:rPr>
              <w:t>2014</w:t>
            </w:r>
          </w:p>
        </w:tc>
        <w:tc>
          <w:tcPr>
            <w:tcW w:w="1018" w:type="dxa"/>
            <w:tcBorders>
              <w:top w:val="nil"/>
              <w:left w:val="nil"/>
              <w:bottom w:val="single" w:sz="4" w:space="0" w:color="auto"/>
              <w:right w:val="single" w:sz="4" w:space="0" w:color="auto"/>
            </w:tcBorders>
            <w:shd w:val="clear" w:color="auto" w:fill="auto"/>
            <w:noWrap/>
            <w:vAlign w:val="center"/>
            <w:hideMark/>
          </w:tcPr>
          <w:p w14:paraId="42508BC3" w14:textId="77777777" w:rsidR="008A5924" w:rsidRPr="00184700" w:rsidRDefault="008A5924" w:rsidP="008A5924">
            <w:pPr>
              <w:jc w:val="right"/>
              <w:rPr>
                <w:sz w:val="18"/>
                <w:szCs w:val="18"/>
                <w:lang w:eastAsia="es-GT"/>
              </w:rPr>
            </w:pPr>
            <w:r w:rsidRPr="00184700">
              <w:rPr>
                <w:sz w:val="18"/>
                <w:szCs w:val="18"/>
                <w:lang w:eastAsia="es-GT"/>
              </w:rPr>
              <w:t>279</w:t>
            </w:r>
          </w:p>
        </w:tc>
        <w:tc>
          <w:tcPr>
            <w:tcW w:w="1113" w:type="dxa"/>
            <w:tcBorders>
              <w:top w:val="nil"/>
              <w:left w:val="nil"/>
              <w:bottom w:val="single" w:sz="4" w:space="0" w:color="auto"/>
              <w:right w:val="single" w:sz="4" w:space="0" w:color="auto"/>
            </w:tcBorders>
            <w:shd w:val="clear" w:color="auto" w:fill="auto"/>
            <w:noWrap/>
            <w:vAlign w:val="center"/>
            <w:hideMark/>
          </w:tcPr>
          <w:p w14:paraId="270E889D" w14:textId="77777777" w:rsidR="008A5924" w:rsidRPr="00184700" w:rsidRDefault="008A5924" w:rsidP="008A5924">
            <w:pPr>
              <w:jc w:val="right"/>
              <w:rPr>
                <w:sz w:val="18"/>
                <w:szCs w:val="18"/>
                <w:lang w:eastAsia="es-GT"/>
              </w:rPr>
            </w:pPr>
            <w:r w:rsidRPr="00184700">
              <w:rPr>
                <w:sz w:val="18"/>
                <w:szCs w:val="18"/>
                <w:lang w:eastAsia="es-GT"/>
              </w:rPr>
              <w:t>4,028.91</w:t>
            </w:r>
          </w:p>
        </w:tc>
        <w:tc>
          <w:tcPr>
            <w:tcW w:w="1095" w:type="dxa"/>
            <w:tcBorders>
              <w:top w:val="nil"/>
              <w:left w:val="nil"/>
              <w:bottom w:val="single" w:sz="4" w:space="0" w:color="auto"/>
              <w:right w:val="single" w:sz="4" w:space="0" w:color="auto"/>
            </w:tcBorders>
            <w:shd w:val="clear" w:color="auto" w:fill="auto"/>
            <w:noWrap/>
            <w:vAlign w:val="center"/>
            <w:hideMark/>
          </w:tcPr>
          <w:p w14:paraId="739BC187" w14:textId="77777777" w:rsidR="008A5924" w:rsidRPr="00184700" w:rsidRDefault="008A5924" w:rsidP="008A5924">
            <w:pPr>
              <w:jc w:val="right"/>
              <w:rPr>
                <w:sz w:val="18"/>
                <w:szCs w:val="18"/>
                <w:lang w:eastAsia="es-GT"/>
              </w:rPr>
            </w:pPr>
            <w:r w:rsidRPr="00184700">
              <w:rPr>
                <w:sz w:val="18"/>
                <w:szCs w:val="18"/>
                <w:lang w:eastAsia="es-GT"/>
              </w:rPr>
              <w:t>1,617.47</w:t>
            </w:r>
          </w:p>
        </w:tc>
        <w:tc>
          <w:tcPr>
            <w:tcW w:w="1208" w:type="dxa"/>
            <w:tcBorders>
              <w:top w:val="nil"/>
              <w:left w:val="nil"/>
              <w:bottom w:val="single" w:sz="4" w:space="0" w:color="auto"/>
              <w:right w:val="single" w:sz="4" w:space="0" w:color="auto"/>
            </w:tcBorders>
            <w:shd w:val="clear" w:color="auto" w:fill="auto"/>
            <w:noWrap/>
            <w:vAlign w:val="center"/>
            <w:hideMark/>
          </w:tcPr>
          <w:p w14:paraId="395C57B9" w14:textId="77777777" w:rsidR="008A5924" w:rsidRPr="00184700" w:rsidRDefault="008A5924" w:rsidP="008A5924">
            <w:pPr>
              <w:jc w:val="right"/>
              <w:rPr>
                <w:sz w:val="18"/>
                <w:szCs w:val="18"/>
                <w:lang w:eastAsia="es-GT"/>
              </w:rPr>
            </w:pPr>
            <w:r w:rsidRPr="00184700">
              <w:rPr>
                <w:sz w:val="18"/>
                <w:szCs w:val="18"/>
                <w:lang w:eastAsia="es-GT"/>
              </w:rPr>
              <w:t>381.82</w:t>
            </w:r>
          </w:p>
        </w:tc>
        <w:tc>
          <w:tcPr>
            <w:tcW w:w="1133" w:type="dxa"/>
            <w:tcBorders>
              <w:top w:val="nil"/>
              <w:left w:val="nil"/>
              <w:bottom w:val="single" w:sz="4" w:space="0" w:color="auto"/>
              <w:right w:val="single" w:sz="4" w:space="0" w:color="auto"/>
            </w:tcBorders>
            <w:shd w:val="clear" w:color="auto" w:fill="auto"/>
            <w:noWrap/>
            <w:vAlign w:val="center"/>
            <w:hideMark/>
          </w:tcPr>
          <w:p w14:paraId="269E1B77" w14:textId="77777777" w:rsidR="008A5924" w:rsidRPr="00184700" w:rsidRDefault="008A5924" w:rsidP="008A5924">
            <w:pPr>
              <w:jc w:val="right"/>
              <w:rPr>
                <w:sz w:val="18"/>
                <w:szCs w:val="18"/>
                <w:lang w:eastAsia="es-GT"/>
              </w:rPr>
            </w:pPr>
            <w:r w:rsidRPr="00184700">
              <w:rPr>
                <w:sz w:val="18"/>
                <w:szCs w:val="18"/>
                <w:lang w:eastAsia="es-GT"/>
              </w:rPr>
              <w:t>2,029.62</w:t>
            </w:r>
          </w:p>
        </w:tc>
        <w:tc>
          <w:tcPr>
            <w:tcW w:w="1204" w:type="dxa"/>
            <w:tcBorders>
              <w:top w:val="nil"/>
              <w:left w:val="nil"/>
              <w:bottom w:val="single" w:sz="4" w:space="0" w:color="auto"/>
              <w:right w:val="single" w:sz="4" w:space="0" w:color="auto"/>
            </w:tcBorders>
            <w:shd w:val="clear" w:color="auto" w:fill="auto"/>
            <w:noWrap/>
            <w:vAlign w:val="center"/>
            <w:hideMark/>
          </w:tcPr>
          <w:p w14:paraId="1A90741B" w14:textId="77777777" w:rsidR="008A5924" w:rsidRPr="00184700" w:rsidRDefault="008A5924" w:rsidP="008A5924">
            <w:pPr>
              <w:jc w:val="right"/>
              <w:rPr>
                <w:sz w:val="18"/>
                <w:szCs w:val="18"/>
                <w:lang w:eastAsia="es-GT"/>
              </w:rPr>
            </w:pPr>
            <w:r w:rsidRPr="00184700">
              <w:rPr>
                <w:sz w:val="18"/>
                <w:szCs w:val="18"/>
                <w:lang w:eastAsia="es-GT"/>
              </w:rPr>
              <w:t>2.36</w:t>
            </w:r>
          </w:p>
        </w:tc>
        <w:tc>
          <w:tcPr>
            <w:tcW w:w="823" w:type="dxa"/>
            <w:tcBorders>
              <w:top w:val="nil"/>
              <w:left w:val="nil"/>
              <w:bottom w:val="single" w:sz="4" w:space="0" w:color="auto"/>
              <w:right w:val="single" w:sz="4" w:space="0" w:color="auto"/>
            </w:tcBorders>
            <w:shd w:val="clear" w:color="auto" w:fill="auto"/>
            <w:noWrap/>
            <w:vAlign w:val="center"/>
            <w:hideMark/>
          </w:tcPr>
          <w:p w14:paraId="32C2FB6A" w14:textId="77777777" w:rsidR="008A5924" w:rsidRPr="00184700" w:rsidRDefault="008A5924" w:rsidP="008A5924">
            <w:pPr>
              <w:jc w:val="right"/>
              <w:rPr>
                <w:sz w:val="18"/>
                <w:szCs w:val="18"/>
                <w:lang w:eastAsia="es-GT"/>
              </w:rPr>
            </w:pPr>
            <w:r w:rsidRPr="00184700">
              <w:rPr>
                <w:sz w:val="18"/>
                <w:szCs w:val="18"/>
                <w:lang w:eastAsia="es-GT"/>
              </w:rPr>
              <w:t>586.76</w:t>
            </w:r>
          </w:p>
        </w:tc>
      </w:tr>
      <w:tr w:rsidR="008A5924" w:rsidRPr="00184700" w14:paraId="7FB395E5"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7AE16FC" w14:textId="77777777" w:rsidR="008A5924" w:rsidRPr="00184700" w:rsidRDefault="008A5924" w:rsidP="008A5924">
            <w:pPr>
              <w:jc w:val="center"/>
              <w:rPr>
                <w:sz w:val="18"/>
                <w:szCs w:val="18"/>
                <w:lang w:eastAsia="es-GT"/>
              </w:rPr>
            </w:pPr>
            <w:r w:rsidRPr="00184700">
              <w:rPr>
                <w:sz w:val="18"/>
                <w:szCs w:val="18"/>
                <w:lang w:eastAsia="es-GT"/>
              </w:rPr>
              <w:t>2015</w:t>
            </w:r>
          </w:p>
        </w:tc>
        <w:tc>
          <w:tcPr>
            <w:tcW w:w="1018" w:type="dxa"/>
            <w:tcBorders>
              <w:top w:val="nil"/>
              <w:left w:val="nil"/>
              <w:bottom w:val="single" w:sz="4" w:space="0" w:color="auto"/>
              <w:right w:val="single" w:sz="4" w:space="0" w:color="auto"/>
            </w:tcBorders>
            <w:shd w:val="clear" w:color="auto" w:fill="auto"/>
            <w:noWrap/>
            <w:vAlign w:val="center"/>
            <w:hideMark/>
          </w:tcPr>
          <w:p w14:paraId="7CB49563" w14:textId="77777777" w:rsidR="008A5924" w:rsidRPr="00184700" w:rsidRDefault="008A5924" w:rsidP="008A5924">
            <w:pPr>
              <w:jc w:val="right"/>
              <w:rPr>
                <w:sz w:val="18"/>
                <w:szCs w:val="18"/>
                <w:lang w:eastAsia="es-GT"/>
              </w:rPr>
            </w:pPr>
            <w:r w:rsidRPr="00184700">
              <w:rPr>
                <w:sz w:val="18"/>
                <w:szCs w:val="18"/>
                <w:lang w:eastAsia="es-GT"/>
              </w:rPr>
              <w:t>503</w:t>
            </w:r>
          </w:p>
        </w:tc>
        <w:tc>
          <w:tcPr>
            <w:tcW w:w="1113" w:type="dxa"/>
            <w:tcBorders>
              <w:top w:val="nil"/>
              <w:left w:val="nil"/>
              <w:bottom w:val="single" w:sz="4" w:space="0" w:color="auto"/>
              <w:right w:val="single" w:sz="4" w:space="0" w:color="auto"/>
            </w:tcBorders>
            <w:shd w:val="clear" w:color="auto" w:fill="auto"/>
            <w:noWrap/>
            <w:vAlign w:val="center"/>
            <w:hideMark/>
          </w:tcPr>
          <w:p w14:paraId="36D400FC" w14:textId="77777777" w:rsidR="008A5924" w:rsidRPr="00184700" w:rsidRDefault="008A5924" w:rsidP="008A5924">
            <w:pPr>
              <w:jc w:val="right"/>
              <w:rPr>
                <w:sz w:val="18"/>
                <w:szCs w:val="18"/>
                <w:lang w:eastAsia="es-GT"/>
              </w:rPr>
            </w:pPr>
            <w:r w:rsidRPr="00184700">
              <w:rPr>
                <w:sz w:val="18"/>
                <w:szCs w:val="18"/>
                <w:lang w:eastAsia="es-GT"/>
              </w:rPr>
              <w:t>10,186.20</w:t>
            </w:r>
          </w:p>
        </w:tc>
        <w:tc>
          <w:tcPr>
            <w:tcW w:w="1095" w:type="dxa"/>
            <w:tcBorders>
              <w:top w:val="nil"/>
              <w:left w:val="nil"/>
              <w:bottom w:val="single" w:sz="4" w:space="0" w:color="auto"/>
              <w:right w:val="single" w:sz="4" w:space="0" w:color="auto"/>
            </w:tcBorders>
            <w:shd w:val="clear" w:color="auto" w:fill="auto"/>
            <w:noWrap/>
            <w:vAlign w:val="center"/>
            <w:hideMark/>
          </w:tcPr>
          <w:p w14:paraId="7E368D7F" w14:textId="77777777" w:rsidR="008A5924" w:rsidRPr="00184700" w:rsidRDefault="008A5924" w:rsidP="008A5924">
            <w:pPr>
              <w:jc w:val="right"/>
              <w:rPr>
                <w:sz w:val="18"/>
                <w:szCs w:val="18"/>
                <w:lang w:eastAsia="es-GT"/>
              </w:rPr>
            </w:pPr>
            <w:r w:rsidRPr="00184700">
              <w:rPr>
                <w:sz w:val="18"/>
                <w:szCs w:val="18"/>
                <w:lang w:eastAsia="es-GT"/>
              </w:rPr>
              <w:t>3,271.23</w:t>
            </w:r>
          </w:p>
        </w:tc>
        <w:tc>
          <w:tcPr>
            <w:tcW w:w="1208" w:type="dxa"/>
            <w:tcBorders>
              <w:top w:val="nil"/>
              <w:left w:val="nil"/>
              <w:bottom w:val="single" w:sz="4" w:space="0" w:color="auto"/>
              <w:right w:val="single" w:sz="4" w:space="0" w:color="auto"/>
            </w:tcBorders>
            <w:shd w:val="clear" w:color="auto" w:fill="auto"/>
            <w:noWrap/>
            <w:vAlign w:val="center"/>
            <w:hideMark/>
          </w:tcPr>
          <w:p w14:paraId="0DDF4C0F" w14:textId="77777777" w:rsidR="008A5924" w:rsidRPr="00184700" w:rsidRDefault="008A5924" w:rsidP="008A5924">
            <w:pPr>
              <w:jc w:val="right"/>
              <w:rPr>
                <w:sz w:val="18"/>
                <w:szCs w:val="18"/>
                <w:lang w:eastAsia="es-GT"/>
              </w:rPr>
            </w:pPr>
            <w:r w:rsidRPr="00184700">
              <w:rPr>
                <w:sz w:val="18"/>
                <w:szCs w:val="18"/>
                <w:lang w:eastAsia="es-GT"/>
              </w:rPr>
              <w:t>951.6</w:t>
            </w:r>
          </w:p>
        </w:tc>
        <w:tc>
          <w:tcPr>
            <w:tcW w:w="1133" w:type="dxa"/>
            <w:tcBorders>
              <w:top w:val="nil"/>
              <w:left w:val="nil"/>
              <w:bottom w:val="single" w:sz="4" w:space="0" w:color="auto"/>
              <w:right w:val="single" w:sz="4" w:space="0" w:color="auto"/>
            </w:tcBorders>
            <w:shd w:val="clear" w:color="auto" w:fill="auto"/>
            <w:noWrap/>
            <w:vAlign w:val="center"/>
            <w:hideMark/>
          </w:tcPr>
          <w:p w14:paraId="4A7585EF" w14:textId="77777777" w:rsidR="008A5924" w:rsidRPr="00184700" w:rsidRDefault="008A5924" w:rsidP="008A5924">
            <w:pPr>
              <w:jc w:val="right"/>
              <w:rPr>
                <w:sz w:val="18"/>
                <w:szCs w:val="18"/>
                <w:lang w:eastAsia="es-GT"/>
              </w:rPr>
            </w:pPr>
            <w:r w:rsidRPr="00184700">
              <w:rPr>
                <w:sz w:val="18"/>
                <w:szCs w:val="18"/>
                <w:lang w:eastAsia="es-GT"/>
              </w:rPr>
              <w:t>5,963.37</w:t>
            </w:r>
          </w:p>
        </w:tc>
        <w:tc>
          <w:tcPr>
            <w:tcW w:w="1204" w:type="dxa"/>
            <w:tcBorders>
              <w:top w:val="nil"/>
              <w:left w:val="nil"/>
              <w:bottom w:val="single" w:sz="4" w:space="0" w:color="auto"/>
              <w:right w:val="single" w:sz="4" w:space="0" w:color="auto"/>
            </w:tcBorders>
            <w:shd w:val="clear" w:color="auto" w:fill="auto"/>
            <w:noWrap/>
            <w:vAlign w:val="center"/>
            <w:hideMark/>
          </w:tcPr>
          <w:p w14:paraId="199FFB4B" w14:textId="77777777" w:rsidR="008A5924" w:rsidRPr="00184700" w:rsidRDefault="008A5924" w:rsidP="008A5924">
            <w:pPr>
              <w:jc w:val="right"/>
              <w:rPr>
                <w:sz w:val="18"/>
                <w:szCs w:val="18"/>
                <w:lang w:eastAsia="es-GT"/>
              </w:rPr>
            </w:pPr>
            <w:r w:rsidRPr="00184700">
              <w:rPr>
                <w:sz w:val="18"/>
                <w:szCs w:val="18"/>
                <w:lang w:eastAsia="es-GT"/>
              </w:rPr>
              <w:t>0.32</w:t>
            </w:r>
          </w:p>
        </w:tc>
        <w:tc>
          <w:tcPr>
            <w:tcW w:w="823" w:type="dxa"/>
            <w:tcBorders>
              <w:top w:val="nil"/>
              <w:left w:val="nil"/>
              <w:bottom w:val="single" w:sz="4" w:space="0" w:color="auto"/>
              <w:right w:val="single" w:sz="4" w:space="0" w:color="auto"/>
            </w:tcBorders>
            <w:shd w:val="clear" w:color="auto" w:fill="auto"/>
            <w:noWrap/>
            <w:vAlign w:val="center"/>
            <w:hideMark/>
          </w:tcPr>
          <w:p w14:paraId="29781B14" w14:textId="77777777" w:rsidR="008A5924" w:rsidRPr="00184700" w:rsidRDefault="008A5924" w:rsidP="008A5924">
            <w:pPr>
              <w:jc w:val="right"/>
              <w:rPr>
                <w:sz w:val="18"/>
                <w:szCs w:val="18"/>
                <w:lang w:eastAsia="es-GT"/>
              </w:rPr>
            </w:pPr>
            <w:r w:rsidRPr="00184700">
              <w:rPr>
                <w:sz w:val="18"/>
                <w:szCs w:val="18"/>
                <w:lang w:eastAsia="es-GT"/>
              </w:rPr>
              <w:t>32.63</w:t>
            </w:r>
          </w:p>
        </w:tc>
      </w:tr>
      <w:tr w:rsidR="008A5924" w:rsidRPr="00184700" w14:paraId="15EC2179"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278A64E9" w14:textId="77777777" w:rsidR="008A5924" w:rsidRPr="00184700" w:rsidRDefault="008A5924" w:rsidP="008A5924">
            <w:pPr>
              <w:jc w:val="center"/>
              <w:rPr>
                <w:sz w:val="18"/>
                <w:szCs w:val="18"/>
                <w:lang w:eastAsia="es-GT"/>
              </w:rPr>
            </w:pPr>
            <w:r w:rsidRPr="00184700">
              <w:rPr>
                <w:sz w:val="18"/>
                <w:szCs w:val="18"/>
                <w:lang w:eastAsia="es-GT"/>
              </w:rPr>
              <w:t>2016</w:t>
            </w:r>
          </w:p>
        </w:tc>
        <w:tc>
          <w:tcPr>
            <w:tcW w:w="1018" w:type="dxa"/>
            <w:tcBorders>
              <w:top w:val="nil"/>
              <w:left w:val="nil"/>
              <w:bottom w:val="single" w:sz="4" w:space="0" w:color="auto"/>
              <w:right w:val="single" w:sz="4" w:space="0" w:color="auto"/>
            </w:tcBorders>
            <w:shd w:val="clear" w:color="auto" w:fill="auto"/>
            <w:noWrap/>
            <w:vAlign w:val="center"/>
            <w:hideMark/>
          </w:tcPr>
          <w:p w14:paraId="034DF5B9" w14:textId="77777777" w:rsidR="008A5924" w:rsidRPr="00184700" w:rsidRDefault="008A5924" w:rsidP="008A5924">
            <w:pPr>
              <w:jc w:val="right"/>
              <w:rPr>
                <w:sz w:val="18"/>
                <w:szCs w:val="18"/>
                <w:lang w:eastAsia="es-GT"/>
              </w:rPr>
            </w:pPr>
            <w:r w:rsidRPr="00184700">
              <w:rPr>
                <w:sz w:val="18"/>
                <w:szCs w:val="18"/>
                <w:lang w:eastAsia="es-GT"/>
              </w:rPr>
              <w:t>442</w:t>
            </w:r>
          </w:p>
        </w:tc>
        <w:tc>
          <w:tcPr>
            <w:tcW w:w="1113" w:type="dxa"/>
            <w:tcBorders>
              <w:top w:val="nil"/>
              <w:left w:val="nil"/>
              <w:bottom w:val="single" w:sz="4" w:space="0" w:color="auto"/>
              <w:right w:val="single" w:sz="4" w:space="0" w:color="auto"/>
            </w:tcBorders>
            <w:shd w:val="clear" w:color="auto" w:fill="auto"/>
            <w:noWrap/>
            <w:vAlign w:val="center"/>
            <w:hideMark/>
          </w:tcPr>
          <w:p w14:paraId="60D85AB9" w14:textId="77777777" w:rsidR="008A5924" w:rsidRPr="00184700" w:rsidRDefault="008A5924" w:rsidP="008A5924">
            <w:pPr>
              <w:jc w:val="right"/>
              <w:rPr>
                <w:sz w:val="18"/>
                <w:szCs w:val="18"/>
                <w:lang w:eastAsia="es-GT"/>
              </w:rPr>
            </w:pPr>
            <w:r w:rsidRPr="00184700">
              <w:rPr>
                <w:sz w:val="18"/>
                <w:szCs w:val="18"/>
                <w:lang w:eastAsia="es-GT"/>
              </w:rPr>
              <w:t>14,744.60</w:t>
            </w:r>
          </w:p>
        </w:tc>
        <w:tc>
          <w:tcPr>
            <w:tcW w:w="1095" w:type="dxa"/>
            <w:tcBorders>
              <w:top w:val="nil"/>
              <w:left w:val="nil"/>
              <w:bottom w:val="single" w:sz="4" w:space="0" w:color="auto"/>
              <w:right w:val="single" w:sz="4" w:space="0" w:color="auto"/>
            </w:tcBorders>
            <w:shd w:val="clear" w:color="auto" w:fill="auto"/>
            <w:noWrap/>
            <w:vAlign w:val="center"/>
            <w:hideMark/>
          </w:tcPr>
          <w:p w14:paraId="671D64F7" w14:textId="77777777" w:rsidR="008A5924" w:rsidRPr="00184700" w:rsidRDefault="008A5924" w:rsidP="008A5924">
            <w:pPr>
              <w:jc w:val="right"/>
              <w:rPr>
                <w:sz w:val="18"/>
                <w:szCs w:val="18"/>
                <w:lang w:eastAsia="es-GT"/>
              </w:rPr>
            </w:pPr>
            <w:r w:rsidRPr="00184700">
              <w:rPr>
                <w:sz w:val="18"/>
                <w:szCs w:val="18"/>
                <w:lang w:eastAsia="es-GT"/>
              </w:rPr>
              <w:t>2,931.33</w:t>
            </w:r>
          </w:p>
        </w:tc>
        <w:tc>
          <w:tcPr>
            <w:tcW w:w="1208" w:type="dxa"/>
            <w:tcBorders>
              <w:top w:val="nil"/>
              <w:left w:val="nil"/>
              <w:bottom w:val="single" w:sz="4" w:space="0" w:color="auto"/>
              <w:right w:val="single" w:sz="4" w:space="0" w:color="auto"/>
            </w:tcBorders>
            <w:shd w:val="clear" w:color="auto" w:fill="auto"/>
            <w:noWrap/>
            <w:vAlign w:val="center"/>
            <w:hideMark/>
          </w:tcPr>
          <w:p w14:paraId="6DB74EF0" w14:textId="77777777" w:rsidR="008A5924" w:rsidRPr="00184700" w:rsidRDefault="008A5924" w:rsidP="008A5924">
            <w:pPr>
              <w:jc w:val="right"/>
              <w:rPr>
                <w:sz w:val="18"/>
                <w:szCs w:val="18"/>
                <w:lang w:eastAsia="es-GT"/>
              </w:rPr>
            </w:pPr>
            <w:r w:rsidRPr="00184700">
              <w:rPr>
                <w:sz w:val="18"/>
                <w:szCs w:val="18"/>
                <w:lang w:eastAsia="es-GT"/>
              </w:rPr>
              <w:t>6,223.39</w:t>
            </w:r>
          </w:p>
        </w:tc>
        <w:tc>
          <w:tcPr>
            <w:tcW w:w="1133" w:type="dxa"/>
            <w:tcBorders>
              <w:top w:val="nil"/>
              <w:left w:val="nil"/>
              <w:bottom w:val="single" w:sz="4" w:space="0" w:color="auto"/>
              <w:right w:val="single" w:sz="4" w:space="0" w:color="auto"/>
            </w:tcBorders>
            <w:shd w:val="clear" w:color="auto" w:fill="auto"/>
            <w:noWrap/>
            <w:vAlign w:val="center"/>
            <w:hideMark/>
          </w:tcPr>
          <w:p w14:paraId="2C5C4D04" w14:textId="77777777" w:rsidR="008A5924" w:rsidRPr="00184700" w:rsidRDefault="008A5924" w:rsidP="008A5924">
            <w:pPr>
              <w:jc w:val="right"/>
              <w:rPr>
                <w:sz w:val="18"/>
                <w:szCs w:val="18"/>
                <w:lang w:eastAsia="es-GT"/>
              </w:rPr>
            </w:pPr>
            <w:r w:rsidRPr="00184700">
              <w:rPr>
                <w:sz w:val="18"/>
                <w:szCs w:val="18"/>
                <w:lang w:eastAsia="es-GT"/>
              </w:rPr>
              <w:t>5,589.89</w:t>
            </w:r>
          </w:p>
        </w:tc>
        <w:tc>
          <w:tcPr>
            <w:tcW w:w="1204" w:type="dxa"/>
            <w:tcBorders>
              <w:top w:val="nil"/>
              <w:left w:val="nil"/>
              <w:bottom w:val="single" w:sz="4" w:space="0" w:color="auto"/>
              <w:right w:val="single" w:sz="4" w:space="0" w:color="auto"/>
            </w:tcBorders>
            <w:shd w:val="clear" w:color="auto" w:fill="auto"/>
            <w:noWrap/>
            <w:vAlign w:val="center"/>
            <w:hideMark/>
          </w:tcPr>
          <w:p w14:paraId="6C0367CB" w14:textId="77777777" w:rsidR="008A5924" w:rsidRPr="00184700" w:rsidRDefault="008A5924" w:rsidP="008A5924">
            <w:pPr>
              <w:jc w:val="right"/>
              <w:rPr>
                <w:sz w:val="18"/>
                <w:szCs w:val="18"/>
                <w:lang w:eastAsia="es-GT"/>
              </w:rPr>
            </w:pPr>
            <w:r w:rsidRPr="00184700">
              <w:rPr>
                <w:sz w:val="18"/>
                <w:szCs w:val="18"/>
                <w:lang w:eastAsia="es-GT"/>
              </w:rPr>
              <w:t>7.26</w:t>
            </w:r>
          </w:p>
        </w:tc>
        <w:tc>
          <w:tcPr>
            <w:tcW w:w="823" w:type="dxa"/>
            <w:tcBorders>
              <w:top w:val="nil"/>
              <w:left w:val="nil"/>
              <w:bottom w:val="single" w:sz="4" w:space="0" w:color="auto"/>
              <w:right w:val="single" w:sz="4" w:space="0" w:color="auto"/>
            </w:tcBorders>
            <w:shd w:val="clear" w:color="auto" w:fill="auto"/>
            <w:noWrap/>
            <w:vAlign w:val="center"/>
            <w:hideMark/>
          </w:tcPr>
          <w:p w14:paraId="59B1D2AD" w14:textId="77777777" w:rsidR="008A5924" w:rsidRPr="00184700" w:rsidRDefault="008A5924" w:rsidP="008A5924">
            <w:pPr>
              <w:jc w:val="right"/>
              <w:rPr>
                <w:sz w:val="18"/>
                <w:szCs w:val="18"/>
                <w:lang w:eastAsia="es-GT"/>
              </w:rPr>
            </w:pPr>
            <w:r w:rsidRPr="00184700">
              <w:rPr>
                <w:sz w:val="18"/>
                <w:szCs w:val="18"/>
                <w:lang w:eastAsia="es-GT"/>
              </w:rPr>
              <w:t>493.66</w:t>
            </w:r>
          </w:p>
        </w:tc>
      </w:tr>
      <w:tr w:rsidR="008A5924" w:rsidRPr="00184700" w14:paraId="582DE51B" w14:textId="77777777" w:rsidTr="00595203">
        <w:trPr>
          <w:trHeight w:val="237"/>
          <w:jc w:val="center"/>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1ECCE4A5" w14:textId="77777777" w:rsidR="008A5924" w:rsidRPr="00184700" w:rsidRDefault="008A5924" w:rsidP="008A5924">
            <w:pPr>
              <w:jc w:val="center"/>
              <w:rPr>
                <w:sz w:val="18"/>
                <w:szCs w:val="18"/>
                <w:lang w:eastAsia="es-GT"/>
              </w:rPr>
            </w:pPr>
            <w:r w:rsidRPr="00184700">
              <w:rPr>
                <w:sz w:val="18"/>
                <w:szCs w:val="18"/>
                <w:lang w:eastAsia="es-GT"/>
              </w:rPr>
              <w:t>2017</w:t>
            </w:r>
          </w:p>
        </w:tc>
        <w:tc>
          <w:tcPr>
            <w:tcW w:w="1018" w:type="dxa"/>
            <w:tcBorders>
              <w:top w:val="nil"/>
              <w:left w:val="nil"/>
              <w:bottom w:val="single" w:sz="4" w:space="0" w:color="auto"/>
              <w:right w:val="single" w:sz="4" w:space="0" w:color="auto"/>
            </w:tcBorders>
            <w:shd w:val="clear" w:color="auto" w:fill="auto"/>
            <w:noWrap/>
            <w:vAlign w:val="center"/>
            <w:hideMark/>
          </w:tcPr>
          <w:p w14:paraId="356C3E92" w14:textId="77777777" w:rsidR="008A5924" w:rsidRPr="00184700" w:rsidRDefault="008A5924" w:rsidP="008A5924">
            <w:pPr>
              <w:jc w:val="right"/>
              <w:rPr>
                <w:sz w:val="18"/>
                <w:szCs w:val="18"/>
                <w:lang w:eastAsia="es-GT"/>
              </w:rPr>
            </w:pPr>
            <w:r w:rsidRPr="00184700">
              <w:rPr>
                <w:sz w:val="18"/>
                <w:szCs w:val="18"/>
                <w:lang w:eastAsia="es-GT"/>
              </w:rPr>
              <w:t>802</w:t>
            </w:r>
          </w:p>
        </w:tc>
        <w:tc>
          <w:tcPr>
            <w:tcW w:w="1113" w:type="dxa"/>
            <w:tcBorders>
              <w:top w:val="nil"/>
              <w:left w:val="nil"/>
              <w:bottom w:val="single" w:sz="4" w:space="0" w:color="auto"/>
              <w:right w:val="single" w:sz="4" w:space="0" w:color="auto"/>
            </w:tcBorders>
            <w:shd w:val="clear" w:color="auto" w:fill="auto"/>
            <w:noWrap/>
            <w:vAlign w:val="center"/>
            <w:hideMark/>
          </w:tcPr>
          <w:p w14:paraId="14A93C76" w14:textId="77777777" w:rsidR="008A5924" w:rsidRPr="00184700" w:rsidRDefault="008A5924" w:rsidP="008A5924">
            <w:pPr>
              <w:jc w:val="right"/>
              <w:rPr>
                <w:sz w:val="18"/>
                <w:szCs w:val="18"/>
                <w:lang w:eastAsia="es-GT"/>
              </w:rPr>
            </w:pPr>
            <w:r w:rsidRPr="00184700">
              <w:rPr>
                <w:sz w:val="18"/>
                <w:szCs w:val="18"/>
                <w:lang w:eastAsia="es-GT"/>
              </w:rPr>
              <w:t>15,894.60</w:t>
            </w:r>
          </w:p>
        </w:tc>
        <w:tc>
          <w:tcPr>
            <w:tcW w:w="1095" w:type="dxa"/>
            <w:tcBorders>
              <w:top w:val="nil"/>
              <w:left w:val="nil"/>
              <w:bottom w:val="single" w:sz="4" w:space="0" w:color="auto"/>
              <w:right w:val="single" w:sz="4" w:space="0" w:color="auto"/>
            </w:tcBorders>
            <w:shd w:val="clear" w:color="auto" w:fill="auto"/>
            <w:noWrap/>
            <w:vAlign w:val="center"/>
            <w:hideMark/>
          </w:tcPr>
          <w:p w14:paraId="3B81310A" w14:textId="77777777" w:rsidR="008A5924" w:rsidRPr="00184700" w:rsidRDefault="008A5924" w:rsidP="008A5924">
            <w:pPr>
              <w:jc w:val="right"/>
              <w:rPr>
                <w:sz w:val="18"/>
                <w:szCs w:val="18"/>
                <w:lang w:eastAsia="es-GT"/>
              </w:rPr>
            </w:pPr>
            <w:r w:rsidRPr="00184700">
              <w:rPr>
                <w:sz w:val="18"/>
                <w:szCs w:val="18"/>
                <w:lang w:eastAsia="es-GT"/>
              </w:rPr>
              <w:t>3,891.20</w:t>
            </w:r>
          </w:p>
        </w:tc>
        <w:tc>
          <w:tcPr>
            <w:tcW w:w="1208" w:type="dxa"/>
            <w:tcBorders>
              <w:top w:val="nil"/>
              <w:left w:val="nil"/>
              <w:bottom w:val="single" w:sz="4" w:space="0" w:color="auto"/>
              <w:right w:val="single" w:sz="4" w:space="0" w:color="auto"/>
            </w:tcBorders>
            <w:shd w:val="clear" w:color="auto" w:fill="auto"/>
            <w:noWrap/>
            <w:vAlign w:val="center"/>
            <w:hideMark/>
          </w:tcPr>
          <w:p w14:paraId="664332FC" w14:textId="77777777" w:rsidR="008A5924" w:rsidRPr="00184700" w:rsidRDefault="008A5924" w:rsidP="008A5924">
            <w:pPr>
              <w:jc w:val="right"/>
              <w:rPr>
                <w:sz w:val="18"/>
                <w:szCs w:val="18"/>
                <w:lang w:eastAsia="es-GT"/>
              </w:rPr>
            </w:pPr>
            <w:r w:rsidRPr="00184700">
              <w:rPr>
                <w:sz w:val="18"/>
                <w:szCs w:val="18"/>
                <w:lang w:eastAsia="es-GT"/>
              </w:rPr>
              <w:t>4,387.90</w:t>
            </w:r>
          </w:p>
        </w:tc>
        <w:tc>
          <w:tcPr>
            <w:tcW w:w="1133" w:type="dxa"/>
            <w:tcBorders>
              <w:top w:val="nil"/>
              <w:left w:val="nil"/>
              <w:bottom w:val="single" w:sz="4" w:space="0" w:color="auto"/>
              <w:right w:val="single" w:sz="4" w:space="0" w:color="auto"/>
            </w:tcBorders>
            <w:shd w:val="clear" w:color="auto" w:fill="auto"/>
            <w:noWrap/>
            <w:vAlign w:val="center"/>
            <w:hideMark/>
          </w:tcPr>
          <w:p w14:paraId="3B07CC08" w14:textId="77777777" w:rsidR="008A5924" w:rsidRPr="00184700" w:rsidRDefault="008A5924" w:rsidP="008A5924">
            <w:pPr>
              <w:jc w:val="right"/>
              <w:rPr>
                <w:sz w:val="18"/>
                <w:szCs w:val="18"/>
                <w:lang w:eastAsia="es-GT"/>
              </w:rPr>
            </w:pPr>
            <w:r w:rsidRPr="00184700">
              <w:rPr>
                <w:sz w:val="18"/>
                <w:szCs w:val="18"/>
                <w:lang w:eastAsia="es-GT"/>
              </w:rPr>
              <w:t>7,615.60</w:t>
            </w:r>
          </w:p>
        </w:tc>
        <w:tc>
          <w:tcPr>
            <w:tcW w:w="1204" w:type="dxa"/>
            <w:tcBorders>
              <w:top w:val="nil"/>
              <w:left w:val="nil"/>
              <w:bottom w:val="single" w:sz="4" w:space="0" w:color="auto"/>
              <w:right w:val="single" w:sz="4" w:space="0" w:color="auto"/>
            </w:tcBorders>
            <w:shd w:val="clear" w:color="auto" w:fill="auto"/>
            <w:noWrap/>
            <w:vAlign w:val="center"/>
            <w:hideMark/>
          </w:tcPr>
          <w:p w14:paraId="352B2A9F" w14:textId="77777777" w:rsidR="008A5924" w:rsidRPr="00184700" w:rsidRDefault="008A5924" w:rsidP="008A5924">
            <w:pPr>
              <w:jc w:val="right"/>
              <w:rPr>
                <w:sz w:val="18"/>
                <w:szCs w:val="18"/>
                <w:lang w:eastAsia="es-GT"/>
              </w:rPr>
            </w:pPr>
            <w:r w:rsidRPr="00184700">
              <w:rPr>
                <w:sz w:val="18"/>
                <w:szCs w:val="18"/>
                <w:lang w:eastAsia="es-GT"/>
              </w:rPr>
              <w:t>4.96</w:t>
            </w:r>
          </w:p>
        </w:tc>
        <w:tc>
          <w:tcPr>
            <w:tcW w:w="823" w:type="dxa"/>
            <w:tcBorders>
              <w:top w:val="nil"/>
              <w:left w:val="nil"/>
              <w:bottom w:val="single" w:sz="4" w:space="0" w:color="auto"/>
              <w:right w:val="single" w:sz="4" w:space="0" w:color="auto"/>
            </w:tcBorders>
            <w:shd w:val="clear" w:color="auto" w:fill="auto"/>
            <w:noWrap/>
            <w:vAlign w:val="center"/>
            <w:hideMark/>
          </w:tcPr>
          <w:p w14:paraId="540ED5D3" w14:textId="77777777" w:rsidR="008A5924" w:rsidRPr="00184700" w:rsidRDefault="008A5924" w:rsidP="008A5924">
            <w:pPr>
              <w:jc w:val="right"/>
              <w:rPr>
                <w:sz w:val="18"/>
                <w:szCs w:val="18"/>
                <w:lang w:eastAsia="es-GT"/>
              </w:rPr>
            </w:pPr>
            <w:r w:rsidRPr="00184700">
              <w:rPr>
                <w:sz w:val="18"/>
                <w:szCs w:val="18"/>
                <w:lang w:eastAsia="es-GT"/>
              </w:rPr>
              <w:t>312.99</w:t>
            </w:r>
          </w:p>
        </w:tc>
      </w:tr>
      <w:tr w:rsidR="008A5924" w:rsidRPr="00184700" w14:paraId="790967CB" w14:textId="77777777" w:rsidTr="00595203">
        <w:trPr>
          <w:trHeight w:val="201"/>
          <w:jc w:val="center"/>
        </w:trPr>
        <w:tc>
          <w:tcPr>
            <w:tcW w:w="792" w:type="dxa"/>
            <w:tcBorders>
              <w:top w:val="nil"/>
              <w:left w:val="single" w:sz="4" w:space="0" w:color="auto"/>
              <w:bottom w:val="single" w:sz="4" w:space="0" w:color="auto"/>
              <w:right w:val="single" w:sz="4" w:space="0" w:color="auto"/>
            </w:tcBorders>
            <w:shd w:val="clear" w:color="000000" w:fill="C5D9F1"/>
            <w:noWrap/>
            <w:vAlign w:val="bottom"/>
            <w:hideMark/>
          </w:tcPr>
          <w:p w14:paraId="73BB1466" w14:textId="77777777" w:rsidR="008A5924" w:rsidRPr="00184700" w:rsidRDefault="008A5924" w:rsidP="008A5924">
            <w:pPr>
              <w:jc w:val="center"/>
              <w:rPr>
                <w:b/>
                <w:bCs/>
                <w:sz w:val="18"/>
                <w:szCs w:val="18"/>
                <w:lang w:eastAsia="es-GT"/>
              </w:rPr>
            </w:pPr>
            <w:r w:rsidRPr="00184700">
              <w:rPr>
                <w:b/>
                <w:bCs/>
                <w:sz w:val="18"/>
                <w:szCs w:val="18"/>
                <w:lang w:eastAsia="es-GT"/>
              </w:rPr>
              <w:t>Total</w:t>
            </w:r>
          </w:p>
        </w:tc>
        <w:tc>
          <w:tcPr>
            <w:tcW w:w="1018" w:type="dxa"/>
            <w:tcBorders>
              <w:top w:val="nil"/>
              <w:left w:val="nil"/>
              <w:bottom w:val="single" w:sz="4" w:space="0" w:color="auto"/>
              <w:right w:val="single" w:sz="4" w:space="0" w:color="auto"/>
            </w:tcBorders>
            <w:shd w:val="clear" w:color="000000" w:fill="C5D9F1"/>
            <w:noWrap/>
            <w:vAlign w:val="center"/>
            <w:hideMark/>
          </w:tcPr>
          <w:p w14:paraId="6B0A73DB" w14:textId="77777777" w:rsidR="008A5924" w:rsidRPr="00184700" w:rsidRDefault="008A5924" w:rsidP="008A5924">
            <w:pPr>
              <w:jc w:val="right"/>
              <w:rPr>
                <w:b/>
                <w:bCs/>
                <w:sz w:val="18"/>
                <w:szCs w:val="18"/>
                <w:lang w:eastAsia="es-GT"/>
              </w:rPr>
            </w:pPr>
            <w:r w:rsidRPr="00184700">
              <w:rPr>
                <w:b/>
                <w:bCs/>
                <w:sz w:val="18"/>
                <w:szCs w:val="18"/>
                <w:lang w:eastAsia="es-GT"/>
              </w:rPr>
              <w:t>9,191.00</w:t>
            </w:r>
          </w:p>
        </w:tc>
        <w:tc>
          <w:tcPr>
            <w:tcW w:w="1113" w:type="dxa"/>
            <w:tcBorders>
              <w:top w:val="nil"/>
              <w:left w:val="nil"/>
              <w:bottom w:val="single" w:sz="4" w:space="0" w:color="auto"/>
              <w:right w:val="single" w:sz="4" w:space="0" w:color="auto"/>
            </w:tcBorders>
            <w:shd w:val="clear" w:color="000000" w:fill="C5D9F1"/>
            <w:noWrap/>
            <w:vAlign w:val="center"/>
            <w:hideMark/>
          </w:tcPr>
          <w:p w14:paraId="0B0B7A7E" w14:textId="77777777" w:rsidR="008A5924" w:rsidRPr="00184700" w:rsidRDefault="008A5924" w:rsidP="008A5924">
            <w:pPr>
              <w:jc w:val="right"/>
              <w:rPr>
                <w:b/>
                <w:bCs/>
                <w:sz w:val="18"/>
                <w:szCs w:val="18"/>
                <w:lang w:eastAsia="es-GT"/>
              </w:rPr>
            </w:pPr>
            <w:r w:rsidRPr="00184700">
              <w:rPr>
                <w:b/>
                <w:bCs/>
                <w:sz w:val="18"/>
                <w:szCs w:val="18"/>
                <w:lang w:eastAsia="es-GT"/>
              </w:rPr>
              <w:t>273,513.80</w:t>
            </w:r>
          </w:p>
        </w:tc>
        <w:tc>
          <w:tcPr>
            <w:tcW w:w="1095" w:type="dxa"/>
            <w:tcBorders>
              <w:top w:val="nil"/>
              <w:left w:val="nil"/>
              <w:bottom w:val="single" w:sz="4" w:space="0" w:color="auto"/>
              <w:right w:val="single" w:sz="4" w:space="0" w:color="auto"/>
            </w:tcBorders>
            <w:shd w:val="clear" w:color="000000" w:fill="C5D9F1"/>
            <w:noWrap/>
            <w:vAlign w:val="center"/>
            <w:hideMark/>
          </w:tcPr>
          <w:p w14:paraId="5266F6D5" w14:textId="77777777" w:rsidR="008A5924" w:rsidRPr="00184700" w:rsidRDefault="008A5924" w:rsidP="008A5924">
            <w:pPr>
              <w:jc w:val="right"/>
              <w:rPr>
                <w:b/>
                <w:bCs/>
                <w:sz w:val="18"/>
                <w:szCs w:val="18"/>
                <w:lang w:eastAsia="es-GT"/>
              </w:rPr>
            </w:pPr>
            <w:r w:rsidRPr="00184700">
              <w:rPr>
                <w:b/>
                <w:bCs/>
                <w:sz w:val="18"/>
                <w:szCs w:val="18"/>
                <w:lang w:eastAsia="es-GT"/>
              </w:rPr>
              <w:t>83,444.42</w:t>
            </w:r>
          </w:p>
        </w:tc>
        <w:tc>
          <w:tcPr>
            <w:tcW w:w="1208" w:type="dxa"/>
            <w:tcBorders>
              <w:top w:val="nil"/>
              <w:left w:val="nil"/>
              <w:bottom w:val="single" w:sz="4" w:space="0" w:color="auto"/>
              <w:right w:val="single" w:sz="4" w:space="0" w:color="auto"/>
            </w:tcBorders>
            <w:shd w:val="clear" w:color="000000" w:fill="C5D9F1"/>
            <w:noWrap/>
            <w:vAlign w:val="center"/>
            <w:hideMark/>
          </w:tcPr>
          <w:p w14:paraId="53183905" w14:textId="77777777" w:rsidR="008A5924" w:rsidRPr="00184700" w:rsidRDefault="008A5924" w:rsidP="008A5924">
            <w:pPr>
              <w:jc w:val="right"/>
              <w:rPr>
                <w:b/>
                <w:bCs/>
                <w:sz w:val="18"/>
                <w:szCs w:val="18"/>
                <w:lang w:eastAsia="es-GT"/>
              </w:rPr>
            </w:pPr>
            <w:r w:rsidRPr="00184700">
              <w:rPr>
                <w:b/>
                <w:bCs/>
                <w:sz w:val="18"/>
                <w:szCs w:val="18"/>
                <w:lang w:eastAsia="es-GT"/>
              </w:rPr>
              <w:t>115,118.77</w:t>
            </w:r>
          </w:p>
        </w:tc>
        <w:tc>
          <w:tcPr>
            <w:tcW w:w="1133" w:type="dxa"/>
            <w:tcBorders>
              <w:top w:val="nil"/>
              <w:left w:val="nil"/>
              <w:bottom w:val="single" w:sz="4" w:space="0" w:color="auto"/>
              <w:right w:val="single" w:sz="4" w:space="0" w:color="auto"/>
            </w:tcBorders>
            <w:shd w:val="clear" w:color="000000" w:fill="C5D9F1"/>
            <w:noWrap/>
            <w:vAlign w:val="center"/>
            <w:hideMark/>
          </w:tcPr>
          <w:p w14:paraId="63506761" w14:textId="77777777" w:rsidR="008A5924" w:rsidRPr="00184700" w:rsidRDefault="008A5924" w:rsidP="008A5924">
            <w:pPr>
              <w:jc w:val="right"/>
              <w:rPr>
                <w:b/>
                <w:bCs/>
                <w:sz w:val="18"/>
                <w:szCs w:val="18"/>
                <w:lang w:eastAsia="es-GT"/>
              </w:rPr>
            </w:pPr>
            <w:r w:rsidRPr="00184700">
              <w:rPr>
                <w:b/>
                <w:bCs/>
                <w:sz w:val="18"/>
                <w:szCs w:val="18"/>
                <w:lang w:eastAsia="es-GT"/>
              </w:rPr>
              <w:t>74,950.94</w:t>
            </w:r>
          </w:p>
        </w:tc>
        <w:tc>
          <w:tcPr>
            <w:tcW w:w="1204" w:type="dxa"/>
            <w:tcBorders>
              <w:top w:val="nil"/>
              <w:left w:val="nil"/>
              <w:bottom w:val="single" w:sz="4" w:space="0" w:color="auto"/>
              <w:right w:val="single" w:sz="4" w:space="0" w:color="auto"/>
            </w:tcBorders>
            <w:shd w:val="clear" w:color="000000" w:fill="C5D9F1"/>
            <w:noWrap/>
            <w:vAlign w:val="center"/>
            <w:hideMark/>
          </w:tcPr>
          <w:p w14:paraId="1E9AEA07" w14:textId="77777777" w:rsidR="008A5924" w:rsidRPr="00184700" w:rsidRDefault="008A5924" w:rsidP="008A5924">
            <w:pPr>
              <w:jc w:val="right"/>
              <w:rPr>
                <w:b/>
                <w:bCs/>
                <w:sz w:val="18"/>
                <w:szCs w:val="18"/>
                <w:lang w:eastAsia="es-GT"/>
              </w:rPr>
            </w:pPr>
            <w:r w:rsidRPr="00184700">
              <w:rPr>
                <w:b/>
                <w:bCs/>
                <w:sz w:val="18"/>
                <w:szCs w:val="18"/>
                <w:lang w:eastAsia="es-GT"/>
              </w:rPr>
              <w:t>95.13</w:t>
            </w:r>
          </w:p>
        </w:tc>
        <w:tc>
          <w:tcPr>
            <w:tcW w:w="823" w:type="dxa"/>
            <w:tcBorders>
              <w:top w:val="nil"/>
              <w:left w:val="nil"/>
              <w:bottom w:val="single" w:sz="4" w:space="0" w:color="auto"/>
              <w:right w:val="single" w:sz="4" w:space="0" w:color="auto"/>
            </w:tcBorders>
            <w:shd w:val="clear" w:color="000000" w:fill="C5D9F1"/>
            <w:noWrap/>
            <w:vAlign w:val="center"/>
            <w:hideMark/>
          </w:tcPr>
          <w:p w14:paraId="3810D6B3" w14:textId="77777777" w:rsidR="008A5924" w:rsidRPr="00184700" w:rsidRDefault="008A5924" w:rsidP="008A5924">
            <w:pPr>
              <w:keepNext/>
              <w:jc w:val="right"/>
              <w:rPr>
                <w:b/>
                <w:bCs/>
                <w:sz w:val="18"/>
                <w:szCs w:val="18"/>
                <w:lang w:eastAsia="es-GT"/>
              </w:rPr>
            </w:pPr>
            <w:r w:rsidRPr="00184700">
              <w:rPr>
                <w:b/>
                <w:bCs/>
                <w:sz w:val="18"/>
                <w:szCs w:val="18"/>
                <w:lang w:eastAsia="es-GT"/>
              </w:rPr>
              <w:t>357.08</w:t>
            </w:r>
          </w:p>
        </w:tc>
      </w:tr>
    </w:tbl>
    <w:p w14:paraId="78DFBD9F" w14:textId="77777777" w:rsidR="008A5924" w:rsidRPr="00131D15" w:rsidRDefault="00595203" w:rsidP="008A5924">
      <w:pPr>
        <w:jc w:val="both"/>
        <w:rPr>
          <w:sz w:val="16"/>
          <w:lang w:val="es-MX"/>
        </w:rPr>
      </w:pPr>
      <w:r w:rsidRPr="00551FD4">
        <w:rPr>
          <w:b/>
          <w:sz w:val="16"/>
          <w:lang w:val="es-MX"/>
        </w:rPr>
        <w:t xml:space="preserve">                    </w:t>
      </w:r>
      <w:r w:rsidR="008A5924" w:rsidRPr="00551FD4">
        <w:rPr>
          <w:b/>
          <w:sz w:val="18"/>
          <w:lang w:val="es-MX"/>
        </w:rPr>
        <w:t>Fuente:</w:t>
      </w:r>
      <w:r w:rsidR="008A5924" w:rsidRPr="00595203">
        <w:rPr>
          <w:sz w:val="18"/>
          <w:lang w:val="es-MX"/>
        </w:rPr>
        <w:t xml:space="preserve"> Cifras INAB, SICOIN</w:t>
      </w:r>
      <w:r w:rsidR="008A5924" w:rsidRPr="00131D15">
        <w:rPr>
          <w:sz w:val="16"/>
          <w:lang w:val="es-MX"/>
        </w:rPr>
        <w:t>.</w:t>
      </w:r>
    </w:p>
    <w:p w14:paraId="3A7A65BD" w14:textId="77777777" w:rsidR="008A5924" w:rsidRPr="00184700" w:rsidRDefault="008A5924" w:rsidP="008A5924">
      <w:pPr>
        <w:jc w:val="both"/>
        <w:rPr>
          <w:lang w:val="es-MX"/>
        </w:rPr>
      </w:pPr>
    </w:p>
    <w:p w14:paraId="049DC992" w14:textId="77777777" w:rsidR="008A5924" w:rsidRPr="003648F1" w:rsidRDefault="008A5924" w:rsidP="00551FD4">
      <w:pPr>
        <w:jc w:val="both"/>
        <w:rPr>
          <w:sz w:val="24"/>
          <w:szCs w:val="24"/>
          <w:shd w:val="clear" w:color="auto" w:fill="FFFFFF"/>
        </w:rPr>
      </w:pPr>
      <w:r w:rsidRPr="003648F1">
        <w:rPr>
          <w:sz w:val="24"/>
          <w:szCs w:val="24"/>
          <w:shd w:val="clear" w:color="auto" w:fill="FFFFFF"/>
        </w:rPr>
        <w:t>Con el objetivo de mejorar la capacidad de respuesta ante este tipo de eventos el Plan de Acción Nacional de Cambio Climático, establece para el Ministerio de Finanzas Públicas la corresponsabilidad de Fortalecer las capacidades financieras, de Gestión y Coordinación del Sistema Nacional de Prevención y Control de Incendios Forestales –SIPECIF-</w:t>
      </w:r>
      <w:r w:rsidRPr="003648F1">
        <w:rPr>
          <w:rStyle w:val="Refdenotaalpie"/>
          <w:sz w:val="24"/>
          <w:szCs w:val="24"/>
          <w:shd w:val="clear" w:color="auto" w:fill="FFFFFF"/>
        </w:rPr>
        <w:footnoteReference w:id="19"/>
      </w:r>
      <w:r w:rsidRPr="003648F1">
        <w:rPr>
          <w:sz w:val="24"/>
          <w:szCs w:val="24"/>
          <w:shd w:val="clear" w:color="auto" w:fill="FFFFFF"/>
        </w:rPr>
        <w:t>.</w:t>
      </w:r>
    </w:p>
    <w:p w14:paraId="344AAB93" w14:textId="77777777" w:rsidR="008A5924" w:rsidRPr="003648F1" w:rsidRDefault="008A5924" w:rsidP="008A5924">
      <w:pPr>
        <w:autoSpaceDE w:val="0"/>
        <w:autoSpaceDN w:val="0"/>
        <w:adjustRightInd w:val="0"/>
        <w:rPr>
          <w:sz w:val="24"/>
          <w:szCs w:val="24"/>
          <w:shd w:val="clear" w:color="auto" w:fill="FFFFFF"/>
        </w:rPr>
      </w:pPr>
    </w:p>
    <w:p w14:paraId="2FA4EF75" w14:textId="77777777" w:rsidR="008A5924" w:rsidRPr="003648F1" w:rsidRDefault="008A5924" w:rsidP="008A5924">
      <w:pPr>
        <w:jc w:val="both"/>
        <w:rPr>
          <w:sz w:val="24"/>
          <w:szCs w:val="24"/>
          <w:shd w:val="clear" w:color="auto" w:fill="FFFFFF"/>
        </w:rPr>
      </w:pPr>
      <w:r w:rsidRPr="003648F1">
        <w:rPr>
          <w:sz w:val="24"/>
          <w:szCs w:val="24"/>
          <w:shd w:val="clear" w:color="auto" w:fill="FFFFFF"/>
        </w:rPr>
        <w:t>Para el cumplimiento de lo establecido en el PANCC, se sugiere la realización de las siguientes acciones:</w:t>
      </w:r>
    </w:p>
    <w:p w14:paraId="6583392A" w14:textId="77777777" w:rsidR="008A5924" w:rsidRPr="003648F1" w:rsidRDefault="008A5924" w:rsidP="008A5924">
      <w:pPr>
        <w:jc w:val="both"/>
        <w:rPr>
          <w:sz w:val="24"/>
          <w:szCs w:val="24"/>
          <w:shd w:val="clear" w:color="auto" w:fill="FFFFFF"/>
        </w:rPr>
      </w:pPr>
    </w:p>
    <w:p w14:paraId="7634DC0B" w14:textId="77777777" w:rsidR="008A5924" w:rsidRPr="003648F1" w:rsidRDefault="008A5924" w:rsidP="00DD6292">
      <w:pPr>
        <w:pStyle w:val="Prrafodelista"/>
        <w:widowControl/>
        <w:numPr>
          <w:ilvl w:val="0"/>
          <w:numId w:val="16"/>
        </w:numPr>
        <w:spacing w:after="200" w:line="276" w:lineRule="auto"/>
        <w:jc w:val="both"/>
        <w:rPr>
          <w:sz w:val="24"/>
          <w:szCs w:val="24"/>
          <w:shd w:val="clear" w:color="auto" w:fill="FFFFFF"/>
        </w:rPr>
      </w:pPr>
      <w:r w:rsidRPr="003648F1">
        <w:rPr>
          <w:sz w:val="24"/>
          <w:szCs w:val="24"/>
          <w:shd w:val="clear" w:color="auto" w:fill="FFFFFF"/>
        </w:rPr>
        <w:t>Establecer una mesa técnica interinstitucional para el diseño y análisis de la viabilidad de implementar mecanismos financieros de retención o transferencia de riesgo para la atención de incendios forestales</w:t>
      </w:r>
    </w:p>
    <w:p w14:paraId="64EA7F64" w14:textId="77777777" w:rsidR="008A5924" w:rsidRPr="003648F1" w:rsidRDefault="008A5924" w:rsidP="008A5924">
      <w:pPr>
        <w:pStyle w:val="Prrafodelista"/>
        <w:jc w:val="both"/>
        <w:rPr>
          <w:sz w:val="24"/>
          <w:szCs w:val="24"/>
          <w:shd w:val="clear" w:color="auto" w:fill="FFFFFF"/>
        </w:rPr>
      </w:pPr>
    </w:p>
    <w:p w14:paraId="132600AA" w14:textId="42F12F46" w:rsidR="008A5924" w:rsidRPr="003648F1" w:rsidRDefault="008A5924" w:rsidP="008A5924">
      <w:pPr>
        <w:pStyle w:val="Prrafodelista"/>
        <w:jc w:val="both"/>
        <w:rPr>
          <w:sz w:val="24"/>
          <w:szCs w:val="24"/>
          <w:shd w:val="clear" w:color="auto" w:fill="FFFFFF"/>
        </w:rPr>
      </w:pPr>
      <w:r w:rsidRPr="003648F1">
        <w:rPr>
          <w:sz w:val="24"/>
          <w:szCs w:val="24"/>
          <w:shd w:val="clear" w:color="auto" w:fill="FFFFFF"/>
        </w:rPr>
        <w:t xml:space="preserve">La mesa podrá ser conformada por el Instituto Nacional de Bosques INAB; Ministerio de Ambiente y Recursos Naturales MARN; Instituto Nacional de Sismología, Vulcanología, Meteorología e Hidrología INSIVUMEH; Consejo Nacional de Áreas Protegidas CONAP; </w:t>
      </w:r>
      <w:r w:rsidR="00056555" w:rsidRPr="003648F1">
        <w:rPr>
          <w:sz w:val="24"/>
          <w:szCs w:val="24"/>
          <w:shd w:val="clear" w:color="auto" w:fill="FFFFFF"/>
        </w:rPr>
        <w:t>Coordinará</w:t>
      </w:r>
      <w:r w:rsidRPr="003648F1">
        <w:rPr>
          <w:sz w:val="24"/>
          <w:szCs w:val="24"/>
          <w:shd w:val="clear" w:color="auto" w:fill="FFFFFF"/>
        </w:rPr>
        <w:t xml:space="preserve"> Nacional para la Reducción de Desastres CONRED; Secretar</w:t>
      </w:r>
      <w:r w:rsidR="006812CD">
        <w:rPr>
          <w:sz w:val="24"/>
          <w:szCs w:val="24"/>
          <w:shd w:val="clear" w:color="auto" w:fill="FFFFFF"/>
        </w:rPr>
        <w:t>í</w:t>
      </w:r>
      <w:r w:rsidRPr="003648F1">
        <w:rPr>
          <w:sz w:val="24"/>
          <w:szCs w:val="24"/>
          <w:shd w:val="clear" w:color="auto" w:fill="FFFFFF"/>
        </w:rPr>
        <w:t xml:space="preserve">a de Planificación y Programación </w:t>
      </w:r>
      <w:r w:rsidR="00595203" w:rsidRPr="003648F1">
        <w:rPr>
          <w:sz w:val="24"/>
          <w:szCs w:val="24"/>
          <w:shd w:val="clear" w:color="auto" w:fill="FFFFFF"/>
        </w:rPr>
        <w:t>de la Presidencia SEGEPLAN</w:t>
      </w:r>
      <w:r w:rsidRPr="003648F1">
        <w:rPr>
          <w:sz w:val="24"/>
          <w:szCs w:val="24"/>
          <w:shd w:val="clear" w:color="auto" w:fill="FFFFFF"/>
        </w:rPr>
        <w:t xml:space="preserve"> y Ministerio de Finanzas Públicas MINFIN.</w:t>
      </w:r>
    </w:p>
    <w:p w14:paraId="33F42B5D" w14:textId="77777777" w:rsidR="008A5924" w:rsidRPr="003648F1" w:rsidRDefault="008A5924" w:rsidP="008A5924">
      <w:pPr>
        <w:pStyle w:val="Prrafodelista"/>
        <w:jc w:val="both"/>
        <w:rPr>
          <w:sz w:val="24"/>
          <w:szCs w:val="24"/>
          <w:shd w:val="clear" w:color="auto" w:fill="FFFFFF"/>
        </w:rPr>
      </w:pPr>
    </w:p>
    <w:p w14:paraId="39304BB4" w14:textId="77777777" w:rsidR="008A5924" w:rsidRPr="003648F1" w:rsidRDefault="008A5924" w:rsidP="00DD6292">
      <w:pPr>
        <w:pStyle w:val="Prrafodelista"/>
        <w:widowControl/>
        <w:numPr>
          <w:ilvl w:val="0"/>
          <w:numId w:val="16"/>
        </w:numPr>
        <w:spacing w:after="200" w:line="276" w:lineRule="auto"/>
        <w:jc w:val="both"/>
        <w:rPr>
          <w:sz w:val="24"/>
          <w:szCs w:val="24"/>
          <w:shd w:val="clear" w:color="auto" w:fill="FFFFFF"/>
        </w:rPr>
      </w:pPr>
      <w:r w:rsidRPr="003648F1">
        <w:rPr>
          <w:sz w:val="24"/>
          <w:szCs w:val="24"/>
          <w:shd w:val="clear" w:color="auto" w:fill="FFFFFF"/>
        </w:rPr>
        <w:t>Solicitar el acompañamiento y la asistencia técnica de entidades con relación y experiencia en el diseño e implementación de este tipo de instrumentos</w:t>
      </w:r>
    </w:p>
    <w:p w14:paraId="0CD505B8" w14:textId="77777777" w:rsidR="008A5924" w:rsidRPr="00131D15" w:rsidRDefault="008A5924" w:rsidP="008A5924">
      <w:pPr>
        <w:jc w:val="both"/>
        <w:rPr>
          <w:shd w:val="clear" w:color="auto" w:fill="FFFFFF"/>
        </w:rPr>
      </w:pPr>
      <w:r w:rsidRPr="003648F1">
        <w:rPr>
          <w:sz w:val="24"/>
          <w:szCs w:val="24"/>
          <w:shd w:val="clear" w:color="auto" w:fill="FFFFFF"/>
        </w:rPr>
        <w:t>La mesa técnica y el grupo asesor tendrán la función de</w:t>
      </w:r>
      <w:r w:rsidRPr="00131D15">
        <w:rPr>
          <w:shd w:val="clear" w:color="auto" w:fill="FFFFFF"/>
        </w:rPr>
        <w:t>:</w:t>
      </w:r>
    </w:p>
    <w:p w14:paraId="634928B3" w14:textId="77777777" w:rsidR="008A5924" w:rsidRPr="00131D15" w:rsidRDefault="008A5924" w:rsidP="008A5924">
      <w:pPr>
        <w:pStyle w:val="Default"/>
        <w:rPr>
          <w:rFonts w:ascii="Times New Roman" w:hAnsi="Times New Roman" w:cs="Times New Roman"/>
          <w:color w:val="auto"/>
          <w:shd w:val="clear" w:color="auto" w:fill="FFFFFF"/>
        </w:rPr>
      </w:pPr>
    </w:p>
    <w:p w14:paraId="08AB5876" w14:textId="77777777" w:rsidR="008A5924" w:rsidRPr="00131D15" w:rsidRDefault="008A5924" w:rsidP="00DD6292">
      <w:pPr>
        <w:pStyle w:val="Default"/>
        <w:numPr>
          <w:ilvl w:val="0"/>
          <w:numId w:val="16"/>
        </w:numPr>
        <w:jc w:val="both"/>
        <w:rPr>
          <w:rFonts w:ascii="Times New Roman" w:hAnsi="Times New Roman" w:cs="Times New Roman"/>
          <w:color w:val="auto"/>
          <w:shd w:val="clear" w:color="auto" w:fill="FFFFFF"/>
        </w:rPr>
      </w:pPr>
      <w:r w:rsidRPr="00131D15">
        <w:rPr>
          <w:rFonts w:ascii="Times New Roman" w:hAnsi="Times New Roman" w:cs="Times New Roman"/>
          <w:color w:val="auto"/>
          <w:shd w:val="clear" w:color="auto" w:fill="FFFFFF"/>
        </w:rPr>
        <w:t xml:space="preserve">Definir el o los instrumentos con mayor viabilidad de aplicación en el país, sea de retención de riesgo (Restablecimiento del SIPECIF) o bien de transferencia de riesgo (seguros contra incendios forestales); Abordando los aspectos legales, institucionales, operativos y financieros requeridos para la implementación y operación del instrumento. </w:t>
      </w:r>
    </w:p>
    <w:p w14:paraId="306D5CE4" w14:textId="77777777" w:rsidR="008A5924" w:rsidRPr="00131D15" w:rsidRDefault="008A5924" w:rsidP="008A5924">
      <w:pPr>
        <w:pStyle w:val="Default"/>
        <w:jc w:val="both"/>
        <w:rPr>
          <w:rFonts w:ascii="Times New Roman" w:hAnsi="Times New Roman" w:cs="Times New Roman"/>
          <w:color w:val="auto"/>
          <w:shd w:val="clear" w:color="auto" w:fill="FFFFFF"/>
        </w:rPr>
      </w:pPr>
    </w:p>
    <w:p w14:paraId="6E916F3E" w14:textId="77777777" w:rsidR="008A5924" w:rsidRPr="00131D15" w:rsidRDefault="008A5924" w:rsidP="00DD6292">
      <w:pPr>
        <w:pStyle w:val="Default"/>
        <w:numPr>
          <w:ilvl w:val="0"/>
          <w:numId w:val="16"/>
        </w:numPr>
        <w:jc w:val="both"/>
        <w:rPr>
          <w:rFonts w:ascii="Times New Roman" w:hAnsi="Times New Roman" w:cs="Times New Roman"/>
          <w:color w:val="auto"/>
          <w:shd w:val="clear" w:color="auto" w:fill="FFFFFF"/>
        </w:rPr>
      </w:pPr>
      <w:r w:rsidRPr="00131D15">
        <w:rPr>
          <w:rFonts w:ascii="Times New Roman" w:hAnsi="Times New Roman" w:cs="Times New Roman"/>
          <w:color w:val="auto"/>
          <w:shd w:val="clear" w:color="auto" w:fill="FFFFFF"/>
        </w:rPr>
        <w:t>Establecer e implementar un sistema de alerta temprana que permita la detección y control en tiempo oportuno de incendios forestales, con participación y coordinación con grupos organizados en las comunidades y las municipalidades.</w:t>
      </w:r>
    </w:p>
    <w:p w14:paraId="5C658440" w14:textId="77777777" w:rsidR="008A5924" w:rsidRPr="00131D15" w:rsidRDefault="008A5924" w:rsidP="008A5924">
      <w:pPr>
        <w:pStyle w:val="Prrafodelista"/>
        <w:rPr>
          <w:shd w:val="clear" w:color="auto" w:fill="FFFFFF"/>
        </w:rPr>
      </w:pPr>
    </w:p>
    <w:p w14:paraId="3D8F664A" w14:textId="77777777" w:rsidR="008A5924" w:rsidRPr="00131D15" w:rsidRDefault="008A5924" w:rsidP="00DD6292">
      <w:pPr>
        <w:pStyle w:val="Default"/>
        <w:numPr>
          <w:ilvl w:val="0"/>
          <w:numId w:val="16"/>
        </w:numPr>
        <w:jc w:val="both"/>
        <w:rPr>
          <w:rFonts w:ascii="Times New Roman" w:hAnsi="Times New Roman" w:cs="Times New Roman"/>
          <w:color w:val="auto"/>
          <w:shd w:val="clear" w:color="auto" w:fill="FFFFFF"/>
        </w:rPr>
      </w:pPr>
      <w:r w:rsidRPr="00131D15">
        <w:rPr>
          <w:rFonts w:ascii="Times New Roman" w:hAnsi="Times New Roman" w:cs="Times New Roman"/>
          <w:color w:val="auto"/>
          <w:shd w:val="clear" w:color="auto" w:fill="FFFFFF"/>
        </w:rPr>
        <w:t>Analizar los mecanismos para fortalecer presupuestariamente las acciones consid</w:t>
      </w:r>
      <w:r w:rsidR="00551FD4">
        <w:rPr>
          <w:rFonts w:ascii="Times New Roman" w:hAnsi="Times New Roman" w:cs="Times New Roman"/>
          <w:color w:val="auto"/>
          <w:shd w:val="clear" w:color="auto" w:fill="FFFFFF"/>
        </w:rPr>
        <w:t>eradas en el p</w:t>
      </w:r>
      <w:r w:rsidRPr="00131D15">
        <w:rPr>
          <w:rFonts w:ascii="Times New Roman" w:hAnsi="Times New Roman" w:cs="Times New Roman"/>
          <w:color w:val="auto"/>
          <w:shd w:val="clear" w:color="auto" w:fill="FFFFFF"/>
        </w:rPr>
        <w:t>rotocolo nacional de temporada de incendios forestales.</w:t>
      </w:r>
    </w:p>
    <w:p w14:paraId="4153F2F5" w14:textId="77777777" w:rsidR="008A5924" w:rsidRPr="00131D15" w:rsidRDefault="008A5924" w:rsidP="008A5924"/>
    <w:p w14:paraId="4C9C852F" w14:textId="77777777" w:rsidR="008C102B" w:rsidRPr="008A5924" w:rsidRDefault="008C102B" w:rsidP="008A5924"/>
    <w:sectPr w:rsidR="008C102B" w:rsidRPr="008A5924" w:rsidSect="006812CD">
      <w:pgSz w:w="12240" w:h="15840" w:code="1"/>
      <w:pgMar w:top="1531" w:right="1134" w:bottom="1418" w:left="1134" w:header="397" w:footer="59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1D58C" w14:textId="77777777" w:rsidR="00397E2B" w:rsidRDefault="00397E2B">
      <w:r>
        <w:separator/>
      </w:r>
    </w:p>
  </w:endnote>
  <w:endnote w:type="continuationSeparator" w:id="0">
    <w:p w14:paraId="59520A06" w14:textId="77777777" w:rsidR="00397E2B" w:rsidRDefault="0039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dada">
    <w:altName w:val="Cambria"/>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erylium">
    <w:altName w:val="Times New Roman"/>
    <w:charset w:val="00"/>
    <w:family w:val="auto"/>
    <w:pitch w:val="variable"/>
    <w:sig w:usb0="A00000AF" w:usb1="0000004A"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900700"/>
      <w:docPartObj>
        <w:docPartGallery w:val="Page Numbers (Bottom of Page)"/>
        <w:docPartUnique/>
      </w:docPartObj>
    </w:sdtPr>
    <w:sdtContent>
      <w:p w14:paraId="4C084E16" w14:textId="43135952" w:rsidR="006812CD" w:rsidRDefault="006812CD">
        <w:pPr>
          <w:pStyle w:val="Piedepgina"/>
          <w:jc w:val="center"/>
        </w:pPr>
        <w:r>
          <w:rPr>
            <w:noProof/>
          </w:rPr>
          <mc:AlternateContent>
            <mc:Choice Requires="wps">
              <w:drawing>
                <wp:inline distT="0" distB="0" distL="0" distR="0" wp14:anchorId="5F2C6AD8" wp14:editId="645D2286">
                  <wp:extent cx="5467350" cy="45085"/>
                  <wp:effectExtent l="9525" t="9525" r="0" b="2540"/>
                  <wp:docPr id="2" name="Diagrama de flujo: decisión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D2D805F" id="_x0000_t110" coordsize="21600,21600" o:spt="110" path="m10800,l,10800,10800,21600,21600,10800xe">
                  <v:stroke joinstyle="miter"/>
                  <v:path gradientshapeok="t" o:connecttype="rect" textboxrect="5400,5400,16200,16200"/>
                </v:shapetype>
                <v:shape id="Diagrama de flujo: decisión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3pk770ICAABo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75A87383" w14:textId="482EB645" w:rsidR="006812CD" w:rsidRDefault="006812CD">
        <w:pPr>
          <w:pStyle w:val="Piedepgina"/>
          <w:jc w:val="center"/>
        </w:pPr>
        <w:r>
          <w:fldChar w:fldCharType="begin"/>
        </w:r>
        <w:r>
          <w:instrText>PAGE    \* MERGEFORMAT</w:instrText>
        </w:r>
        <w:r>
          <w:fldChar w:fldCharType="separate"/>
        </w:r>
        <w:r>
          <w:rPr>
            <w:lang w:val="es-ES"/>
          </w:rPr>
          <w:t>2</w:t>
        </w:r>
        <w:r>
          <w:fldChar w:fldCharType="end"/>
        </w:r>
      </w:p>
    </w:sdtContent>
  </w:sdt>
  <w:p w14:paraId="76220DE4" w14:textId="77777777" w:rsidR="001B7290" w:rsidRPr="007242E5" w:rsidRDefault="001B7290" w:rsidP="00463517">
    <w:pPr>
      <w:ind w:left="476"/>
      <w:jc w:val="center"/>
      <w:rPr>
        <w:b/>
        <w:i/>
        <w:color w:val="003399"/>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F7363" w14:textId="77777777" w:rsidR="00397E2B" w:rsidRDefault="00397E2B">
      <w:r>
        <w:separator/>
      </w:r>
    </w:p>
  </w:footnote>
  <w:footnote w:type="continuationSeparator" w:id="0">
    <w:p w14:paraId="1EACD0BA" w14:textId="77777777" w:rsidR="00397E2B" w:rsidRDefault="00397E2B">
      <w:r>
        <w:continuationSeparator/>
      </w:r>
    </w:p>
  </w:footnote>
  <w:footnote w:id="1">
    <w:p w14:paraId="4B5656CA" w14:textId="77777777" w:rsidR="001B7290" w:rsidRPr="004E400F" w:rsidRDefault="001B7290" w:rsidP="00383BB0">
      <w:pPr>
        <w:pStyle w:val="Textonotapie"/>
        <w:ind w:left="113" w:hanging="113"/>
        <w:jc w:val="both"/>
        <w:rPr>
          <w:b/>
          <w:sz w:val="16"/>
          <w:szCs w:val="16"/>
        </w:rPr>
      </w:pPr>
      <w:r w:rsidRPr="004E400F">
        <w:rPr>
          <w:rStyle w:val="Refdenotaalpie"/>
          <w:b/>
          <w:sz w:val="16"/>
          <w:szCs w:val="16"/>
        </w:rPr>
        <w:footnoteRef/>
      </w:r>
      <w:r w:rsidRPr="004E400F">
        <w:rPr>
          <w:b/>
          <w:sz w:val="16"/>
          <w:szCs w:val="16"/>
        </w:rPr>
        <w:t xml:space="preserve"> </w:t>
      </w:r>
      <w:r w:rsidRPr="004E400F">
        <w:rPr>
          <w:rStyle w:val="Textoennegrita"/>
          <w:b w:val="0"/>
          <w:sz w:val="16"/>
          <w:szCs w:val="16"/>
          <w:shd w:val="clear" w:color="auto" w:fill="FFFFFF"/>
        </w:rPr>
        <w:t>Es un punto de referencia utilizado para medir el rendimiento de una inversión. Se trata de un indicador financiero utilizado como herramienta de comparación para evaluar el rendimiento de una inversión.</w:t>
      </w:r>
    </w:p>
  </w:footnote>
  <w:footnote w:id="2">
    <w:p w14:paraId="4A4C731A" w14:textId="77777777" w:rsidR="001B7290" w:rsidRPr="00AE116A" w:rsidRDefault="001B7290">
      <w:pPr>
        <w:pStyle w:val="Textonotapie"/>
        <w:rPr>
          <w:sz w:val="14"/>
          <w:szCs w:val="14"/>
        </w:rPr>
      </w:pPr>
      <w:r w:rsidRPr="00AE116A">
        <w:rPr>
          <w:rStyle w:val="Refdenotaalpie"/>
          <w:sz w:val="16"/>
          <w:szCs w:val="16"/>
        </w:rPr>
        <w:footnoteRef/>
      </w:r>
      <w:r w:rsidRPr="00AE116A">
        <w:rPr>
          <w:sz w:val="16"/>
          <w:szCs w:val="16"/>
        </w:rPr>
        <w:t xml:space="preserve"> </w:t>
      </w:r>
      <w:r w:rsidRPr="00AE116A">
        <w:rPr>
          <w:sz w:val="14"/>
          <w:szCs w:val="14"/>
        </w:rPr>
        <w:t>Muestra el riesgo de desastre. A mayor índice se tiene mayor riesgo.</w:t>
      </w:r>
    </w:p>
  </w:footnote>
  <w:footnote w:id="3">
    <w:p w14:paraId="71E87F9D" w14:textId="77777777" w:rsidR="001B7290" w:rsidRPr="001203DD" w:rsidRDefault="001B7290" w:rsidP="008A5924">
      <w:pPr>
        <w:pStyle w:val="Textonotapie"/>
        <w:rPr>
          <w:sz w:val="14"/>
          <w:szCs w:val="14"/>
        </w:rPr>
      </w:pPr>
      <w:r w:rsidRPr="001203DD">
        <w:rPr>
          <w:rStyle w:val="Refdenotaalpie"/>
          <w:sz w:val="14"/>
          <w:szCs w:val="14"/>
        </w:rPr>
        <w:footnoteRef/>
      </w:r>
      <w:r w:rsidRPr="001203DD">
        <w:rPr>
          <w:sz w:val="14"/>
          <w:szCs w:val="14"/>
        </w:rPr>
        <w:t xml:space="preserve"> Datos preliminares, al 1 de agosto de 2019</w:t>
      </w:r>
    </w:p>
  </w:footnote>
  <w:footnote w:id="4">
    <w:p w14:paraId="7F749BB3" w14:textId="77777777" w:rsidR="001B7290" w:rsidRPr="001203DD" w:rsidRDefault="001B7290" w:rsidP="008A5924">
      <w:pPr>
        <w:pStyle w:val="Textonotapie"/>
        <w:rPr>
          <w:sz w:val="14"/>
          <w:szCs w:val="14"/>
        </w:rPr>
      </w:pPr>
      <w:r w:rsidRPr="001203DD">
        <w:rPr>
          <w:rStyle w:val="Refdenotaalpie"/>
          <w:sz w:val="14"/>
          <w:szCs w:val="14"/>
        </w:rPr>
        <w:footnoteRef/>
      </w:r>
      <w:r w:rsidRPr="001203DD">
        <w:rPr>
          <w:sz w:val="14"/>
          <w:szCs w:val="14"/>
        </w:rPr>
        <w:t xml:space="preserve"> Explicado mayormente por el aumento del gasto público para atender la emergencia, rehabilitación y reconstrucción. </w:t>
      </w:r>
    </w:p>
  </w:footnote>
  <w:footnote w:id="5">
    <w:p w14:paraId="378610FF" w14:textId="77777777" w:rsidR="001B7290" w:rsidRPr="001203DD" w:rsidRDefault="001B7290" w:rsidP="001203DD">
      <w:pPr>
        <w:pStyle w:val="Textonotapie"/>
        <w:ind w:left="113" w:hanging="113"/>
        <w:rPr>
          <w:sz w:val="14"/>
          <w:szCs w:val="14"/>
        </w:rPr>
      </w:pPr>
      <w:r w:rsidRPr="001203DD">
        <w:rPr>
          <w:rStyle w:val="Refdenotaalpie"/>
          <w:sz w:val="14"/>
          <w:szCs w:val="14"/>
        </w:rPr>
        <w:footnoteRef/>
      </w:r>
      <w:r w:rsidRPr="001203DD">
        <w:rPr>
          <w:sz w:val="14"/>
          <w:szCs w:val="14"/>
        </w:rPr>
        <w:t xml:space="preserve"> Véase:                                                                                                                                     </w:t>
      </w:r>
      <w:hyperlink r:id="rId1" w:history="1">
        <w:r w:rsidRPr="001203DD">
          <w:rPr>
            <w:rStyle w:val="Hipervnculo"/>
            <w:sz w:val="14"/>
            <w:szCs w:val="14"/>
          </w:rPr>
          <w:t>http://www.minfin.gob.gt/images/archivos/proypres2018/PROY%20PRES%202017/documentos/08-28-2017%20Separata%20de%20Riesgos%20Fiscales.pdf%20-%20Adobe%20Acrobat%20Pro.pdf</w:t>
        </w:r>
      </w:hyperlink>
      <w:r w:rsidRPr="001203DD">
        <w:rPr>
          <w:sz w:val="14"/>
          <w:szCs w:val="14"/>
        </w:rPr>
        <w:t xml:space="preserve"> página 15. </w:t>
      </w:r>
    </w:p>
  </w:footnote>
  <w:footnote w:id="6">
    <w:p w14:paraId="2D46E0ED" w14:textId="77777777" w:rsidR="001B7290" w:rsidRPr="0026523E" w:rsidRDefault="001B7290" w:rsidP="008A5924">
      <w:pPr>
        <w:pStyle w:val="Textonotapie"/>
        <w:rPr>
          <w:sz w:val="16"/>
          <w:szCs w:val="16"/>
        </w:rPr>
      </w:pPr>
      <w:r w:rsidRPr="0026523E">
        <w:rPr>
          <w:rStyle w:val="Refdenotaalpie"/>
          <w:sz w:val="16"/>
          <w:szCs w:val="16"/>
        </w:rPr>
        <w:footnoteRef/>
      </w:r>
      <w:r w:rsidRPr="0026523E">
        <w:rPr>
          <w:sz w:val="16"/>
          <w:szCs w:val="16"/>
        </w:rPr>
        <w:t xml:space="preserve"> 2019 cifras al 1 de agosto de 2019</w:t>
      </w:r>
    </w:p>
  </w:footnote>
  <w:footnote w:id="7">
    <w:p w14:paraId="132FB938" w14:textId="77777777" w:rsidR="001B7290" w:rsidRPr="00963D45" w:rsidRDefault="001B7290" w:rsidP="008A5924">
      <w:pPr>
        <w:pStyle w:val="Textonotapie"/>
      </w:pPr>
      <w:r w:rsidRPr="0026523E">
        <w:rPr>
          <w:rStyle w:val="Refdenotaalpie"/>
          <w:sz w:val="16"/>
          <w:szCs w:val="16"/>
        </w:rPr>
        <w:footnoteRef/>
      </w:r>
      <w:r w:rsidRPr="0026523E">
        <w:rPr>
          <w:sz w:val="16"/>
          <w:szCs w:val="16"/>
        </w:rPr>
        <w:t xml:space="preserve"> 2019 cifras al 1 de agosto de 2019</w:t>
      </w:r>
    </w:p>
  </w:footnote>
  <w:footnote w:id="8">
    <w:p w14:paraId="28E15A02" w14:textId="77777777" w:rsidR="001B7290" w:rsidRPr="0026523E" w:rsidRDefault="001B7290" w:rsidP="008A5924">
      <w:pPr>
        <w:pStyle w:val="Textonotapie"/>
        <w:rPr>
          <w:sz w:val="16"/>
          <w:szCs w:val="16"/>
        </w:rPr>
      </w:pPr>
      <w:r w:rsidRPr="0026523E">
        <w:rPr>
          <w:rStyle w:val="Refdenotaalpie"/>
          <w:sz w:val="16"/>
          <w:szCs w:val="16"/>
        </w:rPr>
        <w:footnoteRef/>
      </w:r>
      <w:r w:rsidRPr="0026523E">
        <w:rPr>
          <w:sz w:val="16"/>
          <w:szCs w:val="16"/>
        </w:rPr>
        <w:t xml:space="preserve"> 2019 cifras al 1 de agosto de 2019</w:t>
      </w:r>
    </w:p>
  </w:footnote>
  <w:footnote w:id="9">
    <w:p w14:paraId="6846CF33" w14:textId="77777777" w:rsidR="001B7290" w:rsidRPr="0026523E" w:rsidRDefault="001B7290" w:rsidP="003C2F1C">
      <w:pPr>
        <w:pStyle w:val="Textonotapie"/>
        <w:rPr>
          <w:sz w:val="16"/>
          <w:szCs w:val="16"/>
        </w:rPr>
      </w:pPr>
      <w:r w:rsidRPr="0026523E">
        <w:rPr>
          <w:rStyle w:val="Refdenotaalpie"/>
          <w:sz w:val="16"/>
          <w:szCs w:val="16"/>
        </w:rPr>
        <w:footnoteRef/>
      </w:r>
      <w:r w:rsidRPr="0026523E">
        <w:rPr>
          <w:sz w:val="16"/>
          <w:szCs w:val="16"/>
        </w:rPr>
        <w:t xml:space="preserve"> Préstamo pendiente de aprobación por el Congreso de la República </w:t>
      </w:r>
      <w:r>
        <w:rPr>
          <w:sz w:val="16"/>
          <w:szCs w:val="16"/>
        </w:rPr>
        <w:t>de Guatemala</w:t>
      </w:r>
    </w:p>
  </w:footnote>
  <w:footnote w:id="10">
    <w:p w14:paraId="7F87B483" w14:textId="77777777" w:rsidR="001B7290" w:rsidRPr="0026523E" w:rsidRDefault="001B7290" w:rsidP="008A5924">
      <w:pPr>
        <w:pStyle w:val="Textonotapie"/>
        <w:rPr>
          <w:rFonts w:ascii="Cambria" w:eastAsia="Malgun Gothic" w:hAnsi="Cambria"/>
          <w:sz w:val="16"/>
          <w:szCs w:val="16"/>
        </w:rPr>
      </w:pPr>
      <w:r w:rsidRPr="0026523E">
        <w:rPr>
          <w:rStyle w:val="Refdenotaalpie"/>
          <w:sz w:val="16"/>
          <w:szCs w:val="16"/>
        </w:rPr>
        <w:footnoteRef/>
      </w:r>
      <w:r w:rsidRPr="0026523E">
        <w:rPr>
          <w:sz w:val="16"/>
          <w:szCs w:val="16"/>
        </w:rPr>
        <w:t xml:space="preserve"> Dicha escala está establecida en el 18, literal c) de la Ley de Clases Pasivas Civiles del Estado, Decreto No. 63-88 del Congreso de la República</w:t>
      </w:r>
    </w:p>
  </w:footnote>
  <w:footnote w:id="11">
    <w:p w14:paraId="1424EF64" w14:textId="77777777" w:rsidR="001B7290" w:rsidRDefault="001B7290" w:rsidP="008A5924">
      <w:pPr>
        <w:pStyle w:val="Textonotapie"/>
      </w:pPr>
      <w:r w:rsidRPr="0026523E">
        <w:rPr>
          <w:rStyle w:val="Refdenotaalpie"/>
          <w:sz w:val="16"/>
          <w:szCs w:val="16"/>
        </w:rPr>
        <w:footnoteRef/>
      </w:r>
      <w:r w:rsidRPr="0026523E">
        <w:rPr>
          <w:sz w:val="16"/>
          <w:szCs w:val="16"/>
        </w:rPr>
        <w:t xml:space="preserve"> Tasa de cotización: porcentaje del sueldo que aporta al sistema de pensiones</w:t>
      </w:r>
      <w:r>
        <w:t>.</w:t>
      </w:r>
    </w:p>
  </w:footnote>
  <w:footnote w:id="12">
    <w:p w14:paraId="68009516" w14:textId="77777777" w:rsidR="001B7290" w:rsidRPr="0026523E" w:rsidRDefault="001B7290" w:rsidP="004E400F">
      <w:pPr>
        <w:pStyle w:val="Textonotapie"/>
        <w:ind w:left="170" w:hanging="170"/>
        <w:jc w:val="both"/>
        <w:rPr>
          <w:sz w:val="16"/>
          <w:szCs w:val="16"/>
          <w:lang w:val="es-MX"/>
        </w:rPr>
      </w:pPr>
      <w:r w:rsidRPr="0026523E">
        <w:rPr>
          <w:rStyle w:val="Refdenotaalpie"/>
          <w:sz w:val="16"/>
          <w:szCs w:val="16"/>
        </w:rPr>
        <w:footnoteRef/>
      </w:r>
      <w:r>
        <w:rPr>
          <w:sz w:val="16"/>
          <w:szCs w:val="16"/>
        </w:rPr>
        <w:t xml:space="preserve"> </w:t>
      </w:r>
      <w:r w:rsidRPr="0026523E">
        <w:rPr>
          <w:sz w:val="16"/>
          <w:szCs w:val="16"/>
          <w:lang w:val="es-MX"/>
        </w:rPr>
        <w:t xml:space="preserve">Esta codificación armonizada, es utilizada por el Banco de Guatemala, Superintendencia de Administración Tributaria SAT y Ministerio de Finanzas </w:t>
      </w:r>
      <w:r>
        <w:rPr>
          <w:sz w:val="16"/>
          <w:szCs w:val="16"/>
          <w:lang w:val="es-MX"/>
        </w:rPr>
        <w:t xml:space="preserve">     </w:t>
      </w:r>
      <w:r w:rsidRPr="0026523E">
        <w:rPr>
          <w:sz w:val="16"/>
          <w:szCs w:val="16"/>
          <w:lang w:val="es-MX"/>
        </w:rPr>
        <w:t xml:space="preserve">Públicas, para la producción de datos y estadísticas de acuerdo con categorías comparables a escala internacional. </w:t>
      </w:r>
    </w:p>
  </w:footnote>
  <w:footnote w:id="13">
    <w:p w14:paraId="79644AF3" w14:textId="77777777" w:rsidR="001B7290" w:rsidRPr="0026523E" w:rsidRDefault="001B7290" w:rsidP="004E400F">
      <w:pPr>
        <w:pStyle w:val="Default"/>
        <w:ind w:left="113" w:hanging="113"/>
        <w:jc w:val="both"/>
        <w:rPr>
          <w:rFonts w:ascii="Times New Roman" w:hAnsi="Times New Roman" w:cs="Times New Roman"/>
          <w:sz w:val="16"/>
          <w:szCs w:val="16"/>
          <w:lang w:val="es-MX"/>
        </w:rPr>
      </w:pPr>
      <w:r w:rsidRPr="0026523E">
        <w:rPr>
          <w:rStyle w:val="Refdenotaalpie"/>
          <w:rFonts w:ascii="Times New Roman" w:hAnsi="Times New Roman" w:cs="Times New Roman"/>
          <w:sz w:val="16"/>
          <w:szCs w:val="16"/>
        </w:rPr>
        <w:footnoteRef/>
      </w:r>
      <w:r w:rsidRPr="0026523E">
        <w:rPr>
          <w:rFonts w:ascii="Times New Roman" w:hAnsi="Times New Roman" w:cs="Times New Roman"/>
          <w:sz w:val="16"/>
          <w:szCs w:val="16"/>
        </w:rPr>
        <w:t xml:space="preserve"> </w:t>
      </w:r>
      <w:r w:rsidRPr="0026523E">
        <w:rPr>
          <w:rFonts w:ascii="Times New Roman" w:hAnsi="Times New Roman" w:cs="Times New Roman"/>
          <w:sz w:val="16"/>
          <w:szCs w:val="16"/>
          <w:lang w:val="es-MX"/>
        </w:rPr>
        <w:t>El precio promedio del petróleo crudo nacional (mezcla XAN/COBAN) para la exportación, mostró durante el período de 2008 a 2017 un comportamiento inestable relacionado con las fuertes oscilaciones de los precios del petróleo en el mercado internacional, alcanzando en el 2011 su precio más alto al ubicarse en $ 96.04 por barril, a partir de este punto, el precio declina int</w:t>
      </w:r>
      <w:r>
        <w:rPr>
          <w:rFonts w:ascii="Times New Roman" w:hAnsi="Times New Roman" w:cs="Times New Roman"/>
          <w:sz w:val="16"/>
          <w:szCs w:val="16"/>
          <w:lang w:val="es-MX"/>
        </w:rPr>
        <w:t xml:space="preserve">eranualmente. (EITI-GUA, 2018. </w:t>
      </w:r>
      <w:r w:rsidRPr="0026523E">
        <w:rPr>
          <w:rFonts w:ascii="Times New Roman" w:hAnsi="Times New Roman" w:cs="Times New Roman"/>
          <w:sz w:val="16"/>
          <w:szCs w:val="16"/>
          <w:lang w:val="es-MX"/>
        </w:rPr>
        <w:t xml:space="preserve">Cuarto Informe Nacional de Conciliación </w:t>
      </w:r>
      <w:r>
        <w:rPr>
          <w:rFonts w:ascii="Times New Roman" w:hAnsi="Times New Roman" w:cs="Times New Roman"/>
          <w:sz w:val="16"/>
          <w:szCs w:val="16"/>
          <w:lang w:val="es-MX"/>
        </w:rPr>
        <w:br/>
      </w:r>
      <w:r w:rsidRPr="0026523E">
        <w:rPr>
          <w:rFonts w:ascii="Times New Roman" w:hAnsi="Times New Roman" w:cs="Times New Roman"/>
          <w:sz w:val="16"/>
          <w:szCs w:val="16"/>
          <w:lang w:val="es-MX"/>
        </w:rPr>
        <w:t>2016-2017).</w:t>
      </w:r>
    </w:p>
    <w:p w14:paraId="179C43F1" w14:textId="77777777" w:rsidR="001B7290" w:rsidRPr="0072428C" w:rsidRDefault="001B7290" w:rsidP="008A5924">
      <w:pPr>
        <w:pStyle w:val="Textonotapie"/>
        <w:rPr>
          <w:lang w:val="es-MX"/>
        </w:rPr>
      </w:pPr>
    </w:p>
  </w:footnote>
  <w:footnote w:id="14">
    <w:p w14:paraId="60E72B2C" w14:textId="77777777" w:rsidR="001B7290" w:rsidRPr="0026523E" w:rsidRDefault="001B7290" w:rsidP="004E400F">
      <w:pPr>
        <w:pStyle w:val="Textonotapie"/>
        <w:ind w:left="113" w:hanging="113"/>
        <w:jc w:val="both"/>
        <w:rPr>
          <w:rFonts w:ascii="Arial" w:hAnsi="Arial" w:cs="Arial"/>
          <w:color w:val="000000"/>
          <w:sz w:val="16"/>
          <w:szCs w:val="16"/>
          <w:lang w:val="es-MX"/>
        </w:rPr>
      </w:pPr>
      <w:r w:rsidRPr="0026523E">
        <w:rPr>
          <w:rStyle w:val="Refdenotaalpie"/>
          <w:sz w:val="16"/>
          <w:szCs w:val="16"/>
        </w:rPr>
        <w:footnoteRef/>
      </w:r>
      <w:r w:rsidRPr="0026523E">
        <w:rPr>
          <w:sz w:val="16"/>
          <w:szCs w:val="16"/>
        </w:rPr>
        <w:t xml:space="preserve"> </w:t>
      </w:r>
      <w:r w:rsidRPr="0026523E">
        <w:rPr>
          <w:color w:val="000000"/>
          <w:sz w:val="16"/>
          <w:szCs w:val="16"/>
          <w:lang w:val="es-MX"/>
        </w:rPr>
        <w:t>Los hidrocarburos compartibles constituyen la producción neta de hidrocarburos en cada área de explotación menos las regalías aplicables y el volumen de hidrocarburos en concepto de costos recuperables por las inversiones en exploración, desarrollo y los gastos de operación atribuibles al área de contrato de que se trate. La participación estatal en la producción de hidrocarburos compartibles se determinará, en forma separada, para cada una de las áreas de explotación, en base al promedio diario de la producción neta de cada área de explotación de acuerdo a los porcentajes establecidos en cada contrato, individualmente para el petróleo crudo, gas de boca de pozo, gas natural comerciable y condensados (Articulo 66, Ley de Hidrocarburos, Articulo 212 del Reglamento).</w:t>
      </w:r>
    </w:p>
    <w:p w14:paraId="1F7020C9" w14:textId="77777777" w:rsidR="001B7290" w:rsidRPr="00687B2B" w:rsidRDefault="001B7290" w:rsidP="008A5924">
      <w:pPr>
        <w:pStyle w:val="Textonotapie"/>
        <w:jc w:val="both"/>
        <w:rPr>
          <w:lang w:val="es-MX"/>
        </w:rPr>
      </w:pPr>
    </w:p>
  </w:footnote>
  <w:footnote w:id="15">
    <w:p w14:paraId="2BA684C8" w14:textId="77777777" w:rsidR="001B7290" w:rsidRPr="007210F6" w:rsidRDefault="001B7290" w:rsidP="007210F6">
      <w:pPr>
        <w:pStyle w:val="Textonotapie"/>
        <w:jc w:val="both"/>
        <w:rPr>
          <w:lang w:val="es-GT"/>
        </w:rPr>
      </w:pPr>
      <w:r w:rsidRPr="007210F6">
        <w:rPr>
          <w:rStyle w:val="Refdenotaalpie"/>
          <w:sz w:val="16"/>
        </w:rPr>
        <w:footnoteRef/>
      </w:r>
      <w:r w:rsidRPr="007210F6">
        <w:rPr>
          <w:sz w:val="16"/>
        </w:rPr>
        <w:t xml:space="preserve"> En las reservas de hidrocarburos se identifica la cantidad de hidrocarburo original en sitio, las reservas iniciales y las reservas remanentes de hidrocarburos. El volumen original de hidrocarburos se define como la cantidad que se estima existe inicialmente en un yacimiento, las reservas iniciales las constituye la cantidad de hidrocarburos que puede ser recuperada en condiciones económicas al momento del análisis y las reservas remanentes las constituye la cantidad de hidrocarburos que aún no ha sido explotada de los yacimientos (MEM, 2017) recuperado de  https://www.mem.gob.gt/wp-content/uploads/2015/06/2017-Revista-Hidrocarburos-02T.pdf.</w:t>
      </w:r>
    </w:p>
  </w:footnote>
  <w:footnote w:id="16">
    <w:p w14:paraId="2E40A441" w14:textId="77777777" w:rsidR="001B7290" w:rsidRPr="009B2211" w:rsidRDefault="001B7290" w:rsidP="00173A21">
      <w:pPr>
        <w:pStyle w:val="Textonotapie"/>
        <w:ind w:left="113" w:hanging="113"/>
        <w:rPr>
          <w:sz w:val="16"/>
          <w:szCs w:val="16"/>
          <w:lang w:val="es-MX"/>
        </w:rPr>
      </w:pPr>
      <w:r w:rsidRPr="009B2211">
        <w:rPr>
          <w:rStyle w:val="Refdenotaalpie"/>
          <w:sz w:val="16"/>
          <w:szCs w:val="16"/>
        </w:rPr>
        <w:footnoteRef/>
      </w:r>
      <w:r w:rsidRPr="009B2211">
        <w:rPr>
          <w:sz w:val="16"/>
          <w:szCs w:val="16"/>
        </w:rPr>
        <w:t xml:space="preserve"> </w:t>
      </w:r>
      <w:r w:rsidRPr="009B2211">
        <w:rPr>
          <w:sz w:val="16"/>
          <w:szCs w:val="16"/>
          <w:lang w:val="es-MX"/>
        </w:rPr>
        <w:t xml:space="preserve">Incluye las regalías establecidas en ley y los aportes de regalías extraordinarias en el marco de los acuerdos secundarios del Acuerdo Gubernativo 105-2012. </w:t>
      </w:r>
    </w:p>
  </w:footnote>
  <w:footnote w:id="17">
    <w:p w14:paraId="00EA22EA" w14:textId="77777777" w:rsidR="001B7290" w:rsidRPr="009B2211" w:rsidRDefault="001B7290" w:rsidP="008A5924">
      <w:pPr>
        <w:pStyle w:val="Textonotapie"/>
        <w:rPr>
          <w:sz w:val="16"/>
          <w:szCs w:val="16"/>
          <w:lang w:val="es-MX"/>
        </w:rPr>
      </w:pPr>
      <w:r w:rsidRPr="009B2211">
        <w:rPr>
          <w:rStyle w:val="Refdenotaalpie"/>
          <w:sz w:val="16"/>
          <w:szCs w:val="16"/>
        </w:rPr>
        <w:footnoteRef/>
      </w:r>
      <w:r w:rsidRPr="009B2211">
        <w:rPr>
          <w:sz w:val="16"/>
          <w:szCs w:val="16"/>
        </w:rPr>
        <w:t xml:space="preserve"> </w:t>
      </w:r>
      <w:r w:rsidRPr="009B2211">
        <w:rPr>
          <w:sz w:val="16"/>
          <w:szCs w:val="16"/>
          <w:lang w:val="es-MX"/>
        </w:rPr>
        <w:t xml:space="preserve">Disponible en </w:t>
      </w:r>
      <w:hyperlink r:id="rId2" w:history="1">
        <w:r w:rsidRPr="009B2211">
          <w:rPr>
            <w:rStyle w:val="Hipervnculo"/>
            <w:sz w:val="16"/>
            <w:szCs w:val="16"/>
          </w:rPr>
          <w:t>https://nexoslocales.com/wp-content/uploads/2016/04/23-DX-PFM-San-Miguel-Ix.pdf</w:t>
        </w:r>
      </w:hyperlink>
    </w:p>
  </w:footnote>
  <w:footnote w:id="18">
    <w:p w14:paraId="314A218F" w14:textId="77777777" w:rsidR="001B7290" w:rsidRPr="003814CB" w:rsidRDefault="001B7290" w:rsidP="00173A21">
      <w:pPr>
        <w:pStyle w:val="Textonotapie"/>
        <w:ind w:left="113" w:hanging="113"/>
        <w:jc w:val="both"/>
        <w:rPr>
          <w:lang w:val="es-MX"/>
        </w:rPr>
      </w:pPr>
      <w:r w:rsidRPr="009B2211">
        <w:rPr>
          <w:rStyle w:val="Refdenotaalpie"/>
          <w:sz w:val="16"/>
        </w:rPr>
        <w:footnoteRef/>
      </w:r>
      <w:r w:rsidRPr="009B2211">
        <w:rPr>
          <w:sz w:val="16"/>
        </w:rPr>
        <w:t xml:space="preserve"> </w:t>
      </w:r>
      <w:r w:rsidRPr="009B2211">
        <w:rPr>
          <w:sz w:val="16"/>
          <w:lang w:val="es-MX"/>
        </w:rPr>
        <w:t>A la fecha de emisión del Plan de Acción Nacional de Cambio Climático aun funcionaba el Sistema Nacional para la Prevención y Control de Incendios Forestales SIPECIF que para el 2016 funcionaba en el CONAP y cuyo acuerdo de creación Acuerdo Gubernativo 63-2001 fue derogado en julio de 2017 por medio del Acuerdo Gubernativo156-2017, trasladando la atención de los incendios forestales a la CONRED</w:t>
      </w:r>
      <w:r w:rsidRPr="003814CB">
        <w:rPr>
          <w:lang w:val="es-MX"/>
        </w:rPr>
        <w:t>.</w:t>
      </w:r>
    </w:p>
  </w:footnote>
  <w:footnote w:id="19">
    <w:p w14:paraId="03F6276C" w14:textId="77777777" w:rsidR="001B7290" w:rsidRPr="009B2211" w:rsidRDefault="001B7290" w:rsidP="008A5924">
      <w:pPr>
        <w:pStyle w:val="Textonotapie"/>
        <w:jc w:val="both"/>
        <w:rPr>
          <w:sz w:val="16"/>
          <w:lang w:val="es-MX"/>
        </w:rPr>
      </w:pPr>
      <w:r w:rsidRPr="009B2211">
        <w:rPr>
          <w:rStyle w:val="Refdenotaalpie"/>
          <w:sz w:val="16"/>
        </w:rPr>
        <w:footnoteRef/>
      </w:r>
      <w:r w:rsidRPr="009B2211">
        <w:rPr>
          <w:sz w:val="16"/>
        </w:rPr>
        <w:t xml:space="preserve"> </w:t>
      </w:r>
      <w:r w:rsidRPr="009B2211">
        <w:rPr>
          <w:sz w:val="16"/>
          <w:lang w:val="es-MX"/>
        </w:rPr>
        <w:t>A la fecha de emisión del Plan de Acción Nacional de Cambio Climático aun funcionaba el Sistema Nacional para la Prevención y Control de Incendios Forestales SIPECIF que para el 2016 operaba en el CONAP y cuyo acuerdo de creación Acuerdo Gubernativo 63-2001 fue derogado en julio de 2017 por medio del Acuerdo Gubernativo156-2017, trasladando la atención de los incendios forestales a la CONRED.</w:t>
      </w:r>
    </w:p>
    <w:p w14:paraId="15530941" w14:textId="77777777" w:rsidR="001B7290" w:rsidRPr="002A05AA" w:rsidRDefault="001B7290" w:rsidP="008A5924">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42B5" w14:textId="77777777" w:rsidR="001B7290" w:rsidRPr="009A62D8" w:rsidRDefault="001B7290" w:rsidP="009A62D8">
    <w:pPr>
      <w:pStyle w:val="Encabezado"/>
    </w:pPr>
    <w:r>
      <w:rPr>
        <w:noProof/>
        <w:lang w:val="es-GT" w:eastAsia="es-GT"/>
      </w:rPr>
      <mc:AlternateContent>
        <mc:Choice Requires="wps">
          <w:drawing>
            <wp:anchor distT="0" distB="0" distL="114300" distR="114300" simplePos="0" relativeHeight="251683840" behindDoc="0" locked="0" layoutInCell="1" allowOverlap="1" wp14:anchorId="6B6566BB" wp14:editId="2C22F56B">
              <wp:simplePos x="0" y="0"/>
              <wp:positionH relativeFrom="column">
                <wp:posOffset>-82360</wp:posOffset>
              </wp:positionH>
              <wp:positionV relativeFrom="paragraph">
                <wp:posOffset>103505</wp:posOffset>
              </wp:positionV>
              <wp:extent cx="6346800" cy="55440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00" cy="5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248" w14:textId="77777777" w:rsidR="001B7290" w:rsidRDefault="001B7290" w:rsidP="009147EA">
                          <w:pPr>
                            <w:rPr>
                              <w:b/>
                              <w:i/>
                              <w:color w:val="003399"/>
                            </w:rPr>
                          </w:pPr>
                        </w:p>
                        <w:p w14:paraId="74480C16" w14:textId="77777777" w:rsidR="001B7290" w:rsidRDefault="001B7290" w:rsidP="00201635">
                          <w:pPr>
                            <w:jc w:val="right"/>
                          </w:pPr>
                        </w:p>
                        <w:p w14:paraId="0B04ABD5" w14:textId="77777777" w:rsidR="001B7290" w:rsidRPr="007242E5" w:rsidRDefault="001B7290" w:rsidP="00201635">
                          <w:pPr>
                            <w:ind w:left="-70"/>
                            <w:rPr>
                              <w:rFonts w:ascii="Berylium" w:hAnsi="Berylium"/>
                              <w:b/>
                              <w:color w:val="0033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6566BB" id="_x0000_t202" coordsize="21600,21600" o:spt="202" path="m,l,21600r21600,l21600,xe">
              <v:stroke joinstyle="miter"/>
              <v:path gradientshapeok="t" o:connecttype="rect"/>
            </v:shapetype>
            <v:shape id="Cuadro de texto 2" o:spid="_x0000_s1026" type="#_x0000_t202" style="position:absolute;margin-left:-6.5pt;margin-top:8.15pt;width:499.75pt;height:4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" filled="f" stroked="f">
              <v:textbox>
                <w:txbxContent>
                  <w:p w14:paraId="0C961248" w14:textId="77777777" w:rsidR="001B7290" w:rsidRDefault="001B7290" w:rsidP="009147EA">
                    <w:pPr>
                      <w:rPr>
                        <w:b/>
                        <w:i/>
                        <w:color w:val="003399"/>
                      </w:rPr>
                    </w:pPr>
                  </w:p>
                  <w:p w14:paraId="74480C16" w14:textId="77777777" w:rsidR="001B7290" w:rsidRDefault="001B7290" w:rsidP="00201635">
                    <w:pPr>
                      <w:jc w:val="right"/>
                    </w:pPr>
                  </w:p>
                  <w:p w14:paraId="0B04ABD5" w14:textId="77777777" w:rsidR="001B7290" w:rsidRPr="007242E5" w:rsidRDefault="001B7290" w:rsidP="00201635">
                    <w:pPr>
                      <w:ind w:left="-70"/>
                      <w:rPr>
                        <w:rFonts w:ascii="Berylium" w:hAnsi="Berylium"/>
                        <w:b/>
                        <w:color w:val="003399"/>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709A6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C3E67EA"/>
    <w:multiLevelType w:val="multilevel"/>
    <w:tmpl w:val="100A001F"/>
    <w:styleLink w:val="Estilo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204412"/>
    <w:multiLevelType w:val="hybridMultilevel"/>
    <w:tmpl w:val="BED8F2F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27397E89"/>
    <w:multiLevelType w:val="hybridMultilevel"/>
    <w:tmpl w:val="39F4A8E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AB93945"/>
    <w:multiLevelType w:val="multilevel"/>
    <w:tmpl w:val="54CC6D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674720"/>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666B9B"/>
    <w:multiLevelType w:val="hybridMultilevel"/>
    <w:tmpl w:val="DEB0874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3E9C39E8"/>
    <w:multiLevelType w:val="hybridMultilevel"/>
    <w:tmpl w:val="7DC447C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48FC2904"/>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C71059"/>
    <w:multiLevelType w:val="hybridMultilevel"/>
    <w:tmpl w:val="B1E67BB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5FE23C37"/>
    <w:multiLevelType w:val="hybridMultilevel"/>
    <w:tmpl w:val="76FE602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60183E67"/>
    <w:multiLevelType w:val="multilevel"/>
    <w:tmpl w:val="100A0025"/>
    <w:styleLink w:val="Estilo1"/>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4262"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3" w15:restartNumberingAfterBreak="0">
    <w:nsid w:val="64C100DA"/>
    <w:multiLevelType w:val="hybridMultilevel"/>
    <w:tmpl w:val="017A10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759C2CB1"/>
    <w:multiLevelType w:val="hybridMultilevel"/>
    <w:tmpl w:val="89FAB2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7B2221AF"/>
    <w:multiLevelType w:val="hybridMultilevel"/>
    <w:tmpl w:val="B7FE1960"/>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7FCF7AAA"/>
    <w:multiLevelType w:val="hybridMultilevel"/>
    <w:tmpl w:val="4FB6497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864948527">
    <w:abstractNumId w:val="11"/>
  </w:num>
  <w:num w:numId="2" w16cid:durableId="1829469652">
    <w:abstractNumId w:val="1"/>
  </w:num>
  <w:num w:numId="3" w16cid:durableId="358548920">
    <w:abstractNumId w:val="0"/>
  </w:num>
  <w:num w:numId="4" w16cid:durableId="437140559">
    <w:abstractNumId w:val="12"/>
  </w:num>
  <w:num w:numId="5" w16cid:durableId="2076197818">
    <w:abstractNumId w:val="4"/>
  </w:num>
  <w:num w:numId="6" w16cid:durableId="2136680277">
    <w:abstractNumId w:val="9"/>
  </w:num>
  <w:num w:numId="7" w16cid:durableId="236748553">
    <w:abstractNumId w:val="10"/>
  </w:num>
  <w:num w:numId="8" w16cid:durableId="1312948925">
    <w:abstractNumId w:val="6"/>
  </w:num>
  <w:num w:numId="9" w16cid:durableId="1632517822">
    <w:abstractNumId w:val="2"/>
  </w:num>
  <w:num w:numId="10" w16cid:durableId="270283287">
    <w:abstractNumId w:val="15"/>
  </w:num>
  <w:num w:numId="11" w16cid:durableId="51541003">
    <w:abstractNumId w:val="14"/>
  </w:num>
  <w:num w:numId="12" w16cid:durableId="1541475952">
    <w:abstractNumId w:val="3"/>
  </w:num>
  <w:num w:numId="13" w16cid:durableId="837695786">
    <w:abstractNumId w:val="5"/>
  </w:num>
  <w:num w:numId="14" w16cid:durableId="527108416">
    <w:abstractNumId w:val="8"/>
  </w:num>
  <w:num w:numId="15" w16cid:durableId="555749909">
    <w:abstractNumId w:val="7"/>
  </w:num>
  <w:num w:numId="16" w16cid:durableId="1500849948">
    <w:abstractNumId w:val="13"/>
  </w:num>
  <w:num w:numId="17" w16cid:durableId="1910991252">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EF"/>
    <w:rsid w:val="0000013D"/>
    <w:rsid w:val="000009EC"/>
    <w:rsid w:val="00000B24"/>
    <w:rsid w:val="00000FE6"/>
    <w:rsid w:val="000011D2"/>
    <w:rsid w:val="0000199E"/>
    <w:rsid w:val="00001E6E"/>
    <w:rsid w:val="00001FC8"/>
    <w:rsid w:val="00002F38"/>
    <w:rsid w:val="000030EE"/>
    <w:rsid w:val="0000315F"/>
    <w:rsid w:val="00003212"/>
    <w:rsid w:val="00003F5D"/>
    <w:rsid w:val="000045D4"/>
    <w:rsid w:val="000045E9"/>
    <w:rsid w:val="00004655"/>
    <w:rsid w:val="00004D50"/>
    <w:rsid w:val="00004F81"/>
    <w:rsid w:val="00004FD5"/>
    <w:rsid w:val="0000577B"/>
    <w:rsid w:val="000057EA"/>
    <w:rsid w:val="00006888"/>
    <w:rsid w:val="000075D1"/>
    <w:rsid w:val="000079F8"/>
    <w:rsid w:val="00007BB4"/>
    <w:rsid w:val="00007D77"/>
    <w:rsid w:val="00007E1D"/>
    <w:rsid w:val="000106CD"/>
    <w:rsid w:val="00010919"/>
    <w:rsid w:val="00010BFE"/>
    <w:rsid w:val="0001142F"/>
    <w:rsid w:val="000116C3"/>
    <w:rsid w:val="00011ED1"/>
    <w:rsid w:val="00011FA3"/>
    <w:rsid w:val="00012C3D"/>
    <w:rsid w:val="00012E75"/>
    <w:rsid w:val="00012EC6"/>
    <w:rsid w:val="0001337F"/>
    <w:rsid w:val="00013D51"/>
    <w:rsid w:val="000144B3"/>
    <w:rsid w:val="000144C5"/>
    <w:rsid w:val="0001462B"/>
    <w:rsid w:val="00014EF4"/>
    <w:rsid w:val="00014F35"/>
    <w:rsid w:val="0001526A"/>
    <w:rsid w:val="000155E3"/>
    <w:rsid w:val="00016142"/>
    <w:rsid w:val="00016DAB"/>
    <w:rsid w:val="00016E7A"/>
    <w:rsid w:val="00017590"/>
    <w:rsid w:val="0001768C"/>
    <w:rsid w:val="00020018"/>
    <w:rsid w:val="000203CF"/>
    <w:rsid w:val="00020569"/>
    <w:rsid w:val="0002076B"/>
    <w:rsid w:val="00020FF6"/>
    <w:rsid w:val="0002128E"/>
    <w:rsid w:val="000214EB"/>
    <w:rsid w:val="00021897"/>
    <w:rsid w:val="00021940"/>
    <w:rsid w:val="00021BC6"/>
    <w:rsid w:val="00021C43"/>
    <w:rsid w:val="0002257D"/>
    <w:rsid w:val="000226B3"/>
    <w:rsid w:val="00022705"/>
    <w:rsid w:val="00022DEC"/>
    <w:rsid w:val="00022EA2"/>
    <w:rsid w:val="00022EF4"/>
    <w:rsid w:val="00023051"/>
    <w:rsid w:val="000234E6"/>
    <w:rsid w:val="00023E05"/>
    <w:rsid w:val="0002423D"/>
    <w:rsid w:val="0002454E"/>
    <w:rsid w:val="000247C0"/>
    <w:rsid w:val="00024CB8"/>
    <w:rsid w:val="0002546E"/>
    <w:rsid w:val="00025544"/>
    <w:rsid w:val="00025564"/>
    <w:rsid w:val="00026089"/>
    <w:rsid w:val="00026D0D"/>
    <w:rsid w:val="00027187"/>
    <w:rsid w:val="00027364"/>
    <w:rsid w:val="00027677"/>
    <w:rsid w:val="0003000B"/>
    <w:rsid w:val="0003055A"/>
    <w:rsid w:val="00031D61"/>
    <w:rsid w:val="00032129"/>
    <w:rsid w:val="00032760"/>
    <w:rsid w:val="0003283F"/>
    <w:rsid w:val="00032E59"/>
    <w:rsid w:val="000332EA"/>
    <w:rsid w:val="00033EDC"/>
    <w:rsid w:val="00034789"/>
    <w:rsid w:val="00034C4B"/>
    <w:rsid w:val="00035ED3"/>
    <w:rsid w:val="00035F15"/>
    <w:rsid w:val="000361B0"/>
    <w:rsid w:val="0003640F"/>
    <w:rsid w:val="0003652A"/>
    <w:rsid w:val="000367DA"/>
    <w:rsid w:val="00036939"/>
    <w:rsid w:val="00036D41"/>
    <w:rsid w:val="00036FAF"/>
    <w:rsid w:val="000373D5"/>
    <w:rsid w:val="0004035D"/>
    <w:rsid w:val="00040BDF"/>
    <w:rsid w:val="000414C6"/>
    <w:rsid w:val="0004155B"/>
    <w:rsid w:val="000417A8"/>
    <w:rsid w:val="000423A9"/>
    <w:rsid w:val="000427BC"/>
    <w:rsid w:val="00042D85"/>
    <w:rsid w:val="00043A56"/>
    <w:rsid w:val="00043F55"/>
    <w:rsid w:val="00044788"/>
    <w:rsid w:val="000448A9"/>
    <w:rsid w:val="0004608A"/>
    <w:rsid w:val="000468DF"/>
    <w:rsid w:val="00046ADB"/>
    <w:rsid w:val="000479B6"/>
    <w:rsid w:val="00047C71"/>
    <w:rsid w:val="00047DDB"/>
    <w:rsid w:val="000509FD"/>
    <w:rsid w:val="00050A36"/>
    <w:rsid w:val="00050A8A"/>
    <w:rsid w:val="00050F19"/>
    <w:rsid w:val="00051F4C"/>
    <w:rsid w:val="0005238F"/>
    <w:rsid w:val="000526B5"/>
    <w:rsid w:val="0005381B"/>
    <w:rsid w:val="00053C58"/>
    <w:rsid w:val="000540E1"/>
    <w:rsid w:val="0005432D"/>
    <w:rsid w:val="00054931"/>
    <w:rsid w:val="00054D25"/>
    <w:rsid w:val="000551E2"/>
    <w:rsid w:val="0005597F"/>
    <w:rsid w:val="00056555"/>
    <w:rsid w:val="000572AF"/>
    <w:rsid w:val="00057717"/>
    <w:rsid w:val="0006017B"/>
    <w:rsid w:val="000605CB"/>
    <w:rsid w:val="00060655"/>
    <w:rsid w:val="00060743"/>
    <w:rsid w:val="000610F9"/>
    <w:rsid w:val="00061D52"/>
    <w:rsid w:val="00061DBE"/>
    <w:rsid w:val="000640AB"/>
    <w:rsid w:val="00064444"/>
    <w:rsid w:val="00064BB6"/>
    <w:rsid w:val="00064F26"/>
    <w:rsid w:val="00065C3E"/>
    <w:rsid w:val="00065DDE"/>
    <w:rsid w:val="00065FC5"/>
    <w:rsid w:val="000661B1"/>
    <w:rsid w:val="00066C27"/>
    <w:rsid w:val="000671B5"/>
    <w:rsid w:val="00067456"/>
    <w:rsid w:val="00067F55"/>
    <w:rsid w:val="00070035"/>
    <w:rsid w:val="00070266"/>
    <w:rsid w:val="000702E1"/>
    <w:rsid w:val="00070381"/>
    <w:rsid w:val="00070B60"/>
    <w:rsid w:val="0007175B"/>
    <w:rsid w:val="000723DC"/>
    <w:rsid w:val="000727F8"/>
    <w:rsid w:val="0007441B"/>
    <w:rsid w:val="00074491"/>
    <w:rsid w:val="00075770"/>
    <w:rsid w:val="00075A92"/>
    <w:rsid w:val="00075E4E"/>
    <w:rsid w:val="00075F75"/>
    <w:rsid w:val="00076261"/>
    <w:rsid w:val="000763FA"/>
    <w:rsid w:val="00076575"/>
    <w:rsid w:val="00076AA3"/>
    <w:rsid w:val="000776E4"/>
    <w:rsid w:val="000776F4"/>
    <w:rsid w:val="00077A05"/>
    <w:rsid w:val="0008052B"/>
    <w:rsid w:val="00080884"/>
    <w:rsid w:val="00081744"/>
    <w:rsid w:val="00082331"/>
    <w:rsid w:val="000824B9"/>
    <w:rsid w:val="00082934"/>
    <w:rsid w:val="00082FDB"/>
    <w:rsid w:val="000834F0"/>
    <w:rsid w:val="00083950"/>
    <w:rsid w:val="00084388"/>
    <w:rsid w:val="00084EC7"/>
    <w:rsid w:val="000854D1"/>
    <w:rsid w:val="000857DA"/>
    <w:rsid w:val="0008660C"/>
    <w:rsid w:val="0008660F"/>
    <w:rsid w:val="00086CDE"/>
    <w:rsid w:val="00086EE0"/>
    <w:rsid w:val="00086F02"/>
    <w:rsid w:val="0008743F"/>
    <w:rsid w:val="0008751B"/>
    <w:rsid w:val="000875C8"/>
    <w:rsid w:val="00087787"/>
    <w:rsid w:val="00087968"/>
    <w:rsid w:val="000902C0"/>
    <w:rsid w:val="000902C5"/>
    <w:rsid w:val="000906B6"/>
    <w:rsid w:val="00091BD8"/>
    <w:rsid w:val="0009225C"/>
    <w:rsid w:val="000924CD"/>
    <w:rsid w:val="00093D69"/>
    <w:rsid w:val="00093D78"/>
    <w:rsid w:val="00094120"/>
    <w:rsid w:val="000944FD"/>
    <w:rsid w:val="0009450B"/>
    <w:rsid w:val="0009454C"/>
    <w:rsid w:val="000945B9"/>
    <w:rsid w:val="000948A9"/>
    <w:rsid w:val="0009533B"/>
    <w:rsid w:val="00095566"/>
    <w:rsid w:val="00095A03"/>
    <w:rsid w:val="00095C8B"/>
    <w:rsid w:val="00096E7E"/>
    <w:rsid w:val="00097062"/>
    <w:rsid w:val="0009707C"/>
    <w:rsid w:val="0009743A"/>
    <w:rsid w:val="0009749C"/>
    <w:rsid w:val="00097F1F"/>
    <w:rsid w:val="000A06E5"/>
    <w:rsid w:val="000A0D02"/>
    <w:rsid w:val="000A0F33"/>
    <w:rsid w:val="000A1F93"/>
    <w:rsid w:val="000A2DEF"/>
    <w:rsid w:val="000A36AF"/>
    <w:rsid w:val="000A3834"/>
    <w:rsid w:val="000A3D77"/>
    <w:rsid w:val="000A43FF"/>
    <w:rsid w:val="000A4B17"/>
    <w:rsid w:val="000A4D5B"/>
    <w:rsid w:val="000A4F0D"/>
    <w:rsid w:val="000A52E8"/>
    <w:rsid w:val="000A5457"/>
    <w:rsid w:val="000A56DD"/>
    <w:rsid w:val="000A5B08"/>
    <w:rsid w:val="000A5C2B"/>
    <w:rsid w:val="000A62AF"/>
    <w:rsid w:val="000A6681"/>
    <w:rsid w:val="000A7ACC"/>
    <w:rsid w:val="000A7DDB"/>
    <w:rsid w:val="000B09C4"/>
    <w:rsid w:val="000B0AB4"/>
    <w:rsid w:val="000B1000"/>
    <w:rsid w:val="000B1597"/>
    <w:rsid w:val="000B1C61"/>
    <w:rsid w:val="000B1F4B"/>
    <w:rsid w:val="000B1FB3"/>
    <w:rsid w:val="000B22FB"/>
    <w:rsid w:val="000B3952"/>
    <w:rsid w:val="000B52F4"/>
    <w:rsid w:val="000B56AA"/>
    <w:rsid w:val="000B5898"/>
    <w:rsid w:val="000B610C"/>
    <w:rsid w:val="000B69B8"/>
    <w:rsid w:val="000B7854"/>
    <w:rsid w:val="000B7A3F"/>
    <w:rsid w:val="000C09CE"/>
    <w:rsid w:val="000C0C40"/>
    <w:rsid w:val="000C218B"/>
    <w:rsid w:val="000C21A6"/>
    <w:rsid w:val="000C26A3"/>
    <w:rsid w:val="000C2785"/>
    <w:rsid w:val="000C29D9"/>
    <w:rsid w:val="000C3042"/>
    <w:rsid w:val="000C3469"/>
    <w:rsid w:val="000C366E"/>
    <w:rsid w:val="000C3E91"/>
    <w:rsid w:val="000C4777"/>
    <w:rsid w:val="000C48B6"/>
    <w:rsid w:val="000C4F8F"/>
    <w:rsid w:val="000C507A"/>
    <w:rsid w:val="000C525D"/>
    <w:rsid w:val="000C545D"/>
    <w:rsid w:val="000C57A7"/>
    <w:rsid w:val="000C5987"/>
    <w:rsid w:val="000C59FE"/>
    <w:rsid w:val="000C5B06"/>
    <w:rsid w:val="000C65AE"/>
    <w:rsid w:val="000C6805"/>
    <w:rsid w:val="000C6A6C"/>
    <w:rsid w:val="000C6B2B"/>
    <w:rsid w:val="000C702A"/>
    <w:rsid w:val="000C78A7"/>
    <w:rsid w:val="000C7EBD"/>
    <w:rsid w:val="000D06FE"/>
    <w:rsid w:val="000D0C0D"/>
    <w:rsid w:val="000D1611"/>
    <w:rsid w:val="000D16DA"/>
    <w:rsid w:val="000D1DF0"/>
    <w:rsid w:val="000D224F"/>
    <w:rsid w:val="000D257A"/>
    <w:rsid w:val="000D2AB7"/>
    <w:rsid w:val="000D31D5"/>
    <w:rsid w:val="000D418B"/>
    <w:rsid w:val="000D4554"/>
    <w:rsid w:val="000D47F3"/>
    <w:rsid w:val="000D4D6B"/>
    <w:rsid w:val="000D55F2"/>
    <w:rsid w:val="000D5657"/>
    <w:rsid w:val="000D5A35"/>
    <w:rsid w:val="000D6DB6"/>
    <w:rsid w:val="000D6E1E"/>
    <w:rsid w:val="000D75BD"/>
    <w:rsid w:val="000D7A8C"/>
    <w:rsid w:val="000D7F67"/>
    <w:rsid w:val="000E00BF"/>
    <w:rsid w:val="000E0447"/>
    <w:rsid w:val="000E144A"/>
    <w:rsid w:val="000E164B"/>
    <w:rsid w:val="000E17C6"/>
    <w:rsid w:val="000E228C"/>
    <w:rsid w:val="000E22E7"/>
    <w:rsid w:val="000E2DE7"/>
    <w:rsid w:val="000E2E50"/>
    <w:rsid w:val="000E385A"/>
    <w:rsid w:val="000E4200"/>
    <w:rsid w:val="000E4980"/>
    <w:rsid w:val="000E5249"/>
    <w:rsid w:val="000E57FE"/>
    <w:rsid w:val="000E5857"/>
    <w:rsid w:val="000E5CDF"/>
    <w:rsid w:val="000E60ED"/>
    <w:rsid w:val="000E633A"/>
    <w:rsid w:val="000F0284"/>
    <w:rsid w:val="000F0434"/>
    <w:rsid w:val="000F085C"/>
    <w:rsid w:val="000F1054"/>
    <w:rsid w:val="000F11BF"/>
    <w:rsid w:val="000F1541"/>
    <w:rsid w:val="000F1C5F"/>
    <w:rsid w:val="000F1DFC"/>
    <w:rsid w:val="000F24CC"/>
    <w:rsid w:val="000F2AE3"/>
    <w:rsid w:val="000F2C9F"/>
    <w:rsid w:val="000F3273"/>
    <w:rsid w:val="000F3ACD"/>
    <w:rsid w:val="000F3C45"/>
    <w:rsid w:val="000F4087"/>
    <w:rsid w:val="000F412E"/>
    <w:rsid w:val="000F4A60"/>
    <w:rsid w:val="000F4AB6"/>
    <w:rsid w:val="000F4BCF"/>
    <w:rsid w:val="000F4F48"/>
    <w:rsid w:val="000F5139"/>
    <w:rsid w:val="000F57E2"/>
    <w:rsid w:val="000F592F"/>
    <w:rsid w:val="000F5CF1"/>
    <w:rsid w:val="000F5DC3"/>
    <w:rsid w:val="000F5E9F"/>
    <w:rsid w:val="000F7261"/>
    <w:rsid w:val="000F7518"/>
    <w:rsid w:val="000F775D"/>
    <w:rsid w:val="00100605"/>
    <w:rsid w:val="00100DA3"/>
    <w:rsid w:val="001017DD"/>
    <w:rsid w:val="00101E77"/>
    <w:rsid w:val="001021E5"/>
    <w:rsid w:val="00103683"/>
    <w:rsid w:val="001038D7"/>
    <w:rsid w:val="00103AB3"/>
    <w:rsid w:val="0010590D"/>
    <w:rsid w:val="00105DC9"/>
    <w:rsid w:val="001061B8"/>
    <w:rsid w:val="0010663A"/>
    <w:rsid w:val="001069C7"/>
    <w:rsid w:val="00106C2E"/>
    <w:rsid w:val="00107545"/>
    <w:rsid w:val="00107735"/>
    <w:rsid w:val="0010797E"/>
    <w:rsid w:val="00107FAE"/>
    <w:rsid w:val="00110069"/>
    <w:rsid w:val="001105BC"/>
    <w:rsid w:val="00110DDE"/>
    <w:rsid w:val="00110FF6"/>
    <w:rsid w:val="0011105C"/>
    <w:rsid w:val="00111114"/>
    <w:rsid w:val="00112080"/>
    <w:rsid w:val="001123CC"/>
    <w:rsid w:val="00112EA4"/>
    <w:rsid w:val="001130CC"/>
    <w:rsid w:val="00113298"/>
    <w:rsid w:val="001135E6"/>
    <w:rsid w:val="001137ED"/>
    <w:rsid w:val="001138B2"/>
    <w:rsid w:val="00113EBC"/>
    <w:rsid w:val="00114DF7"/>
    <w:rsid w:val="00114F11"/>
    <w:rsid w:val="00116980"/>
    <w:rsid w:val="0011762B"/>
    <w:rsid w:val="001203DD"/>
    <w:rsid w:val="0012076B"/>
    <w:rsid w:val="00120CFD"/>
    <w:rsid w:val="00121567"/>
    <w:rsid w:val="001215DB"/>
    <w:rsid w:val="00121F28"/>
    <w:rsid w:val="0012287F"/>
    <w:rsid w:val="00122D95"/>
    <w:rsid w:val="00122EB8"/>
    <w:rsid w:val="00122EC5"/>
    <w:rsid w:val="00122ECB"/>
    <w:rsid w:val="001230A7"/>
    <w:rsid w:val="0012339C"/>
    <w:rsid w:val="00123601"/>
    <w:rsid w:val="0012463C"/>
    <w:rsid w:val="0012514F"/>
    <w:rsid w:val="0012695F"/>
    <w:rsid w:val="001269FF"/>
    <w:rsid w:val="00127A73"/>
    <w:rsid w:val="00130886"/>
    <w:rsid w:val="001311E1"/>
    <w:rsid w:val="001316B1"/>
    <w:rsid w:val="00131E10"/>
    <w:rsid w:val="00131E86"/>
    <w:rsid w:val="0013226A"/>
    <w:rsid w:val="00132539"/>
    <w:rsid w:val="00132D42"/>
    <w:rsid w:val="00132D4D"/>
    <w:rsid w:val="001335F8"/>
    <w:rsid w:val="001337D3"/>
    <w:rsid w:val="001338B8"/>
    <w:rsid w:val="00133BA3"/>
    <w:rsid w:val="00133BFB"/>
    <w:rsid w:val="00134262"/>
    <w:rsid w:val="00134B35"/>
    <w:rsid w:val="00135A5F"/>
    <w:rsid w:val="00135BD5"/>
    <w:rsid w:val="00135F87"/>
    <w:rsid w:val="001361CF"/>
    <w:rsid w:val="0013680F"/>
    <w:rsid w:val="00137121"/>
    <w:rsid w:val="001376EA"/>
    <w:rsid w:val="00137A51"/>
    <w:rsid w:val="00137D3A"/>
    <w:rsid w:val="00137E38"/>
    <w:rsid w:val="00140640"/>
    <w:rsid w:val="00140657"/>
    <w:rsid w:val="001407EC"/>
    <w:rsid w:val="00140DD7"/>
    <w:rsid w:val="00140F41"/>
    <w:rsid w:val="001411B0"/>
    <w:rsid w:val="0014169E"/>
    <w:rsid w:val="00141969"/>
    <w:rsid w:val="00141CB3"/>
    <w:rsid w:val="0014204B"/>
    <w:rsid w:val="00142200"/>
    <w:rsid w:val="00142B91"/>
    <w:rsid w:val="00142BF2"/>
    <w:rsid w:val="00144016"/>
    <w:rsid w:val="00144874"/>
    <w:rsid w:val="00145030"/>
    <w:rsid w:val="001455DF"/>
    <w:rsid w:val="0014561E"/>
    <w:rsid w:val="00146518"/>
    <w:rsid w:val="0014674A"/>
    <w:rsid w:val="001468A2"/>
    <w:rsid w:val="00147492"/>
    <w:rsid w:val="001474F4"/>
    <w:rsid w:val="00147932"/>
    <w:rsid w:val="00147CF8"/>
    <w:rsid w:val="00151506"/>
    <w:rsid w:val="00151ABA"/>
    <w:rsid w:val="00151C8A"/>
    <w:rsid w:val="00152001"/>
    <w:rsid w:val="001522E8"/>
    <w:rsid w:val="00152697"/>
    <w:rsid w:val="001526BF"/>
    <w:rsid w:val="00152A14"/>
    <w:rsid w:val="00152C30"/>
    <w:rsid w:val="00153037"/>
    <w:rsid w:val="001530E3"/>
    <w:rsid w:val="00153379"/>
    <w:rsid w:val="001536A0"/>
    <w:rsid w:val="0015427E"/>
    <w:rsid w:val="00154516"/>
    <w:rsid w:val="00154F72"/>
    <w:rsid w:val="001551F7"/>
    <w:rsid w:val="00155231"/>
    <w:rsid w:val="001554A0"/>
    <w:rsid w:val="00156000"/>
    <w:rsid w:val="00156048"/>
    <w:rsid w:val="00156F2D"/>
    <w:rsid w:val="00156FFC"/>
    <w:rsid w:val="001575E8"/>
    <w:rsid w:val="0015770E"/>
    <w:rsid w:val="00157BEF"/>
    <w:rsid w:val="00157CAE"/>
    <w:rsid w:val="00160097"/>
    <w:rsid w:val="00161F9B"/>
    <w:rsid w:val="00162E6E"/>
    <w:rsid w:val="00163084"/>
    <w:rsid w:val="001632A4"/>
    <w:rsid w:val="00163831"/>
    <w:rsid w:val="00163CC2"/>
    <w:rsid w:val="00164106"/>
    <w:rsid w:val="001642B8"/>
    <w:rsid w:val="00164F1B"/>
    <w:rsid w:val="00165718"/>
    <w:rsid w:val="00165936"/>
    <w:rsid w:val="00165B82"/>
    <w:rsid w:val="00166460"/>
    <w:rsid w:val="00166A77"/>
    <w:rsid w:val="00167D0A"/>
    <w:rsid w:val="001711AD"/>
    <w:rsid w:val="001713BC"/>
    <w:rsid w:val="00171A97"/>
    <w:rsid w:val="00172179"/>
    <w:rsid w:val="00172FE7"/>
    <w:rsid w:val="00173A21"/>
    <w:rsid w:val="001740A8"/>
    <w:rsid w:val="00174214"/>
    <w:rsid w:val="00174970"/>
    <w:rsid w:val="00174BC6"/>
    <w:rsid w:val="00174C9E"/>
    <w:rsid w:val="00174D4F"/>
    <w:rsid w:val="001757AD"/>
    <w:rsid w:val="0017608C"/>
    <w:rsid w:val="001766F6"/>
    <w:rsid w:val="00176CA7"/>
    <w:rsid w:val="00177057"/>
    <w:rsid w:val="0017727B"/>
    <w:rsid w:val="00180C38"/>
    <w:rsid w:val="00180E81"/>
    <w:rsid w:val="00180F22"/>
    <w:rsid w:val="0018236D"/>
    <w:rsid w:val="0018263E"/>
    <w:rsid w:val="0018272A"/>
    <w:rsid w:val="00182C72"/>
    <w:rsid w:val="00183590"/>
    <w:rsid w:val="00183A5F"/>
    <w:rsid w:val="00183EB5"/>
    <w:rsid w:val="00183F5F"/>
    <w:rsid w:val="00183F78"/>
    <w:rsid w:val="00184D16"/>
    <w:rsid w:val="001868E0"/>
    <w:rsid w:val="001871E2"/>
    <w:rsid w:val="00187F62"/>
    <w:rsid w:val="00187FC9"/>
    <w:rsid w:val="00190320"/>
    <w:rsid w:val="00190B60"/>
    <w:rsid w:val="00191617"/>
    <w:rsid w:val="001921EA"/>
    <w:rsid w:val="0019220F"/>
    <w:rsid w:val="00192FBD"/>
    <w:rsid w:val="0019382F"/>
    <w:rsid w:val="00193DFD"/>
    <w:rsid w:val="00194C35"/>
    <w:rsid w:val="00195CDE"/>
    <w:rsid w:val="001967AA"/>
    <w:rsid w:val="001968D0"/>
    <w:rsid w:val="001969FF"/>
    <w:rsid w:val="00196EFA"/>
    <w:rsid w:val="001975BA"/>
    <w:rsid w:val="00197946"/>
    <w:rsid w:val="00197DD8"/>
    <w:rsid w:val="00197E56"/>
    <w:rsid w:val="001A011C"/>
    <w:rsid w:val="001A1EF1"/>
    <w:rsid w:val="001A255B"/>
    <w:rsid w:val="001A31D7"/>
    <w:rsid w:val="001A39F5"/>
    <w:rsid w:val="001A3B94"/>
    <w:rsid w:val="001A3FAE"/>
    <w:rsid w:val="001A42C8"/>
    <w:rsid w:val="001A462F"/>
    <w:rsid w:val="001A538D"/>
    <w:rsid w:val="001A542C"/>
    <w:rsid w:val="001A57C7"/>
    <w:rsid w:val="001A5D16"/>
    <w:rsid w:val="001A5EA3"/>
    <w:rsid w:val="001A5F59"/>
    <w:rsid w:val="001A637D"/>
    <w:rsid w:val="001A638F"/>
    <w:rsid w:val="001A6BEE"/>
    <w:rsid w:val="001A6D09"/>
    <w:rsid w:val="001A778B"/>
    <w:rsid w:val="001A7DC6"/>
    <w:rsid w:val="001B02FB"/>
    <w:rsid w:val="001B03CA"/>
    <w:rsid w:val="001B06B8"/>
    <w:rsid w:val="001B0BBD"/>
    <w:rsid w:val="001B0DE0"/>
    <w:rsid w:val="001B1C79"/>
    <w:rsid w:val="001B1E4D"/>
    <w:rsid w:val="001B2CD0"/>
    <w:rsid w:val="001B30EA"/>
    <w:rsid w:val="001B3449"/>
    <w:rsid w:val="001B37A8"/>
    <w:rsid w:val="001B43E8"/>
    <w:rsid w:val="001B4605"/>
    <w:rsid w:val="001B4835"/>
    <w:rsid w:val="001B4934"/>
    <w:rsid w:val="001B508D"/>
    <w:rsid w:val="001B5245"/>
    <w:rsid w:val="001B5E47"/>
    <w:rsid w:val="001B5F3A"/>
    <w:rsid w:val="001B604B"/>
    <w:rsid w:val="001B6608"/>
    <w:rsid w:val="001B674B"/>
    <w:rsid w:val="001B6F56"/>
    <w:rsid w:val="001B7290"/>
    <w:rsid w:val="001C029C"/>
    <w:rsid w:val="001C068D"/>
    <w:rsid w:val="001C0F42"/>
    <w:rsid w:val="001C13E6"/>
    <w:rsid w:val="001C22FF"/>
    <w:rsid w:val="001C241A"/>
    <w:rsid w:val="001C24E9"/>
    <w:rsid w:val="001C262B"/>
    <w:rsid w:val="001C2AB9"/>
    <w:rsid w:val="001C3619"/>
    <w:rsid w:val="001C3B87"/>
    <w:rsid w:val="001C46BE"/>
    <w:rsid w:val="001C4E2C"/>
    <w:rsid w:val="001C5A8E"/>
    <w:rsid w:val="001C610F"/>
    <w:rsid w:val="001C626F"/>
    <w:rsid w:val="001C6493"/>
    <w:rsid w:val="001C64B8"/>
    <w:rsid w:val="001C7208"/>
    <w:rsid w:val="001D0528"/>
    <w:rsid w:val="001D0696"/>
    <w:rsid w:val="001D06EB"/>
    <w:rsid w:val="001D0729"/>
    <w:rsid w:val="001D0C7C"/>
    <w:rsid w:val="001D230C"/>
    <w:rsid w:val="001D308E"/>
    <w:rsid w:val="001D33EB"/>
    <w:rsid w:val="001D36DD"/>
    <w:rsid w:val="001D3F34"/>
    <w:rsid w:val="001D43AF"/>
    <w:rsid w:val="001D495E"/>
    <w:rsid w:val="001D4CD3"/>
    <w:rsid w:val="001D5501"/>
    <w:rsid w:val="001D62A3"/>
    <w:rsid w:val="001D65EB"/>
    <w:rsid w:val="001D6751"/>
    <w:rsid w:val="001D67D3"/>
    <w:rsid w:val="001D6EFF"/>
    <w:rsid w:val="001D7A4D"/>
    <w:rsid w:val="001D7E7B"/>
    <w:rsid w:val="001E083D"/>
    <w:rsid w:val="001E0C1F"/>
    <w:rsid w:val="001E1674"/>
    <w:rsid w:val="001E1B03"/>
    <w:rsid w:val="001E2061"/>
    <w:rsid w:val="001E2828"/>
    <w:rsid w:val="001E43A9"/>
    <w:rsid w:val="001E4696"/>
    <w:rsid w:val="001E5904"/>
    <w:rsid w:val="001E64E4"/>
    <w:rsid w:val="001E67FF"/>
    <w:rsid w:val="001E7148"/>
    <w:rsid w:val="001E72BA"/>
    <w:rsid w:val="001F0405"/>
    <w:rsid w:val="001F050B"/>
    <w:rsid w:val="001F0B2D"/>
    <w:rsid w:val="001F1327"/>
    <w:rsid w:val="001F1356"/>
    <w:rsid w:val="001F1901"/>
    <w:rsid w:val="001F234C"/>
    <w:rsid w:val="001F26EE"/>
    <w:rsid w:val="001F2E12"/>
    <w:rsid w:val="001F366D"/>
    <w:rsid w:val="001F4004"/>
    <w:rsid w:val="001F48BC"/>
    <w:rsid w:val="001F48E8"/>
    <w:rsid w:val="001F4C37"/>
    <w:rsid w:val="001F5615"/>
    <w:rsid w:val="001F59EA"/>
    <w:rsid w:val="001F5FD7"/>
    <w:rsid w:val="00201109"/>
    <w:rsid w:val="00201267"/>
    <w:rsid w:val="00201635"/>
    <w:rsid w:val="002016CF"/>
    <w:rsid w:val="00201841"/>
    <w:rsid w:val="00201A76"/>
    <w:rsid w:val="00201F3A"/>
    <w:rsid w:val="002025FF"/>
    <w:rsid w:val="00202CC1"/>
    <w:rsid w:val="00203D69"/>
    <w:rsid w:val="0020424E"/>
    <w:rsid w:val="002042E1"/>
    <w:rsid w:val="0020459F"/>
    <w:rsid w:val="0020492F"/>
    <w:rsid w:val="00204C03"/>
    <w:rsid w:val="002053BB"/>
    <w:rsid w:val="00205CAB"/>
    <w:rsid w:val="00205E75"/>
    <w:rsid w:val="002065BB"/>
    <w:rsid w:val="00206638"/>
    <w:rsid w:val="00206FF2"/>
    <w:rsid w:val="00207874"/>
    <w:rsid w:val="00207D97"/>
    <w:rsid w:val="002101DF"/>
    <w:rsid w:val="002119F3"/>
    <w:rsid w:val="00211DAF"/>
    <w:rsid w:val="00211F3C"/>
    <w:rsid w:val="00211FB9"/>
    <w:rsid w:val="002125D4"/>
    <w:rsid w:val="00213495"/>
    <w:rsid w:val="00213CA6"/>
    <w:rsid w:val="00213E21"/>
    <w:rsid w:val="00214614"/>
    <w:rsid w:val="00214E28"/>
    <w:rsid w:val="00215011"/>
    <w:rsid w:val="00215B5A"/>
    <w:rsid w:val="00216381"/>
    <w:rsid w:val="00217046"/>
    <w:rsid w:val="002174C1"/>
    <w:rsid w:val="00217AA0"/>
    <w:rsid w:val="0022008E"/>
    <w:rsid w:val="00220485"/>
    <w:rsid w:val="00220645"/>
    <w:rsid w:val="00220C95"/>
    <w:rsid w:val="0022143F"/>
    <w:rsid w:val="00222463"/>
    <w:rsid w:val="00222A64"/>
    <w:rsid w:val="00222E0A"/>
    <w:rsid w:val="002233DF"/>
    <w:rsid w:val="00223410"/>
    <w:rsid w:val="002243B1"/>
    <w:rsid w:val="002244F7"/>
    <w:rsid w:val="002249E1"/>
    <w:rsid w:val="00224C1E"/>
    <w:rsid w:val="00224F34"/>
    <w:rsid w:val="002256FC"/>
    <w:rsid w:val="0022585C"/>
    <w:rsid w:val="00225B68"/>
    <w:rsid w:val="002263F2"/>
    <w:rsid w:val="002266E7"/>
    <w:rsid w:val="00226A2D"/>
    <w:rsid w:val="002276F9"/>
    <w:rsid w:val="0022774B"/>
    <w:rsid w:val="00227855"/>
    <w:rsid w:val="00227DC4"/>
    <w:rsid w:val="0023092D"/>
    <w:rsid w:val="00230D32"/>
    <w:rsid w:val="00231261"/>
    <w:rsid w:val="00232AB9"/>
    <w:rsid w:val="0023385F"/>
    <w:rsid w:val="00233AAD"/>
    <w:rsid w:val="00234546"/>
    <w:rsid w:val="00234727"/>
    <w:rsid w:val="002347BD"/>
    <w:rsid w:val="002347E9"/>
    <w:rsid w:val="002349E7"/>
    <w:rsid w:val="00234A63"/>
    <w:rsid w:val="00235F16"/>
    <w:rsid w:val="00236492"/>
    <w:rsid w:val="00236659"/>
    <w:rsid w:val="00236779"/>
    <w:rsid w:val="00236C48"/>
    <w:rsid w:val="00236E95"/>
    <w:rsid w:val="0023743A"/>
    <w:rsid w:val="00237F0F"/>
    <w:rsid w:val="002400DB"/>
    <w:rsid w:val="00240300"/>
    <w:rsid w:val="00240A78"/>
    <w:rsid w:val="00240E3C"/>
    <w:rsid w:val="00241449"/>
    <w:rsid w:val="00241B3F"/>
    <w:rsid w:val="00241BB3"/>
    <w:rsid w:val="002426E4"/>
    <w:rsid w:val="002427F0"/>
    <w:rsid w:val="0024291A"/>
    <w:rsid w:val="00242FB3"/>
    <w:rsid w:val="0024353F"/>
    <w:rsid w:val="00243994"/>
    <w:rsid w:val="002445F1"/>
    <w:rsid w:val="002448F8"/>
    <w:rsid w:val="002449EC"/>
    <w:rsid w:val="00244D65"/>
    <w:rsid w:val="0024502A"/>
    <w:rsid w:val="002452CC"/>
    <w:rsid w:val="0024547E"/>
    <w:rsid w:val="002458EE"/>
    <w:rsid w:val="0024635E"/>
    <w:rsid w:val="00246696"/>
    <w:rsid w:val="00246901"/>
    <w:rsid w:val="00246D06"/>
    <w:rsid w:val="00246E0E"/>
    <w:rsid w:val="00247497"/>
    <w:rsid w:val="00247AC7"/>
    <w:rsid w:val="00250258"/>
    <w:rsid w:val="002504FC"/>
    <w:rsid w:val="00250F2B"/>
    <w:rsid w:val="002511F9"/>
    <w:rsid w:val="00251CDC"/>
    <w:rsid w:val="0025250B"/>
    <w:rsid w:val="00252792"/>
    <w:rsid w:val="00252CBD"/>
    <w:rsid w:val="002534C6"/>
    <w:rsid w:val="0025365A"/>
    <w:rsid w:val="00253898"/>
    <w:rsid w:val="002559E5"/>
    <w:rsid w:val="00255F05"/>
    <w:rsid w:val="00256129"/>
    <w:rsid w:val="002565D3"/>
    <w:rsid w:val="00256C16"/>
    <w:rsid w:val="002577A7"/>
    <w:rsid w:val="0026009E"/>
    <w:rsid w:val="002602FD"/>
    <w:rsid w:val="002615FB"/>
    <w:rsid w:val="002617B6"/>
    <w:rsid w:val="0026193C"/>
    <w:rsid w:val="00262460"/>
    <w:rsid w:val="00262BEF"/>
    <w:rsid w:val="00262D89"/>
    <w:rsid w:val="002639D3"/>
    <w:rsid w:val="00263BF4"/>
    <w:rsid w:val="00263C37"/>
    <w:rsid w:val="00263FDB"/>
    <w:rsid w:val="002640AE"/>
    <w:rsid w:val="002643F9"/>
    <w:rsid w:val="0026523E"/>
    <w:rsid w:val="0026532E"/>
    <w:rsid w:val="00266201"/>
    <w:rsid w:val="00266287"/>
    <w:rsid w:val="00266A5F"/>
    <w:rsid w:val="0026723F"/>
    <w:rsid w:val="002672F8"/>
    <w:rsid w:val="00267504"/>
    <w:rsid w:val="002675E1"/>
    <w:rsid w:val="00267BE2"/>
    <w:rsid w:val="002705D3"/>
    <w:rsid w:val="0027087E"/>
    <w:rsid w:val="00270BB1"/>
    <w:rsid w:val="00270ED2"/>
    <w:rsid w:val="002716AF"/>
    <w:rsid w:val="002716DF"/>
    <w:rsid w:val="002717DF"/>
    <w:rsid w:val="00271EBD"/>
    <w:rsid w:val="00272736"/>
    <w:rsid w:val="00272DBC"/>
    <w:rsid w:val="00274F32"/>
    <w:rsid w:val="00275209"/>
    <w:rsid w:val="00275AD4"/>
    <w:rsid w:val="00275E87"/>
    <w:rsid w:val="002768D9"/>
    <w:rsid w:val="002779B2"/>
    <w:rsid w:val="00277E72"/>
    <w:rsid w:val="00277EF3"/>
    <w:rsid w:val="00277F11"/>
    <w:rsid w:val="00280BB2"/>
    <w:rsid w:val="00281675"/>
    <w:rsid w:val="002821C7"/>
    <w:rsid w:val="002821D3"/>
    <w:rsid w:val="00283605"/>
    <w:rsid w:val="00283841"/>
    <w:rsid w:val="00284240"/>
    <w:rsid w:val="00284BBB"/>
    <w:rsid w:val="002850FD"/>
    <w:rsid w:val="002855E7"/>
    <w:rsid w:val="00285C45"/>
    <w:rsid w:val="00285D9D"/>
    <w:rsid w:val="00285FFE"/>
    <w:rsid w:val="00286141"/>
    <w:rsid w:val="002875D1"/>
    <w:rsid w:val="00287864"/>
    <w:rsid w:val="00287E30"/>
    <w:rsid w:val="00287EFF"/>
    <w:rsid w:val="00290DF2"/>
    <w:rsid w:val="0029154A"/>
    <w:rsid w:val="00291A99"/>
    <w:rsid w:val="00292269"/>
    <w:rsid w:val="002922BF"/>
    <w:rsid w:val="0029246F"/>
    <w:rsid w:val="00292CD0"/>
    <w:rsid w:val="0029322F"/>
    <w:rsid w:val="002933C8"/>
    <w:rsid w:val="002936DB"/>
    <w:rsid w:val="00293707"/>
    <w:rsid w:val="00293C4E"/>
    <w:rsid w:val="00294DF6"/>
    <w:rsid w:val="00295683"/>
    <w:rsid w:val="002958A8"/>
    <w:rsid w:val="00295A53"/>
    <w:rsid w:val="00296B58"/>
    <w:rsid w:val="00296E12"/>
    <w:rsid w:val="002A025E"/>
    <w:rsid w:val="002A0DAA"/>
    <w:rsid w:val="002A1069"/>
    <w:rsid w:val="002A11B9"/>
    <w:rsid w:val="002A12C5"/>
    <w:rsid w:val="002A26F6"/>
    <w:rsid w:val="002A3CFF"/>
    <w:rsid w:val="002A45E2"/>
    <w:rsid w:val="002A47FD"/>
    <w:rsid w:val="002A4859"/>
    <w:rsid w:val="002A4B5F"/>
    <w:rsid w:val="002A4B6C"/>
    <w:rsid w:val="002A51C8"/>
    <w:rsid w:val="002A5D37"/>
    <w:rsid w:val="002A61E6"/>
    <w:rsid w:val="002A621C"/>
    <w:rsid w:val="002A6397"/>
    <w:rsid w:val="002A66F9"/>
    <w:rsid w:val="002A6893"/>
    <w:rsid w:val="002A6AAC"/>
    <w:rsid w:val="002A75B9"/>
    <w:rsid w:val="002A7C23"/>
    <w:rsid w:val="002B03D8"/>
    <w:rsid w:val="002B1D61"/>
    <w:rsid w:val="002B2DB0"/>
    <w:rsid w:val="002B3253"/>
    <w:rsid w:val="002B38E5"/>
    <w:rsid w:val="002B390F"/>
    <w:rsid w:val="002B3F66"/>
    <w:rsid w:val="002B49D8"/>
    <w:rsid w:val="002B4B70"/>
    <w:rsid w:val="002B4D01"/>
    <w:rsid w:val="002B4D67"/>
    <w:rsid w:val="002B4EF9"/>
    <w:rsid w:val="002B55CC"/>
    <w:rsid w:val="002B616F"/>
    <w:rsid w:val="002B6921"/>
    <w:rsid w:val="002B6AC4"/>
    <w:rsid w:val="002B78AD"/>
    <w:rsid w:val="002B7A5B"/>
    <w:rsid w:val="002B7FDE"/>
    <w:rsid w:val="002C0107"/>
    <w:rsid w:val="002C03CA"/>
    <w:rsid w:val="002C09F2"/>
    <w:rsid w:val="002C0FCE"/>
    <w:rsid w:val="002C12FE"/>
    <w:rsid w:val="002C157D"/>
    <w:rsid w:val="002C18B3"/>
    <w:rsid w:val="002C1E34"/>
    <w:rsid w:val="002C2150"/>
    <w:rsid w:val="002C2682"/>
    <w:rsid w:val="002C3B8B"/>
    <w:rsid w:val="002C44D9"/>
    <w:rsid w:val="002C4612"/>
    <w:rsid w:val="002C4761"/>
    <w:rsid w:val="002C56CF"/>
    <w:rsid w:val="002C5FCC"/>
    <w:rsid w:val="002C6264"/>
    <w:rsid w:val="002C64E4"/>
    <w:rsid w:val="002C66F4"/>
    <w:rsid w:val="002C7378"/>
    <w:rsid w:val="002C752A"/>
    <w:rsid w:val="002C7998"/>
    <w:rsid w:val="002C7C2B"/>
    <w:rsid w:val="002D0475"/>
    <w:rsid w:val="002D163A"/>
    <w:rsid w:val="002D167F"/>
    <w:rsid w:val="002D26B5"/>
    <w:rsid w:val="002D3456"/>
    <w:rsid w:val="002D4F9D"/>
    <w:rsid w:val="002D50C9"/>
    <w:rsid w:val="002D653F"/>
    <w:rsid w:val="002D6BBE"/>
    <w:rsid w:val="002D74EF"/>
    <w:rsid w:val="002D76CD"/>
    <w:rsid w:val="002D7711"/>
    <w:rsid w:val="002D778D"/>
    <w:rsid w:val="002D7B7D"/>
    <w:rsid w:val="002E0816"/>
    <w:rsid w:val="002E0C58"/>
    <w:rsid w:val="002E10A9"/>
    <w:rsid w:val="002E1668"/>
    <w:rsid w:val="002E1C66"/>
    <w:rsid w:val="002E2063"/>
    <w:rsid w:val="002E31E8"/>
    <w:rsid w:val="002E390A"/>
    <w:rsid w:val="002E3CE4"/>
    <w:rsid w:val="002E42B5"/>
    <w:rsid w:val="002E4536"/>
    <w:rsid w:val="002E4558"/>
    <w:rsid w:val="002E4652"/>
    <w:rsid w:val="002E4C8E"/>
    <w:rsid w:val="002E4E8B"/>
    <w:rsid w:val="002E52D7"/>
    <w:rsid w:val="002E5572"/>
    <w:rsid w:val="002E57C7"/>
    <w:rsid w:val="002E5952"/>
    <w:rsid w:val="002E5ACE"/>
    <w:rsid w:val="002E6752"/>
    <w:rsid w:val="002E6786"/>
    <w:rsid w:val="002E6ADA"/>
    <w:rsid w:val="002E728D"/>
    <w:rsid w:val="002E758E"/>
    <w:rsid w:val="002F075D"/>
    <w:rsid w:val="002F0C29"/>
    <w:rsid w:val="002F15C9"/>
    <w:rsid w:val="002F2377"/>
    <w:rsid w:val="002F2453"/>
    <w:rsid w:val="002F245A"/>
    <w:rsid w:val="002F2A0B"/>
    <w:rsid w:val="002F2C98"/>
    <w:rsid w:val="002F327A"/>
    <w:rsid w:val="002F3EDF"/>
    <w:rsid w:val="002F49C6"/>
    <w:rsid w:val="002F4D81"/>
    <w:rsid w:val="002F4E75"/>
    <w:rsid w:val="002F520E"/>
    <w:rsid w:val="002F59B1"/>
    <w:rsid w:val="002F612C"/>
    <w:rsid w:val="002F69DD"/>
    <w:rsid w:val="002F7080"/>
    <w:rsid w:val="002F74D6"/>
    <w:rsid w:val="002F7E52"/>
    <w:rsid w:val="00300001"/>
    <w:rsid w:val="003002A3"/>
    <w:rsid w:val="00300381"/>
    <w:rsid w:val="00300A1A"/>
    <w:rsid w:val="0030104E"/>
    <w:rsid w:val="003017E5"/>
    <w:rsid w:val="00302568"/>
    <w:rsid w:val="00302A0D"/>
    <w:rsid w:val="00302B10"/>
    <w:rsid w:val="00303331"/>
    <w:rsid w:val="003036AD"/>
    <w:rsid w:val="00303BB4"/>
    <w:rsid w:val="00303F46"/>
    <w:rsid w:val="003045FA"/>
    <w:rsid w:val="0030502F"/>
    <w:rsid w:val="0030562F"/>
    <w:rsid w:val="00305BEC"/>
    <w:rsid w:val="00305C7A"/>
    <w:rsid w:val="00305D6F"/>
    <w:rsid w:val="00306886"/>
    <w:rsid w:val="00306AB3"/>
    <w:rsid w:val="00307315"/>
    <w:rsid w:val="00307DC7"/>
    <w:rsid w:val="00310C60"/>
    <w:rsid w:val="00311031"/>
    <w:rsid w:val="00311489"/>
    <w:rsid w:val="00312139"/>
    <w:rsid w:val="003126A5"/>
    <w:rsid w:val="00313897"/>
    <w:rsid w:val="003143FB"/>
    <w:rsid w:val="00314A49"/>
    <w:rsid w:val="00314DEC"/>
    <w:rsid w:val="00314E90"/>
    <w:rsid w:val="00314EDB"/>
    <w:rsid w:val="00314F00"/>
    <w:rsid w:val="00315129"/>
    <w:rsid w:val="00315485"/>
    <w:rsid w:val="003156C0"/>
    <w:rsid w:val="003157D5"/>
    <w:rsid w:val="00315B77"/>
    <w:rsid w:val="003163A7"/>
    <w:rsid w:val="003168CE"/>
    <w:rsid w:val="00316905"/>
    <w:rsid w:val="00317201"/>
    <w:rsid w:val="00317AE6"/>
    <w:rsid w:val="00317D1D"/>
    <w:rsid w:val="00317FF9"/>
    <w:rsid w:val="003203FB"/>
    <w:rsid w:val="00320BBB"/>
    <w:rsid w:val="00320F7C"/>
    <w:rsid w:val="00321911"/>
    <w:rsid w:val="00321C90"/>
    <w:rsid w:val="00323BBE"/>
    <w:rsid w:val="0032460F"/>
    <w:rsid w:val="0032538C"/>
    <w:rsid w:val="003259E6"/>
    <w:rsid w:val="00325D00"/>
    <w:rsid w:val="00326283"/>
    <w:rsid w:val="00327BAB"/>
    <w:rsid w:val="00327EA8"/>
    <w:rsid w:val="00327F99"/>
    <w:rsid w:val="003302BC"/>
    <w:rsid w:val="003302C6"/>
    <w:rsid w:val="0033063D"/>
    <w:rsid w:val="00330E94"/>
    <w:rsid w:val="00331239"/>
    <w:rsid w:val="0033398A"/>
    <w:rsid w:val="00333D54"/>
    <w:rsid w:val="003347A1"/>
    <w:rsid w:val="00334B4E"/>
    <w:rsid w:val="00334C18"/>
    <w:rsid w:val="0033537E"/>
    <w:rsid w:val="00335566"/>
    <w:rsid w:val="00335734"/>
    <w:rsid w:val="00335915"/>
    <w:rsid w:val="00335C6E"/>
    <w:rsid w:val="00335E2B"/>
    <w:rsid w:val="00336A12"/>
    <w:rsid w:val="003370D3"/>
    <w:rsid w:val="00337194"/>
    <w:rsid w:val="0033754D"/>
    <w:rsid w:val="00337E21"/>
    <w:rsid w:val="00337EBF"/>
    <w:rsid w:val="0034021C"/>
    <w:rsid w:val="0034109F"/>
    <w:rsid w:val="00341308"/>
    <w:rsid w:val="003419E0"/>
    <w:rsid w:val="00341EBF"/>
    <w:rsid w:val="00342DE4"/>
    <w:rsid w:val="00342EDB"/>
    <w:rsid w:val="00342FDD"/>
    <w:rsid w:val="0034342E"/>
    <w:rsid w:val="00343C7A"/>
    <w:rsid w:val="00343DF3"/>
    <w:rsid w:val="00343E4F"/>
    <w:rsid w:val="00344301"/>
    <w:rsid w:val="003447E8"/>
    <w:rsid w:val="00345299"/>
    <w:rsid w:val="00345CC9"/>
    <w:rsid w:val="0034679E"/>
    <w:rsid w:val="00346976"/>
    <w:rsid w:val="00346C34"/>
    <w:rsid w:val="0034724D"/>
    <w:rsid w:val="00347283"/>
    <w:rsid w:val="00347D24"/>
    <w:rsid w:val="00350060"/>
    <w:rsid w:val="00350B94"/>
    <w:rsid w:val="00351940"/>
    <w:rsid w:val="00353DCD"/>
    <w:rsid w:val="003548C7"/>
    <w:rsid w:val="00354D5C"/>
    <w:rsid w:val="00354D8E"/>
    <w:rsid w:val="00354E76"/>
    <w:rsid w:val="00355AE7"/>
    <w:rsid w:val="00355D90"/>
    <w:rsid w:val="00355F51"/>
    <w:rsid w:val="00357471"/>
    <w:rsid w:val="003574A6"/>
    <w:rsid w:val="003605F4"/>
    <w:rsid w:val="00361E8E"/>
    <w:rsid w:val="003621BC"/>
    <w:rsid w:val="00362872"/>
    <w:rsid w:val="003628D4"/>
    <w:rsid w:val="00363206"/>
    <w:rsid w:val="003640B2"/>
    <w:rsid w:val="00364191"/>
    <w:rsid w:val="003644AF"/>
    <w:rsid w:val="0036469D"/>
    <w:rsid w:val="003648F1"/>
    <w:rsid w:val="00364D58"/>
    <w:rsid w:val="00365E11"/>
    <w:rsid w:val="003663E5"/>
    <w:rsid w:val="0036691C"/>
    <w:rsid w:val="00367FDE"/>
    <w:rsid w:val="00370876"/>
    <w:rsid w:val="00371049"/>
    <w:rsid w:val="0037125E"/>
    <w:rsid w:val="0037203B"/>
    <w:rsid w:val="00372E1B"/>
    <w:rsid w:val="00373897"/>
    <w:rsid w:val="00373F05"/>
    <w:rsid w:val="00374190"/>
    <w:rsid w:val="003741FA"/>
    <w:rsid w:val="00374597"/>
    <w:rsid w:val="00374E1C"/>
    <w:rsid w:val="00375DAD"/>
    <w:rsid w:val="00376BBD"/>
    <w:rsid w:val="00377219"/>
    <w:rsid w:val="00377667"/>
    <w:rsid w:val="00377763"/>
    <w:rsid w:val="00377BF0"/>
    <w:rsid w:val="00380A65"/>
    <w:rsid w:val="00380A94"/>
    <w:rsid w:val="00380D92"/>
    <w:rsid w:val="00381CE5"/>
    <w:rsid w:val="0038245D"/>
    <w:rsid w:val="00382841"/>
    <w:rsid w:val="00382B86"/>
    <w:rsid w:val="003832A2"/>
    <w:rsid w:val="003835B7"/>
    <w:rsid w:val="00383A75"/>
    <w:rsid w:val="00383BB0"/>
    <w:rsid w:val="00383F32"/>
    <w:rsid w:val="0038438B"/>
    <w:rsid w:val="00384486"/>
    <w:rsid w:val="00384D67"/>
    <w:rsid w:val="00385A7E"/>
    <w:rsid w:val="00386708"/>
    <w:rsid w:val="00386796"/>
    <w:rsid w:val="003908D2"/>
    <w:rsid w:val="003909D1"/>
    <w:rsid w:val="00391EB2"/>
    <w:rsid w:val="00391ECD"/>
    <w:rsid w:val="00392C97"/>
    <w:rsid w:val="0039300A"/>
    <w:rsid w:val="00393202"/>
    <w:rsid w:val="003933CF"/>
    <w:rsid w:val="00393ADE"/>
    <w:rsid w:val="00394243"/>
    <w:rsid w:val="003945EE"/>
    <w:rsid w:val="0039535D"/>
    <w:rsid w:val="00395546"/>
    <w:rsid w:val="003957D2"/>
    <w:rsid w:val="00395947"/>
    <w:rsid w:val="00395B52"/>
    <w:rsid w:val="00395E5F"/>
    <w:rsid w:val="00395E8F"/>
    <w:rsid w:val="0039621B"/>
    <w:rsid w:val="003968D1"/>
    <w:rsid w:val="00396EB4"/>
    <w:rsid w:val="003973EC"/>
    <w:rsid w:val="00397E2B"/>
    <w:rsid w:val="003A0211"/>
    <w:rsid w:val="003A16E7"/>
    <w:rsid w:val="003A19FB"/>
    <w:rsid w:val="003A2000"/>
    <w:rsid w:val="003A21FA"/>
    <w:rsid w:val="003A27BC"/>
    <w:rsid w:val="003A36E4"/>
    <w:rsid w:val="003A381B"/>
    <w:rsid w:val="003A3CA3"/>
    <w:rsid w:val="003A4D07"/>
    <w:rsid w:val="003A5ABA"/>
    <w:rsid w:val="003A5DBA"/>
    <w:rsid w:val="003A5E19"/>
    <w:rsid w:val="003A6118"/>
    <w:rsid w:val="003B0BD2"/>
    <w:rsid w:val="003B147C"/>
    <w:rsid w:val="003B1E5F"/>
    <w:rsid w:val="003B254D"/>
    <w:rsid w:val="003B2867"/>
    <w:rsid w:val="003B2D31"/>
    <w:rsid w:val="003B2ED5"/>
    <w:rsid w:val="003B3282"/>
    <w:rsid w:val="003B37A1"/>
    <w:rsid w:val="003B3C51"/>
    <w:rsid w:val="003B4A08"/>
    <w:rsid w:val="003B4B2E"/>
    <w:rsid w:val="003B4DA0"/>
    <w:rsid w:val="003B549F"/>
    <w:rsid w:val="003B5936"/>
    <w:rsid w:val="003B5E2E"/>
    <w:rsid w:val="003B5F2E"/>
    <w:rsid w:val="003B6AB2"/>
    <w:rsid w:val="003B7246"/>
    <w:rsid w:val="003B7D21"/>
    <w:rsid w:val="003C08CE"/>
    <w:rsid w:val="003C1097"/>
    <w:rsid w:val="003C1F6B"/>
    <w:rsid w:val="003C29A2"/>
    <w:rsid w:val="003C2C98"/>
    <w:rsid w:val="003C2F1C"/>
    <w:rsid w:val="003C36A6"/>
    <w:rsid w:val="003C3E1B"/>
    <w:rsid w:val="003C4105"/>
    <w:rsid w:val="003C4718"/>
    <w:rsid w:val="003C5B8F"/>
    <w:rsid w:val="003C6228"/>
    <w:rsid w:val="003C6575"/>
    <w:rsid w:val="003C65BF"/>
    <w:rsid w:val="003C6C96"/>
    <w:rsid w:val="003C6E6C"/>
    <w:rsid w:val="003C6FA1"/>
    <w:rsid w:val="003C72FE"/>
    <w:rsid w:val="003C766D"/>
    <w:rsid w:val="003C79EF"/>
    <w:rsid w:val="003C7A52"/>
    <w:rsid w:val="003D0211"/>
    <w:rsid w:val="003D139D"/>
    <w:rsid w:val="003D1651"/>
    <w:rsid w:val="003D188B"/>
    <w:rsid w:val="003D1F59"/>
    <w:rsid w:val="003D260D"/>
    <w:rsid w:val="003D2741"/>
    <w:rsid w:val="003D2C49"/>
    <w:rsid w:val="003D32C0"/>
    <w:rsid w:val="003D3C32"/>
    <w:rsid w:val="003D4049"/>
    <w:rsid w:val="003D4D79"/>
    <w:rsid w:val="003D5087"/>
    <w:rsid w:val="003D55BB"/>
    <w:rsid w:val="003D643D"/>
    <w:rsid w:val="003D6A4F"/>
    <w:rsid w:val="003D6AC1"/>
    <w:rsid w:val="003D6F55"/>
    <w:rsid w:val="003D6FD0"/>
    <w:rsid w:val="003D73F3"/>
    <w:rsid w:val="003D7975"/>
    <w:rsid w:val="003D7A45"/>
    <w:rsid w:val="003D7F18"/>
    <w:rsid w:val="003D7F5D"/>
    <w:rsid w:val="003E03BF"/>
    <w:rsid w:val="003E129B"/>
    <w:rsid w:val="003E1CC4"/>
    <w:rsid w:val="003E2197"/>
    <w:rsid w:val="003E2240"/>
    <w:rsid w:val="003E2F84"/>
    <w:rsid w:val="003E2FB3"/>
    <w:rsid w:val="003E4E2C"/>
    <w:rsid w:val="003E4F77"/>
    <w:rsid w:val="003E5B50"/>
    <w:rsid w:val="003E6587"/>
    <w:rsid w:val="003E6623"/>
    <w:rsid w:val="003E68CD"/>
    <w:rsid w:val="003E7033"/>
    <w:rsid w:val="003E732A"/>
    <w:rsid w:val="003E73C7"/>
    <w:rsid w:val="003E7657"/>
    <w:rsid w:val="003E7CC9"/>
    <w:rsid w:val="003F024C"/>
    <w:rsid w:val="003F0435"/>
    <w:rsid w:val="003F074F"/>
    <w:rsid w:val="003F0792"/>
    <w:rsid w:val="003F233A"/>
    <w:rsid w:val="003F2A10"/>
    <w:rsid w:val="003F2A3D"/>
    <w:rsid w:val="003F2E89"/>
    <w:rsid w:val="003F2ED4"/>
    <w:rsid w:val="003F33B3"/>
    <w:rsid w:val="003F3539"/>
    <w:rsid w:val="003F3B36"/>
    <w:rsid w:val="003F3C37"/>
    <w:rsid w:val="003F3E0B"/>
    <w:rsid w:val="003F3FD0"/>
    <w:rsid w:val="003F4839"/>
    <w:rsid w:val="003F5027"/>
    <w:rsid w:val="003F5596"/>
    <w:rsid w:val="003F5AC5"/>
    <w:rsid w:val="003F5C92"/>
    <w:rsid w:val="003F6253"/>
    <w:rsid w:val="003F65D9"/>
    <w:rsid w:val="003F6CF4"/>
    <w:rsid w:val="003F758D"/>
    <w:rsid w:val="003F765A"/>
    <w:rsid w:val="003F7872"/>
    <w:rsid w:val="003F7B9A"/>
    <w:rsid w:val="004006A3"/>
    <w:rsid w:val="0040070E"/>
    <w:rsid w:val="0040082B"/>
    <w:rsid w:val="00400B3F"/>
    <w:rsid w:val="00400DFD"/>
    <w:rsid w:val="00400E15"/>
    <w:rsid w:val="00402218"/>
    <w:rsid w:val="0040301A"/>
    <w:rsid w:val="004042F3"/>
    <w:rsid w:val="00404497"/>
    <w:rsid w:val="00404849"/>
    <w:rsid w:val="004048FA"/>
    <w:rsid w:val="0040501A"/>
    <w:rsid w:val="00405859"/>
    <w:rsid w:val="0040616D"/>
    <w:rsid w:val="004062CF"/>
    <w:rsid w:val="004066D1"/>
    <w:rsid w:val="00406AE5"/>
    <w:rsid w:val="00407377"/>
    <w:rsid w:val="0040785A"/>
    <w:rsid w:val="004079E0"/>
    <w:rsid w:val="00407A64"/>
    <w:rsid w:val="0041003D"/>
    <w:rsid w:val="0041196A"/>
    <w:rsid w:val="004125E1"/>
    <w:rsid w:val="0041267B"/>
    <w:rsid w:val="0041328B"/>
    <w:rsid w:val="004133F9"/>
    <w:rsid w:val="00413745"/>
    <w:rsid w:val="00413D4B"/>
    <w:rsid w:val="00413DE8"/>
    <w:rsid w:val="00414268"/>
    <w:rsid w:val="004148ED"/>
    <w:rsid w:val="00414B0C"/>
    <w:rsid w:val="00414CF9"/>
    <w:rsid w:val="00415C04"/>
    <w:rsid w:val="00416190"/>
    <w:rsid w:val="00416A49"/>
    <w:rsid w:val="00416D1A"/>
    <w:rsid w:val="00417EE3"/>
    <w:rsid w:val="004202E9"/>
    <w:rsid w:val="004209C5"/>
    <w:rsid w:val="004212F0"/>
    <w:rsid w:val="00421A29"/>
    <w:rsid w:val="00421CD7"/>
    <w:rsid w:val="00421F62"/>
    <w:rsid w:val="0042347F"/>
    <w:rsid w:val="00423598"/>
    <w:rsid w:val="00423DDE"/>
    <w:rsid w:val="00424272"/>
    <w:rsid w:val="0042429D"/>
    <w:rsid w:val="0042458D"/>
    <w:rsid w:val="00424AA9"/>
    <w:rsid w:val="00424B1C"/>
    <w:rsid w:val="00424B73"/>
    <w:rsid w:val="00424D26"/>
    <w:rsid w:val="00425787"/>
    <w:rsid w:val="00425BBE"/>
    <w:rsid w:val="00425DD0"/>
    <w:rsid w:val="00425F55"/>
    <w:rsid w:val="00426695"/>
    <w:rsid w:val="00426CF7"/>
    <w:rsid w:val="0042734D"/>
    <w:rsid w:val="0043006F"/>
    <w:rsid w:val="004303C9"/>
    <w:rsid w:val="004308D6"/>
    <w:rsid w:val="00430A79"/>
    <w:rsid w:val="00431DBA"/>
    <w:rsid w:val="00431DDC"/>
    <w:rsid w:val="004320BF"/>
    <w:rsid w:val="004321CB"/>
    <w:rsid w:val="0043296F"/>
    <w:rsid w:val="00432A2F"/>
    <w:rsid w:val="004330D5"/>
    <w:rsid w:val="004330E5"/>
    <w:rsid w:val="0043442B"/>
    <w:rsid w:val="00434456"/>
    <w:rsid w:val="0043486E"/>
    <w:rsid w:val="004355FB"/>
    <w:rsid w:val="00435B5F"/>
    <w:rsid w:val="00435BF1"/>
    <w:rsid w:val="004360A2"/>
    <w:rsid w:val="00436E82"/>
    <w:rsid w:val="00436EA7"/>
    <w:rsid w:val="004371E9"/>
    <w:rsid w:val="004374C7"/>
    <w:rsid w:val="0043761A"/>
    <w:rsid w:val="00437926"/>
    <w:rsid w:val="004379A8"/>
    <w:rsid w:val="00437A3B"/>
    <w:rsid w:val="00437D77"/>
    <w:rsid w:val="00437D9C"/>
    <w:rsid w:val="00440405"/>
    <w:rsid w:val="00440A45"/>
    <w:rsid w:val="00440D80"/>
    <w:rsid w:val="00441D14"/>
    <w:rsid w:val="00441F73"/>
    <w:rsid w:val="004421B4"/>
    <w:rsid w:val="00442610"/>
    <w:rsid w:val="00442A3E"/>
    <w:rsid w:val="00442BF1"/>
    <w:rsid w:val="00442C39"/>
    <w:rsid w:val="00442F7F"/>
    <w:rsid w:val="004435EF"/>
    <w:rsid w:val="0044373D"/>
    <w:rsid w:val="00443CB8"/>
    <w:rsid w:val="00443ED0"/>
    <w:rsid w:val="00444ECF"/>
    <w:rsid w:val="0044536D"/>
    <w:rsid w:val="00445504"/>
    <w:rsid w:val="00445770"/>
    <w:rsid w:val="00446433"/>
    <w:rsid w:val="00446CA4"/>
    <w:rsid w:val="004470FB"/>
    <w:rsid w:val="004473E4"/>
    <w:rsid w:val="004504F7"/>
    <w:rsid w:val="00450C23"/>
    <w:rsid w:val="004510A7"/>
    <w:rsid w:val="00451595"/>
    <w:rsid w:val="004518A8"/>
    <w:rsid w:val="00452369"/>
    <w:rsid w:val="00452454"/>
    <w:rsid w:val="00452488"/>
    <w:rsid w:val="00453760"/>
    <w:rsid w:val="00453ABD"/>
    <w:rsid w:val="00453E29"/>
    <w:rsid w:val="00453FF5"/>
    <w:rsid w:val="0045419F"/>
    <w:rsid w:val="004542BF"/>
    <w:rsid w:val="00454635"/>
    <w:rsid w:val="00454752"/>
    <w:rsid w:val="00454DBD"/>
    <w:rsid w:val="00455155"/>
    <w:rsid w:val="00455DDC"/>
    <w:rsid w:val="00456E8F"/>
    <w:rsid w:val="00457074"/>
    <w:rsid w:val="0046108F"/>
    <w:rsid w:val="0046177D"/>
    <w:rsid w:val="00461B2A"/>
    <w:rsid w:val="00462538"/>
    <w:rsid w:val="00462915"/>
    <w:rsid w:val="00462F28"/>
    <w:rsid w:val="00462F4E"/>
    <w:rsid w:val="00462FE4"/>
    <w:rsid w:val="00463517"/>
    <w:rsid w:val="004637D6"/>
    <w:rsid w:val="00463B8A"/>
    <w:rsid w:val="004642DB"/>
    <w:rsid w:val="00464509"/>
    <w:rsid w:val="004647ED"/>
    <w:rsid w:val="00464D89"/>
    <w:rsid w:val="00465438"/>
    <w:rsid w:val="0046556F"/>
    <w:rsid w:val="00466629"/>
    <w:rsid w:val="00466A3B"/>
    <w:rsid w:val="00467228"/>
    <w:rsid w:val="0046766F"/>
    <w:rsid w:val="00467BED"/>
    <w:rsid w:val="00467D08"/>
    <w:rsid w:val="00470358"/>
    <w:rsid w:val="004706E4"/>
    <w:rsid w:val="00470D63"/>
    <w:rsid w:val="00472BEE"/>
    <w:rsid w:val="00473467"/>
    <w:rsid w:val="00473959"/>
    <w:rsid w:val="00473E66"/>
    <w:rsid w:val="004747B1"/>
    <w:rsid w:val="00474A0E"/>
    <w:rsid w:val="00475FFF"/>
    <w:rsid w:val="0047606F"/>
    <w:rsid w:val="0047608F"/>
    <w:rsid w:val="00476255"/>
    <w:rsid w:val="00476850"/>
    <w:rsid w:val="00476925"/>
    <w:rsid w:val="00476C79"/>
    <w:rsid w:val="00480CAA"/>
    <w:rsid w:val="00480FB3"/>
    <w:rsid w:val="00481792"/>
    <w:rsid w:val="00481FAF"/>
    <w:rsid w:val="004821FF"/>
    <w:rsid w:val="00482670"/>
    <w:rsid w:val="00482D91"/>
    <w:rsid w:val="00482ED2"/>
    <w:rsid w:val="00483063"/>
    <w:rsid w:val="00483667"/>
    <w:rsid w:val="00483F36"/>
    <w:rsid w:val="00485200"/>
    <w:rsid w:val="00485A91"/>
    <w:rsid w:val="00486185"/>
    <w:rsid w:val="00486531"/>
    <w:rsid w:val="004865EB"/>
    <w:rsid w:val="00486C00"/>
    <w:rsid w:val="004877AD"/>
    <w:rsid w:val="00487A11"/>
    <w:rsid w:val="00487BE0"/>
    <w:rsid w:val="0049047E"/>
    <w:rsid w:val="00490EBA"/>
    <w:rsid w:val="004911C3"/>
    <w:rsid w:val="004914E1"/>
    <w:rsid w:val="004918A0"/>
    <w:rsid w:val="0049195A"/>
    <w:rsid w:val="0049237D"/>
    <w:rsid w:val="00492A22"/>
    <w:rsid w:val="00492BB1"/>
    <w:rsid w:val="00492F43"/>
    <w:rsid w:val="00493093"/>
    <w:rsid w:val="00493320"/>
    <w:rsid w:val="004938F3"/>
    <w:rsid w:val="004938F8"/>
    <w:rsid w:val="00493B39"/>
    <w:rsid w:val="004948BE"/>
    <w:rsid w:val="00494C4D"/>
    <w:rsid w:val="00494C5A"/>
    <w:rsid w:val="004953EE"/>
    <w:rsid w:val="0049574F"/>
    <w:rsid w:val="00495B74"/>
    <w:rsid w:val="00495C21"/>
    <w:rsid w:val="00495C36"/>
    <w:rsid w:val="00495CB4"/>
    <w:rsid w:val="0049668F"/>
    <w:rsid w:val="00496761"/>
    <w:rsid w:val="00496F22"/>
    <w:rsid w:val="00496F95"/>
    <w:rsid w:val="0049729D"/>
    <w:rsid w:val="00497F7D"/>
    <w:rsid w:val="004A19C5"/>
    <w:rsid w:val="004A2AED"/>
    <w:rsid w:val="004A2F3F"/>
    <w:rsid w:val="004A3A35"/>
    <w:rsid w:val="004A3AEE"/>
    <w:rsid w:val="004A3D25"/>
    <w:rsid w:val="004A3F75"/>
    <w:rsid w:val="004A4E43"/>
    <w:rsid w:val="004A5352"/>
    <w:rsid w:val="004A58FD"/>
    <w:rsid w:val="004A5C64"/>
    <w:rsid w:val="004A6A0C"/>
    <w:rsid w:val="004A6ED9"/>
    <w:rsid w:val="004A6EFF"/>
    <w:rsid w:val="004A74B5"/>
    <w:rsid w:val="004A784A"/>
    <w:rsid w:val="004B08C2"/>
    <w:rsid w:val="004B123A"/>
    <w:rsid w:val="004B124A"/>
    <w:rsid w:val="004B19DF"/>
    <w:rsid w:val="004B22D4"/>
    <w:rsid w:val="004B235A"/>
    <w:rsid w:val="004B23E2"/>
    <w:rsid w:val="004B2693"/>
    <w:rsid w:val="004B2A60"/>
    <w:rsid w:val="004B2A7A"/>
    <w:rsid w:val="004B2B00"/>
    <w:rsid w:val="004B2CFD"/>
    <w:rsid w:val="004B2F1E"/>
    <w:rsid w:val="004B3BB9"/>
    <w:rsid w:val="004B439C"/>
    <w:rsid w:val="004B4B8E"/>
    <w:rsid w:val="004B55B9"/>
    <w:rsid w:val="004B5BAE"/>
    <w:rsid w:val="004B5EBF"/>
    <w:rsid w:val="004B6330"/>
    <w:rsid w:val="004B65AC"/>
    <w:rsid w:val="004B7337"/>
    <w:rsid w:val="004B7468"/>
    <w:rsid w:val="004B77B3"/>
    <w:rsid w:val="004C012B"/>
    <w:rsid w:val="004C0430"/>
    <w:rsid w:val="004C0B3E"/>
    <w:rsid w:val="004C1C4F"/>
    <w:rsid w:val="004C27A4"/>
    <w:rsid w:val="004C314C"/>
    <w:rsid w:val="004C37AE"/>
    <w:rsid w:val="004C48DA"/>
    <w:rsid w:val="004C4D10"/>
    <w:rsid w:val="004C4F6F"/>
    <w:rsid w:val="004C503B"/>
    <w:rsid w:val="004C587D"/>
    <w:rsid w:val="004C60C7"/>
    <w:rsid w:val="004C672F"/>
    <w:rsid w:val="004C6D66"/>
    <w:rsid w:val="004C7951"/>
    <w:rsid w:val="004C7C08"/>
    <w:rsid w:val="004D0C6B"/>
    <w:rsid w:val="004D0D8E"/>
    <w:rsid w:val="004D0F8A"/>
    <w:rsid w:val="004D1D9B"/>
    <w:rsid w:val="004D1FE5"/>
    <w:rsid w:val="004D207B"/>
    <w:rsid w:val="004D23AD"/>
    <w:rsid w:val="004D2AC9"/>
    <w:rsid w:val="004D2B74"/>
    <w:rsid w:val="004D3400"/>
    <w:rsid w:val="004D37CD"/>
    <w:rsid w:val="004D38F8"/>
    <w:rsid w:val="004D3C1B"/>
    <w:rsid w:val="004D42A4"/>
    <w:rsid w:val="004D4C77"/>
    <w:rsid w:val="004D594D"/>
    <w:rsid w:val="004D59A1"/>
    <w:rsid w:val="004D68BF"/>
    <w:rsid w:val="004D7460"/>
    <w:rsid w:val="004D7F91"/>
    <w:rsid w:val="004D7FDD"/>
    <w:rsid w:val="004E02D0"/>
    <w:rsid w:val="004E03BC"/>
    <w:rsid w:val="004E2000"/>
    <w:rsid w:val="004E2FF1"/>
    <w:rsid w:val="004E30CA"/>
    <w:rsid w:val="004E400F"/>
    <w:rsid w:val="004E4DAA"/>
    <w:rsid w:val="004E55B2"/>
    <w:rsid w:val="004E5C12"/>
    <w:rsid w:val="004E5E4A"/>
    <w:rsid w:val="004E6424"/>
    <w:rsid w:val="004E7060"/>
    <w:rsid w:val="004E71C9"/>
    <w:rsid w:val="004E74FA"/>
    <w:rsid w:val="004F0222"/>
    <w:rsid w:val="004F02F6"/>
    <w:rsid w:val="004F122B"/>
    <w:rsid w:val="004F1CEA"/>
    <w:rsid w:val="004F2215"/>
    <w:rsid w:val="004F22E4"/>
    <w:rsid w:val="004F2562"/>
    <w:rsid w:val="004F2E20"/>
    <w:rsid w:val="004F30E0"/>
    <w:rsid w:val="004F345F"/>
    <w:rsid w:val="004F3595"/>
    <w:rsid w:val="004F3E26"/>
    <w:rsid w:val="004F4875"/>
    <w:rsid w:val="004F677C"/>
    <w:rsid w:val="004F6F74"/>
    <w:rsid w:val="004F7077"/>
    <w:rsid w:val="005000E5"/>
    <w:rsid w:val="00500593"/>
    <w:rsid w:val="0050075B"/>
    <w:rsid w:val="00501B98"/>
    <w:rsid w:val="0050210C"/>
    <w:rsid w:val="00502283"/>
    <w:rsid w:val="0050231A"/>
    <w:rsid w:val="0050339F"/>
    <w:rsid w:val="005034C1"/>
    <w:rsid w:val="005035CA"/>
    <w:rsid w:val="0050377D"/>
    <w:rsid w:val="005058F4"/>
    <w:rsid w:val="00505D17"/>
    <w:rsid w:val="00505F4F"/>
    <w:rsid w:val="0050611F"/>
    <w:rsid w:val="005062EF"/>
    <w:rsid w:val="00506672"/>
    <w:rsid w:val="0050696C"/>
    <w:rsid w:val="00506983"/>
    <w:rsid w:val="00506B8B"/>
    <w:rsid w:val="00507684"/>
    <w:rsid w:val="00507798"/>
    <w:rsid w:val="00507A80"/>
    <w:rsid w:val="0051003B"/>
    <w:rsid w:val="0051075A"/>
    <w:rsid w:val="00510D22"/>
    <w:rsid w:val="0051114C"/>
    <w:rsid w:val="0051244C"/>
    <w:rsid w:val="00512ABD"/>
    <w:rsid w:val="00513573"/>
    <w:rsid w:val="00513A04"/>
    <w:rsid w:val="00513E04"/>
    <w:rsid w:val="00514051"/>
    <w:rsid w:val="005141CF"/>
    <w:rsid w:val="0051510D"/>
    <w:rsid w:val="005154A4"/>
    <w:rsid w:val="00515857"/>
    <w:rsid w:val="00515F11"/>
    <w:rsid w:val="00516325"/>
    <w:rsid w:val="00516354"/>
    <w:rsid w:val="00516383"/>
    <w:rsid w:val="00517363"/>
    <w:rsid w:val="005204A6"/>
    <w:rsid w:val="00520891"/>
    <w:rsid w:val="005211F5"/>
    <w:rsid w:val="00522226"/>
    <w:rsid w:val="00522915"/>
    <w:rsid w:val="00522BBE"/>
    <w:rsid w:val="00522CC3"/>
    <w:rsid w:val="00522F10"/>
    <w:rsid w:val="00523331"/>
    <w:rsid w:val="00523F33"/>
    <w:rsid w:val="00524805"/>
    <w:rsid w:val="00525015"/>
    <w:rsid w:val="00525482"/>
    <w:rsid w:val="00525A81"/>
    <w:rsid w:val="0052603D"/>
    <w:rsid w:val="005264A9"/>
    <w:rsid w:val="00526847"/>
    <w:rsid w:val="00526880"/>
    <w:rsid w:val="00526B42"/>
    <w:rsid w:val="005272D7"/>
    <w:rsid w:val="00527673"/>
    <w:rsid w:val="00527C27"/>
    <w:rsid w:val="00530254"/>
    <w:rsid w:val="00532318"/>
    <w:rsid w:val="0053269D"/>
    <w:rsid w:val="00532DAD"/>
    <w:rsid w:val="00532E14"/>
    <w:rsid w:val="00533115"/>
    <w:rsid w:val="00533762"/>
    <w:rsid w:val="00534288"/>
    <w:rsid w:val="005346BB"/>
    <w:rsid w:val="00535648"/>
    <w:rsid w:val="00535AE9"/>
    <w:rsid w:val="005360D9"/>
    <w:rsid w:val="005360DD"/>
    <w:rsid w:val="0053623D"/>
    <w:rsid w:val="00537305"/>
    <w:rsid w:val="00537A16"/>
    <w:rsid w:val="00537A9D"/>
    <w:rsid w:val="00540526"/>
    <w:rsid w:val="005417F4"/>
    <w:rsid w:val="005422E0"/>
    <w:rsid w:val="00542BBA"/>
    <w:rsid w:val="005432CF"/>
    <w:rsid w:val="0054353D"/>
    <w:rsid w:val="00543954"/>
    <w:rsid w:val="00543B48"/>
    <w:rsid w:val="00543D9E"/>
    <w:rsid w:val="0054472E"/>
    <w:rsid w:val="00544AD7"/>
    <w:rsid w:val="00544C8A"/>
    <w:rsid w:val="00545AAA"/>
    <w:rsid w:val="00546B39"/>
    <w:rsid w:val="00546C0F"/>
    <w:rsid w:val="00546D9C"/>
    <w:rsid w:val="005472AB"/>
    <w:rsid w:val="00547DEA"/>
    <w:rsid w:val="0055096A"/>
    <w:rsid w:val="00550DC5"/>
    <w:rsid w:val="005519ED"/>
    <w:rsid w:val="005519F6"/>
    <w:rsid w:val="00551AE3"/>
    <w:rsid w:val="00551D64"/>
    <w:rsid w:val="00551FD4"/>
    <w:rsid w:val="005524AA"/>
    <w:rsid w:val="00552543"/>
    <w:rsid w:val="00552D05"/>
    <w:rsid w:val="00552DFF"/>
    <w:rsid w:val="00552FB9"/>
    <w:rsid w:val="005533C0"/>
    <w:rsid w:val="00554149"/>
    <w:rsid w:val="00554C4F"/>
    <w:rsid w:val="0055506D"/>
    <w:rsid w:val="005553DB"/>
    <w:rsid w:val="0055553B"/>
    <w:rsid w:val="0055570D"/>
    <w:rsid w:val="00555B41"/>
    <w:rsid w:val="00555D54"/>
    <w:rsid w:val="005563F5"/>
    <w:rsid w:val="005569D6"/>
    <w:rsid w:val="00556AD4"/>
    <w:rsid w:val="00556BA1"/>
    <w:rsid w:val="00557739"/>
    <w:rsid w:val="0055782C"/>
    <w:rsid w:val="0055782F"/>
    <w:rsid w:val="00557F39"/>
    <w:rsid w:val="00560268"/>
    <w:rsid w:val="005605EA"/>
    <w:rsid w:val="00560B84"/>
    <w:rsid w:val="00560C87"/>
    <w:rsid w:val="00560D57"/>
    <w:rsid w:val="00561963"/>
    <w:rsid w:val="00562F1C"/>
    <w:rsid w:val="005633CB"/>
    <w:rsid w:val="005635C6"/>
    <w:rsid w:val="005638AA"/>
    <w:rsid w:val="00563982"/>
    <w:rsid w:val="00563CCE"/>
    <w:rsid w:val="0056435C"/>
    <w:rsid w:val="0056467D"/>
    <w:rsid w:val="00564F19"/>
    <w:rsid w:val="00565BC8"/>
    <w:rsid w:val="0056611A"/>
    <w:rsid w:val="0056691F"/>
    <w:rsid w:val="005676F5"/>
    <w:rsid w:val="00567749"/>
    <w:rsid w:val="00567A94"/>
    <w:rsid w:val="00567D2F"/>
    <w:rsid w:val="00570C84"/>
    <w:rsid w:val="00570EFC"/>
    <w:rsid w:val="0057240C"/>
    <w:rsid w:val="00572809"/>
    <w:rsid w:val="00573459"/>
    <w:rsid w:val="00573BDF"/>
    <w:rsid w:val="00573EF1"/>
    <w:rsid w:val="005742D5"/>
    <w:rsid w:val="00574BA5"/>
    <w:rsid w:val="00574E4A"/>
    <w:rsid w:val="00574FA5"/>
    <w:rsid w:val="00575D25"/>
    <w:rsid w:val="005761A5"/>
    <w:rsid w:val="0057642A"/>
    <w:rsid w:val="0057687E"/>
    <w:rsid w:val="00576CDE"/>
    <w:rsid w:val="005772D0"/>
    <w:rsid w:val="005773FE"/>
    <w:rsid w:val="00577733"/>
    <w:rsid w:val="005777E7"/>
    <w:rsid w:val="00577AF0"/>
    <w:rsid w:val="0058041F"/>
    <w:rsid w:val="00580C4F"/>
    <w:rsid w:val="0058138E"/>
    <w:rsid w:val="0058202E"/>
    <w:rsid w:val="00582E56"/>
    <w:rsid w:val="00582EB4"/>
    <w:rsid w:val="00582F11"/>
    <w:rsid w:val="005838BC"/>
    <w:rsid w:val="00583932"/>
    <w:rsid w:val="00583D11"/>
    <w:rsid w:val="00584229"/>
    <w:rsid w:val="00584A97"/>
    <w:rsid w:val="00585539"/>
    <w:rsid w:val="00585FA3"/>
    <w:rsid w:val="00585FD0"/>
    <w:rsid w:val="00586084"/>
    <w:rsid w:val="0058662C"/>
    <w:rsid w:val="00586E94"/>
    <w:rsid w:val="005870BD"/>
    <w:rsid w:val="005873CE"/>
    <w:rsid w:val="0058794F"/>
    <w:rsid w:val="0059033A"/>
    <w:rsid w:val="00590DF2"/>
    <w:rsid w:val="00591791"/>
    <w:rsid w:val="005918F7"/>
    <w:rsid w:val="00591DA0"/>
    <w:rsid w:val="00591ED0"/>
    <w:rsid w:val="00591FAC"/>
    <w:rsid w:val="00592E9E"/>
    <w:rsid w:val="00592EB4"/>
    <w:rsid w:val="0059376D"/>
    <w:rsid w:val="00594389"/>
    <w:rsid w:val="00594525"/>
    <w:rsid w:val="0059469B"/>
    <w:rsid w:val="005951B4"/>
    <w:rsid w:val="00595203"/>
    <w:rsid w:val="005952A9"/>
    <w:rsid w:val="00596007"/>
    <w:rsid w:val="005966AF"/>
    <w:rsid w:val="00596799"/>
    <w:rsid w:val="00597152"/>
    <w:rsid w:val="00597748"/>
    <w:rsid w:val="0059780F"/>
    <w:rsid w:val="00597BC0"/>
    <w:rsid w:val="00597C3C"/>
    <w:rsid w:val="005A05F5"/>
    <w:rsid w:val="005A150E"/>
    <w:rsid w:val="005A16EF"/>
    <w:rsid w:val="005A1AE9"/>
    <w:rsid w:val="005A1C5D"/>
    <w:rsid w:val="005A1C88"/>
    <w:rsid w:val="005A26BE"/>
    <w:rsid w:val="005A2A8C"/>
    <w:rsid w:val="005A2F36"/>
    <w:rsid w:val="005A4815"/>
    <w:rsid w:val="005A515D"/>
    <w:rsid w:val="005A5806"/>
    <w:rsid w:val="005A5880"/>
    <w:rsid w:val="005A59F3"/>
    <w:rsid w:val="005A61C7"/>
    <w:rsid w:val="005A6322"/>
    <w:rsid w:val="005A6392"/>
    <w:rsid w:val="005A7057"/>
    <w:rsid w:val="005A7218"/>
    <w:rsid w:val="005A788E"/>
    <w:rsid w:val="005B06A9"/>
    <w:rsid w:val="005B0984"/>
    <w:rsid w:val="005B0CDF"/>
    <w:rsid w:val="005B0D41"/>
    <w:rsid w:val="005B1076"/>
    <w:rsid w:val="005B1A61"/>
    <w:rsid w:val="005B1D9F"/>
    <w:rsid w:val="005B1DD8"/>
    <w:rsid w:val="005B228B"/>
    <w:rsid w:val="005B2595"/>
    <w:rsid w:val="005B2D6F"/>
    <w:rsid w:val="005B2DB9"/>
    <w:rsid w:val="005B322B"/>
    <w:rsid w:val="005B3267"/>
    <w:rsid w:val="005B32CC"/>
    <w:rsid w:val="005B3D54"/>
    <w:rsid w:val="005B443D"/>
    <w:rsid w:val="005B4A58"/>
    <w:rsid w:val="005B4CAE"/>
    <w:rsid w:val="005B50B4"/>
    <w:rsid w:val="005B6135"/>
    <w:rsid w:val="005B6E69"/>
    <w:rsid w:val="005B7FB1"/>
    <w:rsid w:val="005C0000"/>
    <w:rsid w:val="005C02B2"/>
    <w:rsid w:val="005C03EF"/>
    <w:rsid w:val="005C0476"/>
    <w:rsid w:val="005C1A30"/>
    <w:rsid w:val="005C1D97"/>
    <w:rsid w:val="005C2347"/>
    <w:rsid w:val="005C2B37"/>
    <w:rsid w:val="005C336F"/>
    <w:rsid w:val="005C344B"/>
    <w:rsid w:val="005C3BDE"/>
    <w:rsid w:val="005C3C43"/>
    <w:rsid w:val="005C4019"/>
    <w:rsid w:val="005C40F2"/>
    <w:rsid w:val="005C4801"/>
    <w:rsid w:val="005C4DEF"/>
    <w:rsid w:val="005C7AFA"/>
    <w:rsid w:val="005C7F9F"/>
    <w:rsid w:val="005D0BC8"/>
    <w:rsid w:val="005D0FC6"/>
    <w:rsid w:val="005D1695"/>
    <w:rsid w:val="005D194C"/>
    <w:rsid w:val="005D289B"/>
    <w:rsid w:val="005D2FA3"/>
    <w:rsid w:val="005D331D"/>
    <w:rsid w:val="005D3652"/>
    <w:rsid w:val="005D3F62"/>
    <w:rsid w:val="005D413E"/>
    <w:rsid w:val="005D4A6B"/>
    <w:rsid w:val="005D575E"/>
    <w:rsid w:val="005D5BB7"/>
    <w:rsid w:val="005D66F5"/>
    <w:rsid w:val="005E0470"/>
    <w:rsid w:val="005E0CAA"/>
    <w:rsid w:val="005E0F72"/>
    <w:rsid w:val="005E1EB9"/>
    <w:rsid w:val="005E20E1"/>
    <w:rsid w:val="005E2937"/>
    <w:rsid w:val="005E2B63"/>
    <w:rsid w:val="005E2D07"/>
    <w:rsid w:val="005E304E"/>
    <w:rsid w:val="005E51BA"/>
    <w:rsid w:val="005E5566"/>
    <w:rsid w:val="005E600B"/>
    <w:rsid w:val="005E61B0"/>
    <w:rsid w:val="005E6641"/>
    <w:rsid w:val="005E67F9"/>
    <w:rsid w:val="005E68C3"/>
    <w:rsid w:val="005E6999"/>
    <w:rsid w:val="005E69AF"/>
    <w:rsid w:val="005E7459"/>
    <w:rsid w:val="005E7714"/>
    <w:rsid w:val="005F01F2"/>
    <w:rsid w:val="005F0524"/>
    <w:rsid w:val="005F0A1D"/>
    <w:rsid w:val="005F0D74"/>
    <w:rsid w:val="005F28A1"/>
    <w:rsid w:val="005F29ED"/>
    <w:rsid w:val="005F2C5B"/>
    <w:rsid w:val="005F2C95"/>
    <w:rsid w:val="005F2DB8"/>
    <w:rsid w:val="005F2FCA"/>
    <w:rsid w:val="005F2FF7"/>
    <w:rsid w:val="005F3F39"/>
    <w:rsid w:val="005F48FE"/>
    <w:rsid w:val="005F4934"/>
    <w:rsid w:val="005F56DB"/>
    <w:rsid w:val="005F5A02"/>
    <w:rsid w:val="005F5E9F"/>
    <w:rsid w:val="005F64A1"/>
    <w:rsid w:val="005F668E"/>
    <w:rsid w:val="005F672B"/>
    <w:rsid w:val="005F6BC7"/>
    <w:rsid w:val="005F6ED5"/>
    <w:rsid w:val="005F6F46"/>
    <w:rsid w:val="005F707F"/>
    <w:rsid w:val="005F73EB"/>
    <w:rsid w:val="005F7569"/>
    <w:rsid w:val="005F7CC2"/>
    <w:rsid w:val="005F7F39"/>
    <w:rsid w:val="00600616"/>
    <w:rsid w:val="006008B2"/>
    <w:rsid w:val="00600AB0"/>
    <w:rsid w:val="00601185"/>
    <w:rsid w:val="0060165A"/>
    <w:rsid w:val="00601743"/>
    <w:rsid w:val="00601AED"/>
    <w:rsid w:val="00601B32"/>
    <w:rsid w:val="00601D48"/>
    <w:rsid w:val="00601F6A"/>
    <w:rsid w:val="0060284B"/>
    <w:rsid w:val="00602E2F"/>
    <w:rsid w:val="00603077"/>
    <w:rsid w:val="006034DF"/>
    <w:rsid w:val="00603AEE"/>
    <w:rsid w:val="00603B64"/>
    <w:rsid w:val="00604CAD"/>
    <w:rsid w:val="00605650"/>
    <w:rsid w:val="00605D03"/>
    <w:rsid w:val="00605FD5"/>
    <w:rsid w:val="006062BD"/>
    <w:rsid w:val="0060657F"/>
    <w:rsid w:val="00606D43"/>
    <w:rsid w:val="00606EA2"/>
    <w:rsid w:val="006072CA"/>
    <w:rsid w:val="006076BD"/>
    <w:rsid w:val="00607E79"/>
    <w:rsid w:val="006101A9"/>
    <w:rsid w:val="00610309"/>
    <w:rsid w:val="006117CB"/>
    <w:rsid w:val="00611F17"/>
    <w:rsid w:val="00612274"/>
    <w:rsid w:val="00612275"/>
    <w:rsid w:val="006129DD"/>
    <w:rsid w:val="006134B6"/>
    <w:rsid w:val="00613F31"/>
    <w:rsid w:val="00614445"/>
    <w:rsid w:val="00614449"/>
    <w:rsid w:val="0061454E"/>
    <w:rsid w:val="0061492C"/>
    <w:rsid w:val="006150C5"/>
    <w:rsid w:val="006154BF"/>
    <w:rsid w:val="00615E12"/>
    <w:rsid w:val="00615EDC"/>
    <w:rsid w:val="00616839"/>
    <w:rsid w:val="00616ADD"/>
    <w:rsid w:val="00616F0D"/>
    <w:rsid w:val="0061756A"/>
    <w:rsid w:val="00620002"/>
    <w:rsid w:val="00620BBF"/>
    <w:rsid w:val="00621133"/>
    <w:rsid w:val="006215EB"/>
    <w:rsid w:val="00622764"/>
    <w:rsid w:val="00622C10"/>
    <w:rsid w:val="006235D4"/>
    <w:rsid w:val="00624AD6"/>
    <w:rsid w:val="00625BB9"/>
    <w:rsid w:val="00625CF1"/>
    <w:rsid w:val="00626443"/>
    <w:rsid w:val="006269D4"/>
    <w:rsid w:val="00627137"/>
    <w:rsid w:val="006275DC"/>
    <w:rsid w:val="00627C46"/>
    <w:rsid w:val="006300D9"/>
    <w:rsid w:val="00630144"/>
    <w:rsid w:val="00630532"/>
    <w:rsid w:val="00630577"/>
    <w:rsid w:val="006307C0"/>
    <w:rsid w:val="00630FA1"/>
    <w:rsid w:val="00630FE6"/>
    <w:rsid w:val="006317CE"/>
    <w:rsid w:val="0063198C"/>
    <w:rsid w:val="00631D8A"/>
    <w:rsid w:val="00632B4B"/>
    <w:rsid w:val="00633259"/>
    <w:rsid w:val="006334A2"/>
    <w:rsid w:val="00633869"/>
    <w:rsid w:val="006338B2"/>
    <w:rsid w:val="00633AC9"/>
    <w:rsid w:val="00634035"/>
    <w:rsid w:val="00636187"/>
    <w:rsid w:val="00636211"/>
    <w:rsid w:val="006364E1"/>
    <w:rsid w:val="0063660B"/>
    <w:rsid w:val="00636B09"/>
    <w:rsid w:val="00636D1A"/>
    <w:rsid w:val="0063717F"/>
    <w:rsid w:val="00637425"/>
    <w:rsid w:val="00641059"/>
    <w:rsid w:val="00642C44"/>
    <w:rsid w:val="00642DF1"/>
    <w:rsid w:val="006433FF"/>
    <w:rsid w:val="00643F07"/>
    <w:rsid w:val="00643FEE"/>
    <w:rsid w:val="006444BA"/>
    <w:rsid w:val="00644694"/>
    <w:rsid w:val="0064522B"/>
    <w:rsid w:val="006462EF"/>
    <w:rsid w:val="006465FC"/>
    <w:rsid w:val="00646E2C"/>
    <w:rsid w:val="006470EA"/>
    <w:rsid w:val="006471BE"/>
    <w:rsid w:val="006474E6"/>
    <w:rsid w:val="006475EF"/>
    <w:rsid w:val="00647F8C"/>
    <w:rsid w:val="00650A51"/>
    <w:rsid w:val="00652682"/>
    <w:rsid w:val="006530BF"/>
    <w:rsid w:val="00656279"/>
    <w:rsid w:val="006566D2"/>
    <w:rsid w:val="00656B9F"/>
    <w:rsid w:val="00656C48"/>
    <w:rsid w:val="00656CB8"/>
    <w:rsid w:val="00656E1D"/>
    <w:rsid w:val="00657547"/>
    <w:rsid w:val="00657ADB"/>
    <w:rsid w:val="00657DE2"/>
    <w:rsid w:val="00657E40"/>
    <w:rsid w:val="00660115"/>
    <w:rsid w:val="006606D1"/>
    <w:rsid w:val="00660956"/>
    <w:rsid w:val="0066096F"/>
    <w:rsid w:val="00660F90"/>
    <w:rsid w:val="00661906"/>
    <w:rsid w:val="0066195E"/>
    <w:rsid w:val="00662071"/>
    <w:rsid w:val="00662568"/>
    <w:rsid w:val="00662606"/>
    <w:rsid w:val="00662971"/>
    <w:rsid w:val="00662F4C"/>
    <w:rsid w:val="00663555"/>
    <w:rsid w:val="00663EA4"/>
    <w:rsid w:val="006642A6"/>
    <w:rsid w:val="00664E26"/>
    <w:rsid w:val="00666B98"/>
    <w:rsid w:val="00666C7D"/>
    <w:rsid w:val="00666CC6"/>
    <w:rsid w:val="0066706E"/>
    <w:rsid w:val="006673C7"/>
    <w:rsid w:val="00667609"/>
    <w:rsid w:val="0066760E"/>
    <w:rsid w:val="00667CF1"/>
    <w:rsid w:val="00670A96"/>
    <w:rsid w:val="00671132"/>
    <w:rsid w:val="00672553"/>
    <w:rsid w:val="00672907"/>
    <w:rsid w:val="0067370D"/>
    <w:rsid w:val="00673B03"/>
    <w:rsid w:val="00674684"/>
    <w:rsid w:val="006746CB"/>
    <w:rsid w:val="00674BC5"/>
    <w:rsid w:val="0067507D"/>
    <w:rsid w:val="006751B7"/>
    <w:rsid w:val="006757BC"/>
    <w:rsid w:val="00675B74"/>
    <w:rsid w:val="0067693D"/>
    <w:rsid w:val="00676D27"/>
    <w:rsid w:val="00676E0E"/>
    <w:rsid w:val="00677019"/>
    <w:rsid w:val="00677B41"/>
    <w:rsid w:val="00680650"/>
    <w:rsid w:val="006812CD"/>
    <w:rsid w:val="00681725"/>
    <w:rsid w:val="00682A89"/>
    <w:rsid w:val="00682D1B"/>
    <w:rsid w:val="006833F7"/>
    <w:rsid w:val="00683B7A"/>
    <w:rsid w:val="00683B9C"/>
    <w:rsid w:val="00683CBA"/>
    <w:rsid w:val="00683FD6"/>
    <w:rsid w:val="00684495"/>
    <w:rsid w:val="00684E5E"/>
    <w:rsid w:val="00685493"/>
    <w:rsid w:val="006854A4"/>
    <w:rsid w:val="00685991"/>
    <w:rsid w:val="00685EEB"/>
    <w:rsid w:val="00687769"/>
    <w:rsid w:val="006878AB"/>
    <w:rsid w:val="00687CD1"/>
    <w:rsid w:val="00690175"/>
    <w:rsid w:val="006902BB"/>
    <w:rsid w:val="006908B2"/>
    <w:rsid w:val="0069110F"/>
    <w:rsid w:val="006913CA"/>
    <w:rsid w:val="00691B54"/>
    <w:rsid w:val="00691CD8"/>
    <w:rsid w:val="006926F7"/>
    <w:rsid w:val="00692A60"/>
    <w:rsid w:val="00692C36"/>
    <w:rsid w:val="00692CA1"/>
    <w:rsid w:val="00692CDD"/>
    <w:rsid w:val="00692D73"/>
    <w:rsid w:val="00693669"/>
    <w:rsid w:val="00693876"/>
    <w:rsid w:val="00693935"/>
    <w:rsid w:val="00693BF9"/>
    <w:rsid w:val="00694301"/>
    <w:rsid w:val="006944B2"/>
    <w:rsid w:val="00694537"/>
    <w:rsid w:val="00694866"/>
    <w:rsid w:val="00694FC3"/>
    <w:rsid w:val="00695391"/>
    <w:rsid w:val="006955F8"/>
    <w:rsid w:val="00695DFE"/>
    <w:rsid w:val="00695F89"/>
    <w:rsid w:val="00696CB7"/>
    <w:rsid w:val="00696D0D"/>
    <w:rsid w:val="006975B4"/>
    <w:rsid w:val="00697AF3"/>
    <w:rsid w:val="006A0512"/>
    <w:rsid w:val="006A1A3C"/>
    <w:rsid w:val="006A2D92"/>
    <w:rsid w:val="006A3480"/>
    <w:rsid w:val="006A35F4"/>
    <w:rsid w:val="006A3615"/>
    <w:rsid w:val="006A3A38"/>
    <w:rsid w:val="006A477D"/>
    <w:rsid w:val="006A5220"/>
    <w:rsid w:val="006A523E"/>
    <w:rsid w:val="006A52B4"/>
    <w:rsid w:val="006A57E7"/>
    <w:rsid w:val="006A580B"/>
    <w:rsid w:val="006A64BC"/>
    <w:rsid w:val="006A6545"/>
    <w:rsid w:val="006A6557"/>
    <w:rsid w:val="006A69A9"/>
    <w:rsid w:val="006A7DA8"/>
    <w:rsid w:val="006B009F"/>
    <w:rsid w:val="006B02A4"/>
    <w:rsid w:val="006B0EBA"/>
    <w:rsid w:val="006B16EF"/>
    <w:rsid w:val="006B210A"/>
    <w:rsid w:val="006B23A9"/>
    <w:rsid w:val="006B2503"/>
    <w:rsid w:val="006B29AA"/>
    <w:rsid w:val="006B29D5"/>
    <w:rsid w:val="006B2D4D"/>
    <w:rsid w:val="006B3037"/>
    <w:rsid w:val="006B3122"/>
    <w:rsid w:val="006B3FE9"/>
    <w:rsid w:val="006B43B4"/>
    <w:rsid w:val="006B574C"/>
    <w:rsid w:val="006B65F1"/>
    <w:rsid w:val="006B6E11"/>
    <w:rsid w:val="006C00B0"/>
    <w:rsid w:val="006C023C"/>
    <w:rsid w:val="006C0B23"/>
    <w:rsid w:val="006C12AD"/>
    <w:rsid w:val="006C12C6"/>
    <w:rsid w:val="006C1A4B"/>
    <w:rsid w:val="006C1C84"/>
    <w:rsid w:val="006C2141"/>
    <w:rsid w:val="006C2615"/>
    <w:rsid w:val="006C2A00"/>
    <w:rsid w:val="006C2D79"/>
    <w:rsid w:val="006C336F"/>
    <w:rsid w:val="006C3E08"/>
    <w:rsid w:val="006C4466"/>
    <w:rsid w:val="006C469A"/>
    <w:rsid w:val="006C492E"/>
    <w:rsid w:val="006C4C7E"/>
    <w:rsid w:val="006C56F4"/>
    <w:rsid w:val="006C5E55"/>
    <w:rsid w:val="006C670E"/>
    <w:rsid w:val="006C6D43"/>
    <w:rsid w:val="006C7172"/>
    <w:rsid w:val="006D0CCE"/>
    <w:rsid w:val="006D129F"/>
    <w:rsid w:val="006D150C"/>
    <w:rsid w:val="006D2211"/>
    <w:rsid w:val="006D2CC1"/>
    <w:rsid w:val="006D2ED9"/>
    <w:rsid w:val="006D3029"/>
    <w:rsid w:val="006D32A8"/>
    <w:rsid w:val="006D348F"/>
    <w:rsid w:val="006D3F96"/>
    <w:rsid w:val="006D4039"/>
    <w:rsid w:val="006D4144"/>
    <w:rsid w:val="006D48E8"/>
    <w:rsid w:val="006D51F8"/>
    <w:rsid w:val="006D52BD"/>
    <w:rsid w:val="006D58E4"/>
    <w:rsid w:val="006D5BD1"/>
    <w:rsid w:val="006D618D"/>
    <w:rsid w:val="006D6B65"/>
    <w:rsid w:val="006D7ECE"/>
    <w:rsid w:val="006E0261"/>
    <w:rsid w:val="006E0801"/>
    <w:rsid w:val="006E0BBE"/>
    <w:rsid w:val="006E0F6E"/>
    <w:rsid w:val="006E1074"/>
    <w:rsid w:val="006E1D9A"/>
    <w:rsid w:val="006E22EF"/>
    <w:rsid w:val="006E2393"/>
    <w:rsid w:val="006E2ED6"/>
    <w:rsid w:val="006E362A"/>
    <w:rsid w:val="006E378E"/>
    <w:rsid w:val="006E3BE4"/>
    <w:rsid w:val="006E3C71"/>
    <w:rsid w:val="006E3DF5"/>
    <w:rsid w:val="006E443B"/>
    <w:rsid w:val="006E46AB"/>
    <w:rsid w:val="006E4727"/>
    <w:rsid w:val="006E4F53"/>
    <w:rsid w:val="006E5252"/>
    <w:rsid w:val="006E5377"/>
    <w:rsid w:val="006E54AA"/>
    <w:rsid w:val="006E54F8"/>
    <w:rsid w:val="006E5CF6"/>
    <w:rsid w:val="006E6102"/>
    <w:rsid w:val="006E6647"/>
    <w:rsid w:val="006E6CF6"/>
    <w:rsid w:val="006E7179"/>
    <w:rsid w:val="006E7180"/>
    <w:rsid w:val="006E7DFB"/>
    <w:rsid w:val="006F0779"/>
    <w:rsid w:val="006F08DF"/>
    <w:rsid w:val="006F0C9D"/>
    <w:rsid w:val="006F1649"/>
    <w:rsid w:val="006F2141"/>
    <w:rsid w:val="006F29CE"/>
    <w:rsid w:val="006F2BCB"/>
    <w:rsid w:val="006F2F76"/>
    <w:rsid w:val="006F3647"/>
    <w:rsid w:val="006F4059"/>
    <w:rsid w:val="006F420D"/>
    <w:rsid w:val="006F46B8"/>
    <w:rsid w:val="006F4B1B"/>
    <w:rsid w:val="006F5587"/>
    <w:rsid w:val="006F5A47"/>
    <w:rsid w:val="006F67F1"/>
    <w:rsid w:val="006F697B"/>
    <w:rsid w:val="006F6E08"/>
    <w:rsid w:val="006F7392"/>
    <w:rsid w:val="006F77B1"/>
    <w:rsid w:val="006F7897"/>
    <w:rsid w:val="00700071"/>
    <w:rsid w:val="007003FC"/>
    <w:rsid w:val="0070059D"/>
    <w:rsid w:val="0070094E"/>
    <w:rsid w:val="007009EA"/>
    <w:rsid w:val="00700A54"/>
    <w:rsid w:val="00700B65"/>
    <w:rsid w:val="00700CC9"/>
    <w:rsid w:val="00700F4E"/>
    <w:rsid w:val="00701005"/>
    <w:rsid w:val="007014F0"/>
    <w:rsid w:val="00701787"/>
    <w:rsid w:val="00702A3B"/>
    <w:rsid w:val="00702E08"/>
    <w:rsid w:val="007032E7"/>
    <w:rsid w:val="007034F1"/>
    <w:rsid w:val="00704D39"/>
    <w:rsid w:val="007069E2"/>
    <w:rsid w:val="00706D47"/>
    <w:rsid w:val="00707177"/>
    <w:rsid w:val="0070740F"/>
    <w:rsid w:val="00707C7A"/>
    <w:rsid w:val="00707EDD"/>
    <w:rsid w:val="007103A2"/>
    <w:rsid w:val="007105F3"/>
    <w:rsid w:val="00710BAA"/>
    <w:rsid w:val="00711BCD"/>
    <w:rsid w:val="00712058"/>
    <w:rsid w:val="00712060"/>
    <w:rsid w:val="007123CC"/>
    <w:rsid w:val="007124A2"/>
    <w:rsid w:val="00712A43"/>
    <w:rsid w:val="00712C06"/>
    <w:rsid w:val="00713531"/>
    <w:rsid w:val="0071370D"/>
    <w:rsid w:val="00713B72"/>
    <w:rsid w:val="00713B84"/>
    <w:rsid w:val="00713D35"/>
    <w:rsid w:val="00714112"/>
    <w:rsid w:val="007144FD"/>
    <w:rsid w:val="00714889"/>
    <w:rsid w:val="007148F2"/>
    <w:rsid w:val="00716135"/>
    <w:rsid w:val="00716F8C"/>
    <w:rsid w:val="00717078"/>
    <w:rsid w:val="007172BB"/>
    <w:rsid w:val="007178CD"/>
    <w:rsid w:val="00717F07"/>
    <w:rsid w:val="00720B8C"/>
    <w:rsid w:val="0072105E"/>
    <w:rsid w:val="007210F6"/>
    <w:rsid w:val="0072128E"/>
    <w:rsid w:val="007214D6"/>
    <w:rsid w:val="007215CA"/>
    <w:rsid w:val="00722467"/>
    <w:rsid w:val="0072249C"/>
    <w:rsid w:val="00723E16"/>
    <w:rsid w:val="007242BF"/>
    <w:rsid w:val="007242E5"/>
    <w:rsid w:val="00724D70"/>
    <w:rsid w:val="0072511B"/>
    <w:rsid w:val="007252C8"/>
    <w:rsid w:val="00725513"/>
    <w:rsid w:val="0072592E"/>
    <w:rsid w:val="00726BE2"/>
    <w:rsid w:val="00726CA1"/>
    <w:rsid w:val="007270A6"/>
    <w:rsid w:val="00727162"/>
    <w:rsid w:val="007302E0"/>
    <w:rsid w:val="00730E89"/>
    <w:rsid w:val="00731DF2"/>
    <w:rsid w:val="00731ED1"/>
    <w:rsid w:val="007325F5"/>
    <w:rsid w:val="00732A5C"/>
    <w:rsid w:val="00732C1B"/>
    <w:rsid w:val="00732EDF"/>
    <w:rsid w:val="0073334F"/>
    <w:rsid w:val="00733535"/>
    <w:rsid w:val="007335A2"/>
    <w:rsid w:val="00733C1B"/>
    <w:rsid w:val="00734162"/>
    <w:rsid w:val="00734EDB"/>
    <w:rsid w:val="00735370"/>
    <w:rsid w:val="007354D3"/>
    <w:rsid w:val="00735BE4"/>
    <w:rsid w:val="00736DE7"/>
    <w:rsid w:val="00736E66"/>
    <w:rsid w:val="00737A77"/>
    <w:rsid w:val="00740E33"/>
    <w:rsid w:val="00741558"/>
    <w:rsid w:val="00741D24"/>
    <w:rsid w:val="00742BC9"/>
    <w:rsid w:val="00744591"/>
    <w:rsid w:val="0074491C"/>
    <w:rsid w:val="00744996"/>
    <w:rsid w:val="00744FEB"/>
    <w:rsid w:val="00745273"/>
    <w:rsid w:val="007456AF"/>
    <w:rsid w:val="00745C3F"/>
    <w:rsid w:val="007460A9"/>
    <w:rsid w:val="007462D9"/>
    <w:rsid w:val="00746EC0"/>
    <w:rsid w:val="00746F9C"/>
    <w:rsid w:val="007472EF"/>
    <w:rsid w:val="0074769F"/>
    <w:rsid w:val="00747A44"/>
    <w:rsid w:val="00747C10"/>
    <w:rsid w:val="00747CC0"/>
    <w:rsid w:val="00747FF7"/>
    <w:rsid w:val="007500E7"/>
    <w:rsid w:val="007507C1"/>
    <w:rsid w:val="00750BEB"/>
    <w:rsid w:val="00751099"/>
    <w:rsid w:val="00751341"/>
    <w:rsid w:val="00751BC7"/>
    <w:rsid w:val="00751D5B"/>
    <w:rsid w:val="0075239B"/>
    <w:rsid w:val="007528E2"/>
    <w:rsid w:val="0075298E"/>
    <w:rsid w:val="00752DA0"/>
    <w:rsid w:val="00753225"/>
    <w:rsid w:val="00753322"/>
    <w:rsid w:val="00753771"/>
    <w:rsid w:val="00753D5A"/>
    <w:rsid w:val="00754172"/>
    <w:rsid w:val="00754589"/>
    <w:rsid w:val="00754C10"/>
    <w:rsid w:val="0075525F"/>
    <w:rsid w:val="00755BF1"/>
    <w:rsid w:val="007563A6"/>
    <w:rsid w:val="007563FC"/>
    <w:rsid w:val="007565D9"/>
    <w:rsid w:val="00756857"/>
    <w:rsid w:val="0075720D"/>
    <w:rsid w:val="007577EA"/>
    <w:rsid w:val="0076013A"/>
    <w:rsid w:val="007602C5"/>
    <w:rsid w:val="007614B5"/>
    <w:rsid w:val="0076166A"/>
    <w:rsid w:val="007616AD"/>
    <w:rsid w:val="0076198D"/>
    <w:rsid w:val="007630E1"/>
    <w:rsid w:val="007632C6"/>
    <w:rsid w:val="00763939"/>
    <w:rsid w:val="00763DB4"/>
    <w:rsid w:val="00764472"/>
    <w:rsid w:val="00764714"/>
    <w:rsid w:val="0076521C"/>
    <w:rsid w:val="007662BB"/>
    <w:rsid w:val="00766F0B"/>
    <w:rsid w:val="0076751A"/>
    <w:rsid w:val="0076753D"/>
    <w:rsid w:val="00767809"/>
    <w:rsid w:val="00767EC7"/>
    <w:rsid w:val="00767FFD"/>
    <w:rsid w:val="00770B19"/>
    <w:rsid w:val="00771A80"/>
    <w:rsid w:val="00771E89"/>
    <w:rsid w:val="0077209C"/>
    <w:rsid w:val="00772328"/>
    <w:rsid w:val="00772B46"/>
    <w:rsid w:val="00773AB4"/>
    <w:rsid w:val="00773C6E"/>
    <w:rsid w:val="00773C91"/>
    <w:rsid w:val="00774050"/>
    <w:rsid w:val="007743A8"/>
    <w:rsid w:val="007749A8"/>
    <w:rsid w:val="00774B1E"/>
    <w:rsid w:val="00774E44"/>
    <w:rsid w:val="0077603B"/>
    <w:rsid w:val="007765B2"/>
    <w:rsid w:val="0077786C"/>
    <w:rsid w:val="007806B5"/>
    <w:rsid w:val="00782290"/>
    <w:rsid w:val="0078257F"/>
    <w:rsid w:val="0078310B"/>
    <w:rsid w:val="00783918"/>
    <w:rsid w:val="00783A7A"/>
    <w:rsid w:val="00783D4B"/>
    <w:rsid w:val="007843F1"/>
    <w:rsid w:val="00784B4B"/>
    <w:rsid w:val="00784E7F"/>
    <w:rsid w:val="0078508B"/>
    <w:rsid w:val="007858E5"/>
    <w:rsid w:val="007859A9"/>
    <w:rsid w:val="0078614B"/>
    <w:rsid w:val="00786440"/>
    <w:rsid w:val="0078665D"/>
    <w:rsid w:val="007867B0"/>
    <w:rsid w:val="0078751D"/>
    <w:rsid w:val="00787D33"/>
    <w:rsid w:val="00787E38"/>
    <w:rsid w:val="00790104"/>
    <w:rsid w:val="0079080C"/>
    <w:rsid w:val="00791A0A"/>
    <w:rsid w:val="00792696"/>
    <w:rsid w:val="00792C55"/>
    <w:rsid w:val="00792F6D"/>
    <w:rsid w:val="007936C4"/>
    <w:rsid w:val="00793B18"/>
    <w:rsid w:val="007941D1"/>
    <w:rsid w:val="007943B3"/>
    <w:rsid w:val="0079476C"/>
    <w:rsid w:val="0079539E"/>
    <w:rsid w:val="0079595A"/>
    <w:rsid w:val="007966A6"/>
    <w:rsid w:val="00797435"/>
    <w:rsid w:val="007974BD"/>
    <w:rsid w:val="007974BF"/>
    <w:rsid w:val="0079798B"/>
    <w:rsid w:val="007979DD"/>
    <w:rsid w:val="00797C45"/>
    <w:rsid w:val="00797CA0"/>
    <w:rsid w:val="00797F92"/>
    <w:rsid w:val="007A1017"/>
    <w:rsid w:val="007A2B32"/>
    <w:rsid w:val="007A3DF5"/>
    <w:rsid w:val="007A3F56"/>
    <w:rsid w:val="007A402A"/>
    <w:rsid w:val="007A40DB"/>
    <w:rsid w:val="007A4912"/>
    <w:rsid w:val="007A4C5E"/>
    <w:rsid w:val="007A4E4A"/>
    <w:rsid w:val="007A4FB6"/>
    <w:rsid w:val="007A56B8"/>
    <w:rsid w:val="007A59EA"/>
    <w:rsid w:val="007A5DB4"/>
    <w:rsid w:val="007A5FCC"/>
    <w:rsid w:val="007A70FE"/>
    <w:rsid w:val="007A7929"/>
    <w:rsid w:val="007B0ADB"/>
    <w:rsid w:val="007B13CC"/>
    <w:rsid w:val="007B14FC"/>
    <w:rsid w:val="007B16A3"/>
    <w:rsid w:val="007B1B64"/>
    <w:rsid w:val="007B1CA6"/>
    <w:rsid w:val="007B2083"/>
    <w:rsid w:val="007B22FB"/>
    <w:rsid w:val="007B24EA"/>
    <w:rsid w:val="007B2729"/>
    <w:rsid w:val="007B2BE6"/>
    <w:rsid w:val="007B2D50"/>
    <w:rsid w:val="007B31B9"/>
    <w:rsid w:val="007B38A3"/>
    <w:rsid w:val="007B4511"/>
    <w:rsid w:val="007B4719"/>
    <w:rsid w:val="007B47EB"/>
    <w:rsid w:val="007B4DAC"/>
    <w:rsid w:val="007B54E8"/>
    <w:rsid w:val="007B71A0"/>
    <w:rsid w:val="007B7432"/>
    <w:rsid w:val="007B782A"/>
    <w:rsid w:val="007B7B71"/>
    <w:rsid w:val="007B7F33"/>
    <w:rsid w:val="007C0137"/>
    <w:rsid w:val="007C0379"/>
    <w:rsid w:val="007C04D0"/>
    <w:rsid w:val="007C1325"/>
    <w:rsid w:val="007C18FA"/>
    <w:rsid w:val="007C1F91"/>
    <w:rsid w:val="007C229C"/>
    <w:rsid w:val="007C284E"/>
    <w:rsid w:val="007C36B5"/>
    <w:rsid w:val="007C3C41"/>
    <w:rsid w:val="007C4536"/>
    <w:rsid w:val="007C588C"/>
    <w:rsid w:val="007C6107"/>
    <w:rsid w:val="007C663C"/>
    <w:rsid w:val="007C670C"/>
    <w:rsid w:val="007C6C9C"/>
    <w:rsid w:val="007C7226"/>
    <w:rsid w:val="007C7885"/>
    <w:rsid w:val="007C7AC4"/>
    <w:rsid w:val="007D0615"/>
    <w:rsid w:val="007D0D65"/>
    <w:rsid w:val="007D0E06"/>
    <w:rsid w:val="007D139F"/>
    <w:rsid w:val="007D13CD"/>
    <w:rsid w:val="007D16E8"/>
    <w:rsid w:val="007D26E3"/>
    <w:rsid w:val="007D3102"/>
    <w:rsid w:val="007D37B8"/>
    <w:rsid w:val="007D407E"/>
    <w:rsid w:val="007D4173"/>
    <w:rsid w:val="007D42EC"/>
    <w:rsid w:val="007D4380"/>
    <w:rsid w:val="007D46AF"/>
    <w:rsid w:val="007D4BE8"/>
    <w:rsid w:val="007D5634"/>
    <w:rsid w:val="007D646E"/>
    <w:rsid w:val="007D76E0"/>
    <w:rsid w:val="007D7F8B"/>
    <w:rsid w:val="007E025F"/>
    <w:rsid w:val="007E051D"/>
    <w:rsid w:val="007E0988"/>
    <w:rsid w:val="007E0CF5"/>
    <w:rsid w:val="007E0E47"/>
    <w:rsid w:val="007E192E"/>
    <w:rsid w:val="007E1A81"/>
    <w:rsid w:val="007E1EFB"/>
    <w:rsid w:val="007E31FA"/>
    <w:rsid w:val="007E3439"/>
    <w:rsid w:val="007E3F2D"/>
    <w:rsid w:val="007E4038"/>
    <w:rsid w:val="007E406C"/>
    <w:rsid w:val="007E43E7"/>
    <w:rsid w:val="007E450C"/>
    <w:rsid w:val="007E4BE9"/>
    <w:rsid w:val="007E4FD8"/>
    <w:rsid w:val="007E4FDC"/>
    <w:rsid w:val="007E529F"/>
    <w:rsid w:val="007E552B"/>
    <w:rsid w:val="007E5599"/>
    <w:rsid w:val="007E5C99"/>
    <w:rsid w:val="007E5D3B"/>
    <w:rsid w:val="007E6B74"/>
    <w:rsid w:val="007E7172"/>
    <w:rsid w:val="007E73A4"/>
    <w:rsid w:val="007E7779"/>
    <w:rsid w:val="007F0249"/>
    <w:rsid w:val="007F041E"/>
    <w:rsid w:val="007F1D3E"/>
    <w:rsid w:val="007F2728"/>
    <w:rsid w:val="007F2A15"/>
    <w:rsid w:val="007F2B97"/>
    <w:rsid w:val="007F2DEB"/>
    <w:rsid w:val="007F3E91"/>
    <w:rsid w:val="007F4066"/>
    <w:rsid w:val="007F4460"/>
    <w:rsid w:val="007F45EF"/>
    <w:rsid w:val="007F45FB"/>
    <w:rsid w:val="007F4804"/>
    <w:rsid w:val="007F55B5"/>
    <w:rsid w:val="007F5C85"/>
    <w:rsid w:val="007F651A"/>
    <w:rsid w:val="007F6F9C"/>
    <w:rsid w:val="007F79C6"/>
    <w:rsid w:val="007F7BF2"/>
    <w:rsid w:val="008001C9"/>
    <w:rsid w:val="00800658"/>
    <w:rsid w:val="008008EE"/>
    <w:rsid w:val="00801494"/>
    <w:rsid w:val="00801B15"/>
    <w:rsid w:val="00801C84"/>
    <w:rsid w:val="00801FC6"/>
    <w:rsid w:val="008024C1"/>
    <w:rsid w:val="00802E98"/>
    <w:rsid w:val="0080311F"/>
    <w:rsid w:val="008033D8"/>
    <w:rsid w:val="00803B78"/>
    <w:rsid w:val="00804256"/>
    <w:rsid w:val="00804517"/>
    <w:rsid w:val="008046C7"/>
    <w:rsid w:val="00805784"/>
    <w:rsid w:val="00805F6B"/>
    <w:rsid w:val="00806503"/>
    <w:rsid w:val="00807056"/>
    <w:rsid w:val="00807E74"/>
    <w:rsid w:val="00810037"/>
    <w:rsid w:val="00810452"/>
    <w:rsid w:val="0081091E"/>
    <w:rsid w:val="00811018"/>
    <w:rsid w:val="0081116E"/>
    <w:rsid w:val="00811EDC"/>
    <w:rsid w:val="00812156"/>
    <w:rsid w:val="00812CFA"/>
    <w:rsid w:val="0081333F"/>
    <w:rsid w:val="00813FD8"/>
    <w:rsid w:val="0081424B"/>
    <w:rsid w:val="008151F3"/>
    <w:rsid w:val="00815360"/>
    <w:rsid w:val="00816BBB"/>
    <w:rsid w:val="00816D35"/>
    <w:rsid w:val="008173FA"/>
    <w:rsid w:val="008175FD"/>
    <w:rsid w:val="008177C1"/>
    <w:rsid w:val="00817B0C"/>
    <w:rsid w:val="0082099D"/>
    <w:rsid w:val="00820CCA"/>
    <w:rsid w:val="00820E2B"/>
    <w:rsid w:val="008214CE"/>
    <w:rsid w:val="00822086"/>
    <w:rsid w:val="008220AF"/>
    <w:rsid w:val="00822494"/>
    <w:rsid w:val="00822568"/>
    <w:rsid w:val="00823686"/>
    <w:rsid w:val="008238A4"/>
    <w:rsid w:val="00823F48"/>
    <w:rsid w:val="008250CF"/>
    <w:rsid w:val="00825EA5"/>
    <w:rsid w:val="00825EF7"/>
    <w:rsid w:val="00825F99"/>
    <w:rsid w:val="00826683"/>
    <w:rsid w:val="00826A33"/>
    <w:rsid w:val="00826D86"/>
    <w:rsid w:val="00827014"/>
    <w:rsid w:val="0082758F"/>
    <w:rsid w:val="00827855"/>
    <w:rsid w:val="0082793A"/>
    <w:rsid w:val="00827BA7"/>
    <w:rsid w:val="00827E80"/>
    <w:rsid w:val="0083041C"/>
    <w:rsid w:val="008307E0"/>
    <w:rsid w:val="00830F69"/>
    <w:rsid w:val="0083117C"/>
    <w:rsid w:val="008315E3"/>
    <w:rsid w:val="00831C16"/>
    <w:rsid w:val="0083272C"/>
    <w:rsid w:val="008328E0"/>
    <w:rsid w:val="0083370D"/>
    <w:rsid w:val="0083383A"/>
    <w:rsid w:val="00834047"/>
    <w:rsid w:val="0083441F"/>
    <w:rsid w:val="00834863"/>
    <w:rsid w:val="008348D2"/>
    <w:rsid w:val="00834A5D"/>
    <w:rsid w:val="00834AE5"/>
    <w:rsid w:val="00834F59"/>
    <w:rsid w:val="00835C00"/>
    <w:rsid w:val="00835FD6"/>
    <w:rsid w:val="00836255"/>
    <w:rsid w:val="0083630B"/>
    <w:rsid w:val="0083671D"/>
    <w:rsid w:val="00836CF0"/>
    <w:rsid w:val="008374AD"/>
    <w:rsid w:val="008377CE"/>
    <w:rsid w:val="008378DE"/>
    <w:rsid w:val="00837DF3"/>
    <w:rsid w:val="00837F1A"/>
    <w:rsid w:val="0084003D"/>
    <w:rsid w:val="0084009B"/>
    <w:rsid w:val="00840BC3"/>
    <w:rsid w:val="00840CE6"/>
    <w:rsid w:val="00841EC8"/>
    <w:rsid w:val="00841FD7"/>
    <w:rsid w:val="0084237C"/>
    <w:rsid w:val="00842664"/>
    <w:rsid w:val="00842DF6"/>
    <w:rsid w:val="00843F0E"/>
    <w:rsid w:val="008444D7"/>
    <w:rsid w:val="00845101"/>
    <w:rsid w:val="008451A2"/>
    <w:rsid w:val="00845F11"/>
    <w:rsid w:val="008460E7"/>
    <w:rsid w:val="00846180"/>
    <w:rsid w:val="008466C6"/>
    <w:rsid w:val="00846E8E"/>
    <w:rsid w:val="008477B3"/>
    <w:rsid w:val="00847818"/>
    <w:rsid w:val="00847846"/>
    <w:rsid w:val="008501CF"/>
    <w:rsid w:val="008508A0"/>
    <w:rsid w:val="008515BA"/>
    <w:rsid w:val="00851B3D"/>
    <w:rsid w:val="00852568"/>
    <w:rsid w:val="00852A98"/>
    <w:rsid w:val="00852C55"/>
    <w:rsid w:val="00852CF2"/>
    <w:rsid w:val="00853238"/>
    <w:rsid w:val="0085434D"/>
    <w:rsid w:val="008544A1"/>
    <w:rsid w:val="008549F9"/>
    <w:rsid w:val="00854A62"/>
    <w:rsid w:val="00854D9A"/>
    <w:rsid w:val="00854F0E"/>
    <w:rsid w:val="008552E0"/>
    <w:rsid w:val="0085538B"/>
    <w:rsid w:val="00855391"/>
    <w:rsid w:val="008555C5"/>
    <w:rsid w:val="00855AC7"/>
    <w:rsid w:val="00855B0A"/>
    <w:rsid w:val="00855B75"/>
    <w:rsid w:val="0085644B"/>
    <w:rsid w:val="0085662C"/>
    <w:rsid w:val="008568B4"/>
    <w:rsid w:val="00856F75"/>
    <w:rsid w:val="008575F2"/>
    <w:rsid w:val="00860CF2"/>
    <w:rsid w:val="00860EFD"/>
    <w:rsid w:val="0086108D"/>
    <w:rsid w:val="00861B07"/>
    <w:rsid w:val="0086256E"/>
    <w:rsid w:val="008628A8"/>
    <w:rsid w:val="00863603"/>
    <w:rsid w:val="0086376B"/>
    <w:rsid w:val="00863790"/>
    <w:rsid w:val="008637C5"/>
    <w:rsid w:val="00864157"/>
    <w:rsid w:val="00864E07"/>
    <w:rsid w:val="008653E4"/>
    <w:rsid w:val="00865676"/>
    <w:rsid w:val="00865886"/>
    <w:rsid w:val="00866634"/>
    <w:rsid w:val="00866DF5"/>
    <w:rsid w:val="008671C2"/>
    <w:rsid w:val="00867437"/>
    <w:rsid w:val="00867C70"/>
    <w:rsid w:val="00870588"/>
    <w:rsid w:val="00870A78"/>
    <w:rsid w:val="00871311"/>
    <w:rsid w:val="00871325"/>
    <w:rsid w:val="008713B7"/>
    <w:rsid w:val="0087177C"/>
    <w:rsid w:val="00871840"/>
    <w:rsid w:val="00871C3A"/>
    <w:rsid w:val="00871FAE"/>
    <w:rsid w:val="0087283D"/>
    <w:rsid w:val="00872AF7"/>
    <w:rsid w:val="00872EA3"/>
    <w:rsid w:val="00873203"/>
    <w:rsid w:val="008748F3"/>
    <w:rsid w:val="008759C7"/>
    <w:rsid w:val="00875E9C"/>
    <w:rsid w:val="008764A0"/>
    <w:rsid w:val="00876B01"/>
    <w:rsid w:val="00877837"/>
    <w:rsid w:val="00877973"/>
    <w:rsid w:val="00877A58"/>
    <w:rsid w:val="00877BFB"/>
    <w:rsid w:val="00877E68"/>
    <w:rsid w:val="00880B3F"/>
    <w:rsid w:val="008813A6"/>
    <w:rsid w:val="00882728"/>
    <w:rsid w:val="00882A56"/>
    <w:rsid w:val="008836EC"/>
    <w:rsid w:val="00883877"/>
    <w:rsid w:val="00884A22"/>
    <w:rsid w:val="008851A7"/>
    <w:rsid w:val="008858CE"/>
    <w:rsid w:val="00885CDB"/>
    <w:rsid w:val="008870AD"/>
    <w:rsid w:val="008871D2"/>
    <w:rsid w:val="0089041E"/>
    <w:rsid w:val="00890E6A"/>
    <w:rsid w:val="00890EA6"/>
    <w:rsid w:val="008910D8"/>
    <w:rsid w:val="0089164B"/>
    <w:rsid w:val="0089178C"/>
    <w:rsid w:val="00891893"/>
    <w:rsid w:val="008919BF"/>
    <w:rsid w:val="0089257F"/>
    <w:rsid w:val="0089278A"/>
    <w:rsid w:val="008928E5"/>
    <w:rsid w:val="00893124"/>
    <w:rsid w:val="008932BE"/>
    <w:rsid w:val="008935C2"/>
    <w:rsid w:val="008937CB"/>
    <w:rsid w:val="00893DBC"/>
    <w:rsid w:val="00894FA2"/>
    <w:rsid w:val="008960E9"/>
    <w:rsid w:val="00896BDD"/>
    <w:rsid w:val="00897196"/>
    <w:rsid w:val="008975E6"/>
    <w:rsid w:val="008A00EA"/>
    <w:rsid w:val="008A0110"/>
    <w:rsid w:val="008A02B3"/>
    <w:rsid w:val="008A0CCB"/>
    <w:rsid w:val="008A1498"/>
    <w:rsid w:val="008A15AF"/>
    <w:rsid w:val="008A1F72"/>
    <w:rsid w:val="008A3A43"/>
    <w:rsid w:val="008A3A4D"/>
    <w:rsid w:val="008A4964"/>
    <w:rsid w:val="008A4DE2"/>
    <w:rsid w:val="008A5373"/>
    <w:rsid w:val="008A589B"/>
    <w:rsid w:val="008A5924"/>
    <w:rsid w:val="008A599D"/>
    <w:rsid w:val="008A623F"/>
    <w:rsid w:val="008A639C"/>
    <w:rsid w:val="008A6B3A"/>
    <w:rsid w:val="008A6B7A"/>
    <w:rsid w:val="008A6E56"/>
    <w:rsid w:val="008A700C"/>
    <w:rsid w:val="008A7C7F"/>
    <w:rsid w:val="008A7F19"/>
    <w:rsid w:val="008B002E"/>
    <w:rsid w:val="008B015A"/>
    <w:rsid w:val="008B0813"/>
    <w:rsid w:val="008B0963"/>
    <w:rsid w:val="008B10C0"/>
    <w:rsid w:val="008B1718"/>
    <w:rsid w:val="008B174F"/>
    <w:rsid w:val="008B1BE0"/>
    <w:rsid w:val="008B270D"/>
    <w:rsid w:val="008B2CA4"/>
    <w:rsid w:val="008B300D"/>
    <w:rsid w:val="008B3437"/>
    <w:rsid w:val="008B363A"/>
    <w:rsid w:val="008B392A"/>
    <w:rsid w:val="008B3AE1"/>
    <w:rsid w:val="008B3DED"/>
    <w:rsid w:val="008B4398"/>
    <w:rsid w:val="008B4420"/>
    <w:rsid w:val="008B4A34"/>
    <w:rsid w:val="008B4A7F"/>
    <w:rsid w:val="008B5DC8"/>
    <w:rsid w:val="008B6CEF"/>
    <w:rsid w:val="008B760D"/>
    <w:rsid w:val="008B7814"/>
    <w:rsid w:val="008B784B"/>
    <w:rsid w:val="008B7964"/>
    <w:rsid w:val="008C0DF8"/>
    <w:rsid w:val="008C0E47"/>
    <w:rsid w:val="008C102B"/>
    <w:rsid w:val="008C1804"/>
    <w:rsid w:val="008C19A9"/>
    <w:rsid w:val="008C1BD1"/>
    <w:rsid w:val="008C200C"/>
    <w:rsid w:val="008C2269"/>
    <w:rsid w:val="008C25AF"/>
    <w:rsid w:val="008C2AB0"/>
    <w:rsid w:val="008C3BDB"/>
    <w:rsid w:val="008C3C01"/>
    <w:rsid w:val="008C3E3B"/>
    <w:rsid w:val="008C46F0"/>
    <w:rsid w:val="008C4F0E"/>
    <w:rsid w:val="008C5B2B"/>
    <w:rsid w:val="008C668B"/>
    <w:rsid w:val="008C67A7"/>
    <w:rsid w:val="008C6F65"/>
    <w:rsid w:val="008C72DD"/>
    <w:rsid w:val="008C7F79"/>
    <w:rsid w:val="008D03AD"/>
    <w:rsid w:val="008D03C3"/>
    <w:rsid w:val="008D04A2"/>
    <w:rsid w:val="008D1265"/>
    <w:rsid w:val="008D1502"/>
    <w:rsid w:val="008D1822"/>
    <w:rsid w:val="008D1A4E"/>
    <w:rsid w:val="008D1CCD"/>
    <w:rsid w:val="008D1D05"/>
    <w:rsid w:val="008D2857"/>
    <w:rsid w:val="008D39BA"/>
    <w:rsid w:val="008D3CC1"/>
    <w:rsid w:val="008D502D"/>
    <w:rsid w:val="008D5D6E"/>
    <w:rsid w:val="008D6217"/>
    <w:rsid w:val="008D6EA8"/>
    <w:rsid w:val="008D7DE4"/>
    <w:rsid w:val="008E03EA"/>
    <w:rsid w:val="008E0463"/>
    <w:rsid w:val="008E0926"/>
    <w:rsid w:val="008E0D88"/>
    <w:rsid w:val="008E131B"/>
    <w:rsid w:val="008E1C06"/>
    <w:rsid w:val="008E220E"/>
    <w:rsid w:val="008E2A28"/>
    <w:rsid w:val="008E2E68"/>
    <w:rsid w:val="008E34E8"/>
    <w:rsid w:val="008E35CA"/>
    <w:rsid w:val="008E391E"/>
    <w:rsid w:val="008E39FA"/>
    <w:rsid w:val="008E3C66"/>
    <w:rsid w:val="008E4133"/>
    <w:rsid w:val="008E4FBD"/>
    <w:rsid w:val="008E59B9"/>
    <w:rsid w:val="008E5DBD"/>
    <w:rsid w:val="008E5DCA"/>
    <w:rsid w:val="008E60F2"/>
    <w:rsid w:val="008E71DE"/>
    <w:rsid w:val="008F03D2"/>
    <w:rsid w:val="008F0C4E"/>
    <w:rsid w:val="008F0FD0"/>
    <w:rsid w:val="008F1675"/>
    <w:rsid w:val="008F3902"/>
    <w:rsid w:val="008F3B0A"/>
    <w:rsid w:val="008F3CB7"/>
    <w:rsid w:val="008F4CD6"/>
    <w:rsid w:val="008F4FEA"/>
    <w:rsid w:val="008F541B"/>
    <w:rsid w:val="008F5631"/>
    <w:rsid w:val="008F5F55"/>
    <w:rsid w:val="008F660D"/>
    <w:rsid w:val="008F6DC1"/>
    <w:rsid w:val="008F7484"/>
    <w:rsid w:val="008F7A9D"/>
    <w:rsid w:val="00900596"/>
    <w:rsid w:val="009006FD"/>
    <w:rsid w:val="00900CE7"/>
    <w:rsid w:val="00900F07"/>
    <w:rsid w:val="009013A6"/>
    <w:rsid w:val="009034D4"/>
    <w:rsid w:val="00903FD9"/>
    <w:rsid w:val="009043FA"/>
    <w:rsid w:val="00904401"/>
    <w:rsid w:val="0090449B"/>
    <w:rsid w:val="009044C2"/>
    <w:rsid w:val="00904541"/>
    <w:rsid w:val="00904AF6"/>
    <w:rsid w:val="00905370"/>
    <w:rsid w:val="009055C5"/>
    <w:rsid w:val="0090564C"/>
    <w:rsid w:val="00905CE5"/>
    <w:rsid w:val="00905CF7"/>
    <w:rsid w:val="00906003"/>
    <w:rsid w:val="009060C8"/>
    <w:rsid w:val="00906FF6"/>
    <w:rsid w:val="00907BC4"/>
    <w:rsid w:val="00910661"/>
    <w:rsid w:val="009106BE"/>
    <w:rsid w:val="00910B29"/>
    <w:rsid w:val="00910D12"/>
    <w:rsid w:val="00910D4C"/>
    <w:rsid w:val="00911825"/>
    <w:rsid w:val="00911B55"/>
    <w:rsid w:val="009122EA"/>
    <w:rsid w:val="009125B8"/>
    <w:rsid w:val="00912A76"/>
    <w:rsid w:val="0091360C"/>
    <w:rsid w:val="00913900"/>
    <w:rsid w:val="00914079"/>
    <w:rsid w:val="00914235"/>
    <w:rsid w:val="0091471E"/>
    <w:rsid w:val="009147EA"/>
    <w:rsid w:val="00915760"/>
    <w:rsid w:val="009159AE"/>
    <w:rsid w:val="009161F7"/>
    <w:rsid w:val="009164B0"/>
    <w:rsid w:val="009170EF"/>
    <w:rsid w:val="0091758B"/>
    <w:rsid w:val="009202C9"/>
    <w:rsid w:val="00920572"/>
    <w:rsid w:val="0092085A"/>
    <w:rsid w:val="00921686"/>
    <w:rsid w:val="009217D3"/>
    <w:rsid w:val="00921E0D"/>
    <w:rsid w:val="00922241"/>
    <w:rsid w:val="00922817"/>
    <w:rsid w:val="00922FAF"/>
    <w:rsid w:val="00923726"/>
    <w:rsid w:val="00923778"/>
    <w:rsid w:val="00924F82"/>
    <w:rsid w:val="0092503E"/>
    <w:rsid w:val="0092530C"/>
    <w:rsid w:val="00925830"/>
    <w:rsid w:val="00925D2C"/>
    <w:rsid w:val="009260FB"/>
    <w:rsid w:val="009261A5"/>
    <w:rsid w:val="009265C7"/>
    <w:rsid w:val="00926B32"/>
    <w:rsid w:val="00926E18"/>
    <w:rsid w:val="00927517"/>
    <w:rsid w:val="00927BF6"/>
    <w:rsid w:val="00927CEA"/>
    <w:rsid w:val="009302EC"/>
    <w:rsid w:val="009305E3"/>
    <w:rsid w:val="009307F5"/>
    <w:rsid w:val="00931FDD"/>
    <w:rsid w:val="00932235"/>
    <w:rsid w:val="00932494"/>
    <w:rsid w:val="00932AEF"/>
    <w:rsid w:val="00932D30"/>
    <w:rsid w:val="00933DA2"/>
    <w:rsid w:val="00934472"/>
    <w:rsid w:val="009345A7"/>
    <w:rsid w:val="00934ACF"/>
    <w:rsid w:val="0093653A"/>
    <w:rsid w:val="00936AF0"/>
    <w:rsid w:val="0093711A"/>
    <w:rsid w:val="0094024F"/>
    <w:rsid w:val="0094040C"/>
    <w:rsid w:val="00940543"/>
    <w:rsid w:val="009411EA"/>
    <w:rsid w:val="00941737"/>
    <w:rsid w:val="00941BE9"/>
    <w:rsid w:val="00941CE4"/>
    <w:rsid w:val="00942099"/>
    <w:rsid w:val="0094379A"/>
    <w:rsid w:val="00943D70"/>
    <w:rsid w:val="00944C4E"/>
    <w:rsid w:val="009454C7"/>
    <w:rsid w:val="009472A8"/>
    <w:rsid w:val="00947480"/>
    <w:rsid w:val="00947CB2"/>
    <w:rsid w:val="00947FA5"/>
    <w:rsid w:val="009502FB"/>
    <w:rsid w:val="0095070D"/>
    <w:rsid w:val="00950E48"/>
    <w:rsid w:val="00951CD8"/>
    <w:rsid w:val="0095221D"/>
    <w:rsid w:val="009524AD"/>
    <w:rsid w:val="00952B00"/>
    <w:rsid w:val="00952B82"/>
    <w:rsid w:val="00952F21"/>
    <w:rsid w:val="00953123"/>
    <w:rsid w:val="009533E8"/>
    <w:rsid w:val="009536B2"/>
    <w:rsid w:val="009538E2"/>
    <w:rsid w:val="00953D88"/>
    <w:rsid w:val="009549CE"/>
    <w:rsid w:val="00954A63"/>
    <w:rsid w:val="00954CB5"/>
    <w:rsid w:val="00954D3C"/>
    <w:rsid w:val="009551F7"/>
    <w:rsid w:val="009553BE"/>
    <w:rsid w:val="009554EB"/>
    <w:rsid w:val="00955921"/>
    <w:rsid w:val="00955BE1"/>
    <w:rsid w:val="009561D3"/>
    <w:rsid w:val="00956CE1"/>
    <w:rsid w:val="00956D37"/>
    <w:rsid w:val="00956F2F"/>
    <w:rsid w:val="009572D6"/>
    <w:rsid w:val="00957BC4"/>
    <w:rsid w:val="00957ED6"/>
    <w:rsid w:val="0096002C"/>
    <w:rsid w:val="0096021C"/>
    <w:rsid w:val="00960311"/>
    <w:rsid w:val="0096093C"/>
    <w:rsid w:val="00960BE4"/>
    <w:rsid w:val="00960CD1"/>
    <w:rsid w:val="00960FE9"/>
    <w:rsid w:val="00960FFD"/>
    <w:rsid w:val="00961EC1"/>
    <w:rsid w:val="009620CB"/>
    <w:rsid w:val="00962AF8"/>
    <w:rsid w:val="00962C60"/>
    <w:rsid w:val="009632E2"/>
    <w:rsid w:val="00963C96"/>
    <w:rsid w:val="009641B7"/>
    <w:rsid w:val="009645A3"/>
    <w:rsid w:val="009645EE"/>
    <w:rsid w:val="0096469D"/>
    <w:rsid w:val="00965603"/>
    <w:rsid w:val="00965EE2"/>
    <w:rsid w:val="00966016"/>
    <w:rsid w:val="009660DB"/>
    <w:rsid w:val="009660E8"/>
    <w:rsid w:val="00966241"/>
    <w:rsid w:val="009666B4"/>
    <w:rsid w:val="0096674C"/>
    <w:rsid w:val="00967FA0"/>
    <w:rsid w:val="009707DF"/>
    <w:rsid w:val="00970B59"/>
    <w:rsid w:val="00971BCB"/>
    <w:rsid w:val="00971D9F"/>
    <w:rsid w:val="009722E0"/>
    <w:rsid w:val="00973118"/>
    <w:rsid w:val="00973361"/>
    <w:rsid w:val="00973720"/>
    <w:rsid w:val="00973EF9"/>
    <w:rsid w:val="009744AC"/>
    <w:rsid w:val="0097469D"/>
    <w:rsid w:val="0097480B"/>
    <w:rsid w:val="00974BFF"/>
    <w:rsid w:val="00974CE7"/>
    <w:rsid w:val="00974DBD"/>
    <w:rsid w:val="00974F8E"/>
    <w:rsid w:val="0097500D"/>
    <w:rsid w:val="009773A3"/>
    <w:rsid w:val="00977A89"/>
    <w:rsid w:val="00977BA3"/>
    <w:rsid w:val="00977CB8"/>
    <w:rsid w:val="00977F59"/>
    <w:rsid w:val="009801D5"/>
    <w:rsid w:val="0098078E"/>
    <w:rsid w:val="00980B53"/>
    <w:rsid w:val="00980F7C"/>
    <w:rsid w:val="00981EFF"/>
    <w:rsid w:val="0098224E"/>
    <w:rsid w:val="009822EA"/>
    <w:rsid w:val="0098262A"/>
    <w:rsid w:val="00982A23"/>
    <w:rsid w:val="00982F25"/>
    <w:rsid w:val="00982F98"/>
    <w:rsid w:val="009835A0"/>
    <w:rsid w:val="009837E4"/>
    <w:rsid w:val="009840C0"/>
    <w:rsid w:val="0098431A"/>
    <w:rsid w:val="00985B91"/>
    <w:rsid w:val="009861BE"/>
    <w:rsid w:val="009863CE"/>
    <w:rsid w:val="00986806"/>
    <w:rsid w:val="0098686D"/>
    <w:rsid w:val="009869F5"/>
    <w:rsid w:val="00986AC1"/>
    <w:rsid w:val="0098725F"/>
    <w:rsid w:val="009877DB"/>
    <w:rsid w:val="00987B91"/>
    <w:rsid w:val="00987E14"/>
    <w:rsid w:val="00990B80"/>
    <w:rsid w:val="00990CBA"/>
    <w:rsid w:val="00990CE0"/>
    <w:rsid w:val="0099125D"/>
    <w:rsid w:val="009912D6"/>
    <w:rsid w:val="009914BD"/>
    <w:rsid w:val="0099184E"/>
    <w:rsid w:val="009918E3"/>
    <w:rsid w:val="00991C79"/>
    <w:rsid w:val="00991DAD"/>
    <w:rsid w:val="009920B8"/>
    <w:rsid w:val="009922F2"/>
    <w:rsid w:val="009925C9"/>
    <w:rsid w:val="009930D5"/>
    <w:rsid w:val="0099319B"/>
    <w:rsid w:val="00993414"/>
    <w:rsid w:val="00993B59"/>
    <w:rsid w:val="00993EAD"/>
    <w:rsid w:val="00994DF6"/>
    <w:rsid w:val="009954EE"/>
    <w:rsid w:val="009957C4"/>
    <w:rsid w:val="00995EE8"/>
    <w:rsid w:val="00996268"/>
    <w:rsid w:val="009A007C"/>
    <w:rsid w:val="009A0484"/>
    <w:rsid w:val="009A0A68"/>
    <w:rsid w:val="009A0E1B"/>
    <w:rsid w:val="009A124B"/>
    <w:rsid w:val="009A140B"/>
    <w:rsid w:val="009A150D"/>
    <w:rsid w:val="009A1B2D"/>
    <w:rsid w:val="009A1CEA"/>
    <w:rsid w:val="009A2E42"/>
    <w:rsid w:val="009A2FDC"/>
    <w:rsid w:val="009A3308"/>
    <w:rsid w:val="009A3609"/>
    <w:rsid w:val="009A3C47"/>
    <w:rsid w:val="009A3C58"/>
    <w:rsid w:val="009A3EB2"/>
    <w:rsid w:val="009A3ECF"/>
    <w:rsid w:val="009A4457"/>
    <w:rsid w:val="009A44C6"/>
    <w:rsid w:val="009A4911"/>
    <w:rsid w:val="009A4A70"/>
    <w:rsid w:val="009A5723"/>
    <w:rsid w:val="009A5960"/>
    <w:rsid w:val="009A5CB0"/>
    <w:rsid w:val="009A60F3"/>
    <w:rsid w:val="009A62D8"/>
    <w:rsid w:val="009A6881"/>
    <w:rsid w:val="009A7088"/>
    <w:rsid w:val="009A745B"/>
    <w:rsid w:val="009A7E29"/>
    <w:rsid w:val="009A7E84"/>
    <w:rsid w:val="009B01BA"/>
    <w:rsid w:val="009B03BF"/>
    <w:rsid w:val="009B0A74"/>
    <w:rsid w:val="009B0DB4"/>
    <w:rsid w:val="009B10FB"/>
    <w:rsid w:val="009B131E"/>
    <w:rsid w:val="009B18EB"/>
    <w:rsid w:val="009B1EAD"/>
    <w:rsid w:val="009B21B7"/>
    <w:rsid w:val="009B2211"/>
    <w:rsid w:val="009B29EE"/>
    <w:rsid w:val="009B2E8B"/>
    <w:rsid w:val="009B30C8"/>
    <w:rsid w:val="009B316D"/>
    <w:rsid w:val="009B31A4"/>
    <w:rsid w:val="009B3474"/>
    <w:rsid w:val="009B37A2"/>
    <w:rsid w:val="009B3985"/>
    <w:rsid w:val="009B4209"/>
    <w:rsid w:val="009B4BB2"/>
    <w:rsid w:val="009B4CCA"/>
    <w:rsid w:val="009B5783"/>
    <w:rsid w:val="009B60E7"/>
    <w:rsid w:val="009B6183"/>
    <w:rsid w:val="009B63C8"/>
    <w:rsid w:val="009B6F08"/>
    <w:rsid w:val="009B7523"/>
    <w:rsid w:val="009B7527"/>
    <w:rsid w:val="009B7770"/>
    <w:rsid w:val="009B7AA9"/>
    <w:rsid w:val="009B7D65"/>
    <w:rsid w:val="009C0008"/>
    <w:rsid w:val="009C068F"/>
    <w:rsid w:val="009C06BB"/>
    <w:rsid w:val="009C0ABD"/>
    <w:rsid w:val="009C0D6D"/>
    <w:rsid w:val="009C111D"/>
    <w:rsid w:val="009C168B"/>
    <w:rsid w:val="009C17FA"/>
    <w:rsid w:val="009C1B82"/>
    <w:rsid w:val="009C267E"/>
    <w:rsid w:val="009C2D46"/>
    <w:rsid w:val="009C2E8B"/>
    <w:rsid w:val="009C3CAA"/>
    <w:rsid w:val="009C4181"/>
    <w:rsid w:val="009C53DE"/>
    <w:rsid w:val="009C567B"/>
    <w:rsid w:val="009C5F26"/>
    <w:rsid w:val="009C65E2"/>
    <w:rsid w:val="009C7DF1"/>
    <w:rsid w:val="009D0B38"/>
    <w:rsid w:val="009D1306"/>
    <w:rsid w:val="009D2143"/>
    <w:rsid w:val="009D218D"/>
    <w:rsid w:val="009D2B75"/>
    <w:rsid w:val="009D3A5A"/>
    <w:rsid w:val="009D3AED"/>
    <w:rsid w:val="009D4767"/>
    <w:rsid w:val="009D4FF7"/>
    <w:rsid w:val="009D536A"/>
    <w:rsid w:val="009D5B8E"/>
    <w:rsid w:val="009D62DE"/>
    <w:rsid w:val="009D64DF"/>
    <w:rsid w:val="009D6A71"/>
    <w:rsid w:val="009D6B82"/>
    <w:rsid w:val="009D7908"/>
    <w:rsid w:val="009D7B61"/>
    <w:rsid w:val="009E132E"/>
    <w:rsid w:val="009E19ED"/>
    <w:rsid w:val="009E1AB0"/>
    <w:rsid w:val="009E2229"/>
    <w:rsid w:val="009E2389"/>
    <w:rsid w:val="009E2710"/>
    <w:rsid w:val="009E2A5D"/>
    <w:rsid w:val="009E2DF2"/>
    <w:rsid w:val="009E2E87"/>
    <w:rsid w:val="009E300B"/>
    <w:rsid w:val="009E335A"/>
    <w:rsid w:val="009E3468"/>
    <w:rsid w:val="009E3633"/>
    <w:rsid w:val="009E3682"/>
    <w:rsid w:val="009E375F"/>
    <w:rsid w:val="009E3D33"/>
    <w:rsid w:val="009E3DA8"/>
    <w:rsid w:val="009E47EB"/>
    <w:rsid w:val="009E48C6"/>
    <w:rsid w:val="009E51CB"/>
    <w:rsid w:val="009E5245"/>
    <w:rsid w:val="009E55F8"/>
    <w:rsid w:val="009E5C14"/>
    <w:rsid w:val="009E64F0"/>
    <w:rsid w:val="009E7585"/>
    <w:rsid w:val="009E7EB9"/>
    <w:rsid w:val="009E7FC9"/>
    <w:rsid w:val="009F0043"/>
    <w:rsid w:val="009F065F"/>
    <w:rsid w:val="009F0C1E"/>
    <w:rsid w:val="009F0C40"/>
    <w:rsid w:val="009F0FB2"/>
    <w:rsid w:val="009F1670"/>
    <w:rsid w:val="009F2C45"/>
    <w:rsid w:val="009F3822"/>
    <w:rsid w:val="009F389A"/>
    <w:rsid w:val="009F4BD1"/>
    <w:rsid w:val="009F50F2"/>
    <w:rsid w:val="009F5437"/>
    <w:rsid w:val="009F54D0"/>
    <w:rsid w:val="009F61D3"/>
    <w:rsid w:val="009F627A"/>
    <w:rsid w:val="009F652A"/>
    <w:rsid w:val="009F6703"/>
    <w:rsid w:val="009F6870"/>
    <w:rsid w:val="009F7056"/>
    <w:rsid w:val="009F727F"/>
    <w:rsid w:val="009F77DD"/>
    <w:rsid w:val="009F7902"/>
    <w:rsid w:val="00A005FA"/>
    <w:rsid w:val="00A00A38"/>
    <w:rsid w:val="00A00E82"/>
    <w:rsid w:val="00A0155F"/>
    <w:rsid w:val="00A01A83"/>
    <w:rsid w:val="00A01CF3"/>
    <w:rsid w:val="00A01F46"/>
    <w:rsid w:val="00A02447"/>
    <w:rsid w:val="00A02990"/>
    <w:rsid w:val="00A02D34"/>
    <w:rsid w:val="00A037DE"/>
    <w:rsid w:val="00A0381E"/>
    <w:rsid w:val="00A03F1A"/>
    <w:rsid w:val="00A042C5"/>
    <w:rsid w:val="00A043DD"/>
    <w:rsid w:val="00A04E00"/>
    <w:rsid w:val="00A04E4C"/>
    <w:rsid w:val="00A04F5D"/>
    <w:rsid w:val="00A0501E"/>
    <w:rsid w:val="00A05A08"/>
    <w:rsid w:val="00A068DA"/>
    <w:rsid w:val="00A07102"/>
    <w:rsid w:val="00A07D95"/>
    <w:rsid w:val="00A106CA"/>
    <w:rsid w:val="00A10983"/>
    <w:rsid w:val="00A1100E"/>
    <w:rsid w:val="00A11C64"/>
    <w:rsid w:val="00A120AA"/>
    <w:rsid w:val="00A125A4"/>
    <w:rsid w:val="00A12776"/>
    <w:rsid w:val="00A1294E"/>
    <w:rsid w:val="00A12C96"/>
    <w:rsid w:val="00A12E0D"/>
    <w:rsid w:val="00A13399"/>
    <w:rsid w:val="00A145A6"/>
    <w:rsid w:val="00A147AC"/>
    <w:rsid w:val="00A148B6"/>
    <w:rsid w:val="00A14A84"/>
    <w:rsid w:val="00A1546A"/>
    <w:rsid w:val="00A17024"/>
    <w:rsid w:val="00A1725D"/>
    <w:rsid w:val="00A17C50"/>
    <w:rsid w:val="00A17C81"/>
    <w:rsid w:val="00A2067D"/>
    <w:rsid w:val="00A229AF"/>
    <w:rsid w:val="00A229E1"/>
    <w:rsid w:val="00A22C4A"/>
    <w:rsid w:val="00A2316C"/>
    <w:rsid w:val="00A23329"/>
    <w:rsid w:val="00A23726"/>
    <w:rsid w:val="00A238F5"/>
    <w:rsid w:val="00A23C59"/>
    <w:rsid w:val="00A24E22"/>
    <w:rsid w:val="00A2546C"/>
    <w:rsid w:val="00A25E32"/>
    <w:rsid w:val="00A265D0"/>
    <w:rsid w:val="00A26CB6"/>
    <w:rsid w:val="00A27956"/>
    <w:rsid w:val="00A27E31"/>
    <w:rsid w:val="00A305A5"/>
    <w:rsid w:val="00A30BB6"/>
    <w:rsid w:val="00A30F28"/>
    <w:rsid w:val="00A31392"/>
    <w:rsid w:val="00A3158D"/>
    <w:rsid w:val="00A319D4"/>
    <w:rsid w:val="00A31C8E"/>
    <w:rsid w:val="00A322EF"/>
    <w:rsid w:val="00A32519"/>
    <w:rsid w:val="00A32F40"/>
    <w:rsid w:val="00A33D5D"/>
    <w:rsid w:val="00A35049"/>
    <w:rsid w:val="00A352A1"/>
    <w:rsid w:val="00A36436"/>
    <w:rsid w:val="00A36488"/>
    <w:rsid w:val="00A36E67"/>
    <w:rsid w:val="00A37451"/>
    <w:rsid w:val="00A3773B"/>
    <w:rsid w:val="00A37B7E"/>
    <w:rsid w:val="00A37C25"/>
    <w:rsid w:val="00A402A8"/>
    <w:rsid w:val="00A40781"/>
    <w:rsid w:val="00A41132"/>
    <w:rsid w:val="00A4123C"/>
    <w:rsid w:val="00A42065"/>
    <w:rsid w:val="00A423CD"/>
    <w:rsid w:val="00A42A2A"/>
    <w:rsid w:val="00A431AD"/>
    <w:rsid w:val="00A43295"/>
    <w:rsid w:val="00A43424"/>
    <w:rsid w:val="00A4382E"/>
    <w:rsid w:val="00A44F9C"/>
    <w:rsid w:val="00A46045"/>
    <w:rsid w:val="00A46947"/>
    <w:rsid w:val="00A46CF9"/>
    <w:rsid w:val="00A47380"/>
    <w:rsid w:val="00A4782C"/>
    <w:rsid w:val="00A47ECF"/>
    <w:rsid w:val="00A50512"/>
    <w:rsid w:val="00A5086A"/>
    <w:rsid w:val="00A50904"/>
    <w:rsid w:val="00A5114B"/>
    <w:rsid w:val="00A514A0"/>
    <w:rsid w:val="00A515D0"/>
    <w:rsid w:val="00A52065"/>
    <w:rsid w:val="00A521A6"/>
    <w:rsid w:val="00A52CD3"/>
    <w:rsid w:val="00A52F35"/>
    <w:rsid w:val="00A5340A"/>
    <w:rsid w:val="00A542AE"/>
    <w:rsid w:val="00A544E7"/>
    <w:rsid w:val="00A54C8A"/>
    <w:rsid w:val="00A55632"/>
    <w:rsid w:val="00A558D1"/>
    <w:rsid w:val="00A56F39"/>
    <w:rsid w:val="00A57508"/>
    <w:rsid w:val="00A577C7"/>
    <w:rsid w:val="00A57E6A"/>
    <w:rsid w:val="00A6078E"/>
    <w:rsid w:val="00A60B65"/>
    <w:rsid w:val="00A60D14"/>
    <w:rsid w:val="00A60ECE"/>
    <w:rsid w:val="00A60F64"/>
    <w:rsid w:val="00A611B7"/>
    <w:rsid w:val="00A6189D"/>
    <w:rsid w:val="00A618D6"/>
    <w:rsid w:val="00A62C8E"/>
    <w:rsid w:val="00A6315A"/>
    <w:rsid w:val="00A6366C"/>
    <w:rsid w:val="00A63B54"/>
    <w:rsid w:val="00A63F83"/>
    <w:rsid w:val="00A64111"/>
    <w:rsid w:val="00A6463B"/>
    <w:rsid w:val="00A64C52"/>
    <w:rsid w:val="00A652A2"/>
    <w:rsid w:val="00A655EF"/>
    <w:rsid w:val="00A6696E"/>
    <w:rsid w:val="00A66A12"/>
    <w:rsid w:val="00A66F15"/>
    <w:rsid w:val="00A705E3"/>
    <w:rsid w:val="00A70E2C"/>
    <w:rsid w:val="00A710BE"/>
    <w:rsid w:val="00A71118"/>
    <w:rsid w:val="00A7196E"/>
    <w:rsid w:val="00A71A1C"/>
    <w:rsid w:val="00A72652"/>
    <w:rsid w:val="00A727FC"/>
    <w:rsid w:val="00A72958"/>
    <w:rsid w:val="00A733B3"/>
    <w:rsid w:val="00A735F5"/>
    <w:rsid w:val="00A737B4"/>
    <w:rsid w:val="00A737BD"/>
    <w:rsid w:val="00A73BE4"/>
    <w:rsid w:val="00A7423D"/>
    <w:rsid w:val="00A745FB"/>
    <w:rsid w:val="00A74C37"/>
    <w:rsid w:val="00A7518B"/>
    <w:rsid w:val="00A755F0"/>
    <w:rsid w:val="00A75C10"/>
    <w:rsid w:val="00A7668F"/>
    <w:rsid w:val="00A80B6C"/>
    <w:rsid w:val="00A80E8C"/>
    <w:rsid w:val="00A814B3"/>
    <w:rsid w:val="00A815C0"/>
    <w:rsid w:val="00A82950"/>
    <w:rsid w:val="00A82E5F"/>
    <w:rsid w:val="00A848D8"/>
    <w:rsid w:val="00A84A96"/>
    <w:rsid w:val="00A84E2E"/>
    <w:rsid w:val="00A857CD"/>
    <w:rsid w:val="00A86278"/>
    <w:rsid w:val="00A870BE"/>
    <w:rsid w:val="00A8773B"/>
    <w:rsid w:val="00A87A3D"/>
    <w:rsid w:val="00A87AAA"/>
    <w:rsid w:val="00A902B0"/>
    <w:rsid w:val="00A902D0"/>
    <w:rsid w:val="00A903E4"/>
    <w:rsid w:val="00A909F4"/>
    <w:rsid w:val="00A9116D"/>
    <w:rsid w:val="00A9126E"/>
    <w:rsid w:val="00A9164C"/>
    <w:rsid w:val="00A91743"/>
    <w:rsid w:val="00A92034"/>
    <w:rsid w:val="00A92A50"/>
    <w:rsid w:val="00A92C48"/>
    <w:rsid w:val="00A932E6"/>
    <w:rsid w:val="00A93607"/>
    <w:rsid w:val="00A93AF6"/>
    <w:rsid w:val="00A94684"/>
    <w:rsid w:val="00A948CF"/>
    <w:rsid w:val="00A95BDE"/>
    <w:rsid w:val="00A95E34"/>
    <w:rsid w:val="00A96B5B"/>
    <w:rsid w:val="00A96C17"/>
    <w:rsid w:val="00A96EBD"/>
    <w:rsid w:val="00A96F17"/>
    <w:rsid w:val="00A9733A"/>
    <w:rsid w:val="00A97505"/>
    <w:rsid w:val="00A97B11"/>
    <w:rsid w:val="00AA050B"/>
    <w:rsid w:val="00AA08BF"/>
    <w:rsid w:val="00AA0B37"/>
    <w:rsid w:val="00AA0F5B"/>
    <w:rsid w:val="00AA12F6"/>
    <w:rsid w:val="00AA1A9F"/>
    <w:rsid w:val="00AA1C2C"/>
    <w:rsid w:val="00AA32EE"/>
    <w:rsid w:val="00AA362C"/>
    <w:rsid w:val="00AA3638"/>
    <w:rsid w:val="00AA4074"/>
    <w:rsid w:val="00AA45CA"/>
    <w:rsid w:val="00AA45FA"/>
    <w:rsid w:val="00AA467B"/>
    <w:rsid w:val="00AA4861"/>
    <w:rsid w:val="00AA5123"/>
    <w:rsid w:val="00AA5184"/>
    <w:rsid w:val="00AA6698"/>
    <w:rsid w:val="00AA687C"/>
    <w:rsid w:val="00AA6E04"/>
    <w:rsid w:val="00AA7170"/>
    <w:rsid w:val="00AA77AC"/>
    <w:rsid w:val="00AA7FB4"/>
    <w:rsid w:val="00AB00BD"/>
    <w:rsid w:val="00AB0CB7"/>
    <w:rsid w:val="00AB143A"/>
    <w:rsid w:val="00AB1B5B"/>
    <w:rsid w:val="00AB20B7"/>
    <w:rsid w:val="00AB333C"/>
    <w:rsid w:val="00AB3435"/>
    <w:rsid w:val="00AB3653"/>
    <w:rsid w:val="00AB3A38"/>
    <w:rsid w:val="00AB3A4E"/>
    <w:rsid w:val="00AB3C94"/>
    <w:rsid w:val="00AB3D4D"/>
    <w:rsid w:val="00AB3D98"/>
    <w:rsid w:val="00AB4131"/>
    <w:rsid w:val="00AB455C"/>
    <w:rsid w:val="00AB47F1"/>
    <w:rsid w:val="00AB48F3"/>
    <w:rsid w:val="00AB5478"/>
    <w:rsid w:val="00AB5485"/>
    <w:rsid w:val="00AB6307"/>
    <w:rsid w:val="00AB6454"/>
    <w:rsid w:val="00AB6969"/>
    <w:rsid w:val="00AB7085"/>
    <w:rsid w:val="00AB70BF"/>
    <w:rsid w:val="00AB7AC0"/>
    <w:rsid w:val="00AC12D0"/>
    <w:rsid w:val="00AC1360"/>
    <w:rsid w:val="00AC185B"/>
    <w:rsid w:val="00AC1946"/>
    <w:rsid w:val="00AC208C"/>
    <w:rsid w:val="00AC2946"/>
    <w:rsid w:val="00AC36F2"/>
    <w:rsid w:val="00AC3787"/>
    <w:rsid w:val="00AC3D31"/>
    <w:rsid w:val="00AC3D55"/>
    <w:rsid w:val="00AC3D8B"/>
    <w:rsid w:val="00AC4DA8"/>
    <w:rsid w:val="00AC5060"/>
    <w:rsid w:val="00AC5C9D"/>
    <w:rsid w:val="00AC5CB7"/>
    <w:rsid w:val="00AC6198"/>
    <w:rsid w:val="00AC6F6B"/>
    <w:rsid w:val="00AC7531"/>
    <w:rsid w:val="00AC7564"/>
    <w:rsid w:val="00AC7688"/>
    <w:rsid w:val="00AC7C02"/>
    <w:rsid w:val="00AD04E8"/>
    <w:rsid w:val="00AD0517"/>
    <w:rsid w:val="00AD0A78"/>
    <w:rsid w:val="00AD1192"/>
    <w:rsid w:val="00AD1233"/>
    <w:rsid w:val="00AD1641"/>
    <w:rsid w:val="00AD1A2E"/>
    <w:rsid w:val="00AD1D29"/>
    <w:rsid w:val="00AD2CE8"/>
    <w:rsid w:val="00AD324A"/>
    <w:rsid w:val="00AD3853"/>
    <w:rsid w:val="00AD42E6"/>
    <w:rsid w:val="00AD43BF"/>
    <w:rsid w:val="00AD5DAF"/>
    <w:rsid w:val="00AD61C0"/>
    <w:rsid w:val="00AD651D"/>
    <w:rsid w:val="00AD6B9F"/>
    <w:rsid w:val="00AD6D6E"/>
    <w:rsid w:val="00AD717A"/>
    <w:rsid w:val="00AE01EC"/>
    <w:rsid w:val="00AE0BA6"/>
    <w:rsid w:val="00AE0F6A"/>
    <w:rsid w:val="00AE1133"/>
    <w:rsid w:val="00AE116A"/>
    <w:rsid w:val="00AE2666"/>
    <w:rsid w:val="00AE2A39"/>
    <w:rsid w:val="00AE2E18"/>
    <w:rsid w:val="00AE312E"/>
    <w:rsid w:val="00AE3199"/>
    <w:rsid w:val="00AE4A09"/>
    <w:rsid w:val="00AE5165"/>
    <w:rsid w:val="00AE60F5"/>
    <w:rsid w:val="00AE6715"/>
    <w:rsid w:val="00AE716B"/>
    <w:rsid w:val="00AE72A6"/>
    <w:rsid w:val="00AE7BB5"/>
    <w:rsid w:val="00AF076F"/>
    <w:rsid w:val="00AF0B50"/>
    <w:rsid w:val="00AF0B9D"/>
    <w:rsid w:val="00AF0EBB"/>
    <w:rsid w:val="00AF19BA"/>
    <w:rsid w:val="00AF1B44"/>
    <w:rsid w:val="00AF21A5"/>
    <w:rsid w:val="00AF29EA"/>
    <w:rsid w:val="00AF2CE6"/>
    <w:rsid w:val="00AF46FA"/>
    <w:rsid w:val="00AF4979"/>
    <w:rsid w:val="00AF4D46"/>
    <w:rsid w:val="00AF519A"/>
    <w:rsid w:val="00AF5894"/>
    <w:rsid w:val="00AF59E3"/>
    <w:rsid w:val="00AF5A64"/>
    <w:rsid w:val="00AF5D3F"/>
    <w:rsid w:val="00AF604E"/>
    <w:rsid w:val="00AF61B6"/>
    <w:rsid w:val="00AF638F"/>
    <w:rsid w:val="00AF69FC"/>
    <w:rsid w:val="00AF6E14"/>
    <w:rsid w:val="00AF7964"/>
    <w:rsid w:val="00B0025E"/>
    <w:rsid w:val="00B00AEE"/>
    <w:rsid w:val="00B0121D"/>
    <w:rsid w:val="00B013A0"/>
    <w:rsid w:val="00B01B78"/>
    <w:rsid w:val="00B02623"/>
    <w:rsid w:val="00B02712"/>
    <w:rsid w:val="00B03D1D"/>
    <w:rsid w:val="00B0416D"/>
    <w:rsid w:val="00B046DE"/>
    <w:rsid w:val="00B049A5"/>
    <w:rsid w:val="00B05670"/>
    <w:rsid w:val="00B05A81"/>
    <w:rsid w:val="00B05E26"/>
    <w:rsid w:val="00B06B16"/>
    <w:rsid w:val="00B07E7F"/>
    <w:rsid w:val="00B10C7B"/>
    <w:rsid w:val="00B10D50"/>
    <w:rsid w:val="00B10FBE"/>
    <w:rsid w:val="00B117F9"/>
    <w:rsid w:val="00B1185C"/>
    <w:rsid w:val="00B119F3"/>
    <w:rsid w:val="00B125CE"/>
    <w:rsid w:val="00B1264D"/>
    <w:rsid w:val="00B12B8D"/>
    <w:rsid w:val="00B12F2C"/>
    <w:rsid w:val="00B13F18"/>
    <w:rsid w:val="00B141E0"/>
    <w:rsid w:val="00B149C3"/>
    <w:rsid w:val="00B14AAD"/>
    <w:rsid w:val="00B14F5C"/>
    <w:rsid w:val="00B151C4"/>
    <w:rsid w:val="00B1546B"/>
    <w:rsid w:val="00B15764"/>
    <w:rsid w:val="00B1611A"/>
    <w:rsid w:val="00B16181"/>
    <w:rsid w:val="00B16185"/>
    <w:rsid w:val="00B16F57"/>
    <w:rsid w:val="00B1775B"/>
    <w:rsid w:val="00B17ECE"/>
    <w:rsid w:val="00B17F51"/>
    <w:rsid w:val="00B17FC1"/>
    <w:rsid w:val="00B200AB"/>
    <w:rsid w:val="00B206D0"/>
    <w:rsid w:val="00B211E9"/>
    <w:rsid w:val="00B2154A"/>
    <w:rsid w:val="00B221CE"/>
    <w:rsid w:val="00B224AD"/>
    <w:rsid w:val="00B22F96"/>
    <w:rsid w:val="00B23811"/>
    <w:rsid w:val="00B23C4F"/>
    <w:rsid w:val="00B23D3C"/>
    <w:rsid w:val="00B2416C"/>
    <w:rsid w:val="00B2426E"/>
    <w:rsid w:val="00B24452"/>
    <w:rsid w:val="00B25057"/>
    <w:rsid w:val="00B25278"/>
    <w:rsid w:val="00B25F9D"/>
    <w:rsid w:val="00B25F9E"/>
    <w:rsid w:val="00B267BF"/>
    <w:rsid w:val="00B26B1A"/>
    <w:rsid w:val="00B26D52"/>
    <w:rsid w:val="00B26F16"/>
    <w:rsid w:val="00B26F44"/>
    <w:rsid w:val="00B27BDB"/>
    <w:rsid w:val="00B300F4"/>
    <w:rsid w:val="00B306B9"/>
    <w:rsid w:val="00B31AA1"/>
    <w:rsid w:val="00B32198"/>
    <w:rsid w:val="00B329B0"/>
    <w:rsid w:val="00B32AA6"/>
    <w:rsid w:val="00B336FB"/>
    <w:rsid w:val="00B3406E"/>
    <w:rsid w:val="00B34736"/>
    <w:rsid w:val="00B348DC"/>
    <w:rsid w:val="00B34E6E"/>
    <w:rsid w:val="00B352EF"/>
    <w:rsid w:val="00B35FA9"/>
    <w:rsid w:val="00B3605F"/>
    <w:rsid w:val="00B36F9D"/>
    <w:rsid w:val="00B37D0B"/>
    <w:rsid w:val="00B406D3"/>
    <w:rsid w:val="00B40AFB"/>
    <w:rsid w:val="00B411F6"/>
    <w:rsid w:val="00B41914"/>
    <w:rsid w:val="00B42852"/>
    <w:rsid w:val="00B42A71"/>
    <w:rsid w:val="00B42D72"/>
    <w:rsid w:val="00B42E65"/>
    <w:rsid w:val="00B43533"/>
    <w:rsid w:val="00B443C4"/>
    <w:rsid w:val="00B44B78"/>
    <w:rsid w:val="00B455EE"/>
    <w:rsid w:val="00B46613"/>
    <w:rsid w:val="00B468A3"/>
    <w:rsid w:val="00B46AA2"/>
    <w:rsid w:val="00B46ABD"/>
    <w:rsid w:val="00B46F3C"/>
    <w:rsid w:val="00B4738A"/>
    <w:rsid w:val="00B47CE7"/>
    <w:rsid w:val="00B47F1B"/>
    <w:rsid w:val="00B5001C"/>
    <w:rsid w:val="00B50119"/>
    <w:rsid w:val="00B50273"/>
    <w:rsid w:val="00B50B7F"/>
    <w:rsid w:val="00B51BD5"/>
    <w:rsid w:val="00B51E46"/>
    <w:rsid w:val="00B53527"/>
    <w:rsid w:val="00B53755"/>
    <w:rsid w:val="00B53996"/>
    <w:rsid w:val="00B53D0E"/>
    <w:rsid w:val="00B546C3"/>
    <w:rsid w:val="00B54C3B"/>
    <w:rsid w:val="00B54F48"/>
    <w:rsid w:val="00B56671"/>
    <w:rsid w:val="00B566CB"/>
    <w:rsid w:val="00B57434"/>
    <w:rsid w:val="00B576D1"/>
    <w:rsid w:val="00B57D2E"/>
    <w:rsid w:val="00B60C3B"/>
    <w:rsid w:val="00B60D9D"/>
    <w:rsid w:val="00B60FDA"/>
    <w:rsid w:val="00B618AE"/>
    <w:rsid w:val="00B61EC8"/>
    <w:rsid w:val="00B61F16"/>
    <w:rsid w:val="00B6208E"/>
    <w:rsid w:val="00B62CC2"/>
    <w:rsid w:val="00B630FD"/>
    <w:rsid w:val="00B6359B"/>
    <w:rsid w:val="00B63F85"/>
    <w:rsid w:val="00B643F4"/>
    <w:rsid w:val="00B6593D"/>
    <w:rsid w:val="00B65F51"/>
    <w:rsid w:val="00B6682A"/>
    <w:rsid w:val="00B66D0A"/>
    <w:rsid w:val="00B67257"/>
    <w:rsid w:val="00B67C4E"/>
    <w:rsid w:val="00B70149"/>
    <w:rsid w:val="00B70246"/>
    <w:rsid w:val="00B703A5"/>
    <w:rsid w:val="00B706AC"/>
    <w:rsid w:val="00B708C6"/>
    <w:rsid w:val="00B712AA"/>
    <w:rsid w:val="00B716F9"/>
    <w:rsid w:val="00B71750"/>
    <w:rsid w:val="00B71B8C"/>
    <w:rsid w:val="00B72387"/>
    <w:rsid w:val="00B723F1"/>
    <w:rsid w:val="00B72589"/>
    <w:rsid w:val="00B729EF"/>
    <w:rsid w:val="00B72E7A"/>
    <w:rsid w:val="00B731A1"/>
    <w:rsid w:val="00B74FF9"/>
    <w:rsid w:val="00B759CD"/>
    <w:rsid w:val="00B75CAA"/>
    <w:rsid w:val="00B75EF5"/>
    <w:rsid w:val="00B76880"/>
    <w:rsid w:val="00B76BBB"/>
    <w:rsid w:val="00B77525"/>
    <w:rsid w:val="00B776FE"/>
    <w:rsid w:val="00B77AA1"/>
    <w:rsid w:val="00B77AD6"/>
    <w:rsid w:val="00B77DA8"/>
    <w:rsid w:val="00B80DDC"/>
    <w:rsid w:val="00B8139A"/>
    <w:rsid w:val="00B818E9"/>
    <w:rsid w:val="00B81F66"/>
    <w:rsid w:val="00B820F7"/>
    <w:rsid w:val="00B82A3D"/>
    <w:rsid w:val="00B82A4D"/>
    <w:rsid w:val="00B830CA"/>
    <w:rsid w:val="00B84077"/>
    <w:rsid w:val="00B86445"/>
    <w:rsid w:val="00B86577"/>
    <w:rsid w:val="00B866C9"/>
    <w:rsid w:val="00B86B41"/>
    <w:rsid w:val="00B86D2C"/>
    <w:rsid w:val="00B87A26"/>
    <w:rsid w:val="00B9022A"/>
    <w:rsid w:val="00B906A7"/>
    <w:rsid w:val="00B909B6"/>
    <w:rsid w:val="00B91661"/>
    <w:rsid w:val="00B91A0D"/>
    <w:rsid w:val="00B9224D"/>
    <w:rsid w:val="00B922F8"/>
    <w:rsid w:val="00B92FB0"/>
    <w:rsid w:val="00B932FF"/>
    <w:rsid w:val="00B936D4"/>
    <w:rsid w:val="00B9409A"/>
    <w:rsid w:val="00B94661"/>
    <w:rsid w:val="00B94AB3"/>
    <w:rsid w:val="00B94EEA"/>
    <w:rsid w:val="00B9510E"/>
    <w:rsid w:val="00B961B2"/>
    <w:rsid w:val="00B969D5"/>
    <w:rsid w:val="00B96CC8"/>
    <w:rsid w:val="00B96D09"/>
    <w:rsid w:val="00B9722B"/>
    <w:rsid w:val="00B9726C"/>
    <w:rsid w:val="00B9789D"/>
    <w:rsid w:val="00B97D0A"/>
    <w:rsid w:val="00B97D67"/>
    <w:rsid w:val="00B97E43"/>
    <w:rsid w:val="00BA0842"/>
    <w:rsid w:val="00BA0853"/>
    <w:rsid w:val="00BA0CAE"/>
    <w:rsid w:val="00BA2B24"/>
    <w:rsid w:val="00BA2C98"/>
    <w:rsid w:val="00BA3984"/>
    <w:rsid w:val="00BA3CA9"/>
    <w:rsid w:val="00BA4060"/>
    <w:rsid w:val="00BA55C8"/>
    <w:rsid w:val="00BA592F"/>
    <w:rsid w:val="00BA5B20"/>
    <w:rsid w:val="00BA5F10"/>
    <w:rsid w:val="00BA61DE"/>
    <w:rsid w:val="00BA672F"/>
    <w:rsid w:val="00BA7C36"/>
    <w:rsid w:val="00BB00CD"/>
    <w:rsid w:val="00BB1374"/>
    <w:rsid w:val="00BB1965"/>
    <w:rsid w:val="00BB1AE9"/>
    <w:rsid w:val="00BB1B68"/>
    <w:rsid w:val="00BB2532"/>
    <w:rsid w:val="00BB332B"/>
    <w:rsid w:val="00BB3CAE"/>
    <w:rsid w:val="00BB3F5F"/>
    <w:rsid w:val="00BB40CB"/>
    <w:rsid w:val="00BB482D"/>
    <w:rsid w:val="00BB4874"/>
    <w:rsid w:val="00BB5AE2"/>
    <w:rsid w:val="00BB5F2E"/>
    <w:rsid w:val="00BB6068"/>
    <w:rsid w:val="00BB6D41"/>
    <w:rsid w:val="00BB6DCA"/>
    <w:rsid w:val="00BB70CC"/>
    <w:rsid w:val="00BB7256"/>
    <w:rsid w:val="00BB787A"/>
    <w:rsid w:val="00BC06F4"/>
    <w:rsid w:val="00BC0EFF"/>
    <w:rsid w:val="00BC1107"/>
    <w:rsid w:val="00BC13C8"/>
    <w:rsid w:val="00BC186C"/>
    <w:rsid w:val="00BC2C7D"/>
    <w:rsid w:val="00BC3014"/>
    <w:rsid w:val="00BC360D"/>
    <w:rsid w:val="00BC408E"/>
    <w:rsid w:val="00BC4F6C"/>
    <w:rsid w:val="00BC55A6"/>
    <w:rsid w:val="00BC613B"/>
    <w:rsid w:val="00BC6916"/>
    <w:rsid w:val="00BD0442"/>
    <w:rsid w:val="00BD08B0"/>
    <w:rsid w:val="00BD0A6E"/>
    <w:rsid w:val="00BD0C7E"/>
    <w:rsid w:val="00BD0E7B"/>
    <w:rsid w:val="00BD11C9"/>
    <w:rsid w:val="00BD15CA"/>
    <w:rsid w:val="00BD1C8F"/>
    <w:rsid w:val="00BD2EE8"/>
    <w:rsid w:val="00BD2F2A"/>
    <w:rsid w:val="00BD320D"/>
    <w:rsid w:val="00BD3BE2"/>
    <w:rsid w:val="00BD6B8A"/>
    <w:rsid w:val="00BD6DDA"/>
    <w:rsid w:val="00BE0228"/>
    <w:rsid w:val="00BE089D"/>
    <w:rsid w:val="00BE11D7"/>
    <w:rsid w:val="00BE1C1F"/>
    <w:rsid w:val="00BE1FA5"/>
    <w:rsid w:val="00BE1FA7"/>
    <w:rsid w:val="00BE232C"/>
    <w:rsid w:val="00BE236B"/>
    <w:rsid w:val="00BE241D"/>
    <w:rsid w:val="00BE287C"/>
    <w:rsid w:val="00BE2B90"/>
    <w:rsid w:val="00BE40EF"/>
    <w:rsid w:val="00BE44A9"/>
    <w:rsid w:val="00BE51E1"/>
    <w:rsid w:val="00BE527F"/>
    <w:rsid w:val="00BE55E1"/>
    <w:rsid w:val="00BE5DAA"/>
    <w:rsid w:val="00BE65E9"/>
    <w:rsid w:val="00BE6607"/>
    <w:rsid w:val="00BE6C89"/>
    <w:rsid w:val="00BE6D75"/>
    <w:rsid w:val="00BE6E0A"/>
    <w:rsid w:val="00BE7BB7"/>
    <w:rsid w:val="00BF0240"/>
    <w:rsid w:val="00BF02B4"/>
    <w:rsid w:val="00BF131D"/>
    <w:rsid w:val="00BF23CD"/>
    <w:rsid w:val="00BF2820"/>
    <w:rsid w:val="00BF30C1"/>
    <w:rsid w:val="00BF3AA6"/>
    <w:rsid w:val="00BF40B8"/>
    <w:rsid w:val="00BF4AA3"/>
    <w:rsid w:val="00BF4E11"/>
    <w:rsid w:val="00BF4F67"/>
    <w:rsid w:val="00BF5C73"/>
    <w:rsid w:val="00BF62DA"/>
    <w:rsid w:val="00BF6712"/>
    <w:rsid w:val="00BF7715"/>
    <w:rsid w:val="00BF7786"/>
    <w:rsid w:val="00BF77CA"/>
    <w:rsid w:val="00C01452"/>
    <w:rsid w:val="00C01572"/>
    <w:rsid w:val="00C017DB"/>
    <w:rsid w:val="00C0226A"/>
    <w:rsid w:val="00C02651"/>
    <w:rsid w:val="00C02BAD"/>
    <w:rsid w:val="00C04249"/>
    <w:rsid w:val="00C04647"/>
    <w:rsid w:val="00C04671"/>
    <w:rsid w:val="00C0473A"/>
    <w:rsid w:val="00C05B04"/>
    <w:rsid w:val="00C05D82"/>
    <w:rsid w:val="00C05E4E"/>
    <w:rsid w:val="00C06215"/>
    <w:rsid w:val="00C06929"/>
    <w:rsid w:val="00C073BF"/>
    <w:rsid w:val="00C077CF"/>
    <w:rsid w:val="00C0793E"/>
    <w:rsid w:val="00C07BE0"/>
    <w:rsid w:val="00C07E04"/>
    <w:rsid w:val="00C100B5"/>
    <w:rsid w:val="00C1098B"/>
    <w:rsid w:val="00C11063"/>
    <w:rsid w:val="00C112B8"/>
    <w:rsid w:val="00C11603"/>
    <w:rsid w:val="00C122C6"/>
    <w:rsid w:val="00C12D89"/>
    <w:rsid w:val="00C12E01"/>
    <w:rsid w:val="00C1302C"/>
    <w:rsid w:val="00C13083"/>
    <w:rsid w:val="00C13DBD"/>
    <w:rsid w:val="00C147BD"/>
    <w:rsid w:val="00C14F4B"/>
    <w:rsid w:val="00C1536A"/>
    <w:rsid w:val="00C15A3E"/>
    <w:rsid w:val="00C1611A"/>
    <w:rsid w:val="00C1613B"/>
    <w:rsid w:val="00C16D5A"/>
    <w:rsid w:val="00C16EDB"/>
    <w:rsid w:val="00C17492"/>
    <w:rsid w:val="00C17C4E"/>
    <w:rsid w:val="00C17E9D"/>
    <w:rsid w:val="00C20888"/>
    <w:rsid w:val="00C20CBF"/>
    <w:rsid w:val="00C20E0B"/>
    <w:rsid w:val="00C216F4"/>
    <w:rsid w:val="00C21806"/>
    <w:rsid w:val="00C224A1"/>
    <w:rsid w:val="00C22AEE"/>
    <w:rsid w:val="00C22BE5"/>
    <w:rsid w:val="00C22CAD"/>
    <w:rsid w:val="00C22D59"/>
    <w:rsid w:val="00C23866"/>
    <w:rsid w:val="00C245A8"/>
    <w:rsid w:val="00C256E7"/>
    <w:rsid w:val="00C25AA5"/>
    <w:rsid w:val="00C25C76"/>
    <w:rsid w:val="00C26CC6"/>
    <w:rsid w:val="00C30113"/>
    <w:rsid w:val="00C30399"/>
    <w:rsid w:val="00C30FB0"/>
    <w:rsid w:val="00C31520"/>
    <w:rsid w:val="00C31C12"/>
    <w:rsid w:val="00C32233"/>
    <w:rsid w:val="00C32571"/>
    <w:rsid w:val="00C33002"/>
    <w:rsid w:val="00C33E52"/>
    <w:rsid w:val="00C34631"/>
    <w:rsid w:val="00C34793"/>
    <w:rsid w:val="00C34973"/>
    <w:rsid w:val="00C34BC6"/>
    <w:rsid w:val="00C34C6E"/>
    <w:rsid w:val="00C35089"/>
    <w:rsid w:val="00C353DD"/>
    <w:rsid w:val="00C3543A"/>
    <w:rsid w:val="00C361E2"/>
    <w:rsid w:val="00C36D0C"/>
    <w:rsid w:val="00C36EA6"/>
    <w:rsid w:val="00C379FB"/>
    <w:rsid w:val="00C37AA4"/>
    <w:rsid w:val="00C37E54"/>
    <w:rsid w:val="00C407C2"/>
    <w:rsid w:val="00C40A11"/>
    <w:rsid w:val="00C41883"/>
    <w:rsid w:val="00C418C9"/>
    <w:rsid w:val="00C42E04"/>
    <w:rsid w:val="00C43562"/>
    <w:rsid w:val="00C439CE"/>
    <w:rsid w:val="00C43E4E"/>
    <w:rsid w:val="00C43F5F"/>
    <w:rsid w:val="00C44067"/>
    <w:rsid w:val="00C44198"/>
    <w:rsid w:val="00C44C85"/>
    <w:rsid w:val="00C44D5A"/>
    <w:rsid w:val="00C44E6E"/>
    <w:rsid w:val="00C45046"/>
    <w:rsid w:val="00C45498"/>
    <w:rsid w:val="00C456E6"/>
    <w:rsid w:val="00C458F5"/>
    <w:rsid w:val="00C45A69"/>
    <w:rsid w:val="00C463F7"/>
    <w:rsid w:val="00C46567"/>
    <w:rsid w:val="00C47A0E"/>
    <w:rsid w:val="00C50AD1"/>
    <w:rsid w:val="00C50C24"/>
    <w:rsid w:val="00C51528"/>
    <w:rsid w:val="00C5157D"/>
    <w:rsid w:val="00C518BE"/>
    <w:rsid w:val="00C51B74"/>
    <w:rsid w:val="00C5204B"/>
    <w:rsid w:val="00C52168"/>
    <w:rsid w:val="00C53576"/>
    <w:rsid w:val="00C535FD"/>
    <w:rsid w:val="00C538BF"/>
    <w:rsid w:val="00C539E7"/>
    <w:rsid w:val="00C53ED7"/>
    <w:rsid w:val="00C54106"/>
    <w:rsid w:val="00C5451D"/>
    <w:rsid w:val="00C546BC"/>
    <w:rsid w:val="00C54B1F"/>
    <w:rsid w:val="00C55266"/>
    <w:rsid w:val="00C55609"/>
    <w:rsid w:val="00C5567B"/>
    <w:rsid w:val="00C557E3"/>
    <w:rsid w:val="00C558BA"/>
    <w:rsid w:val="00C55934"/>
    <w:rsid w:val="00C55941"/>
    <w:rsid w:val="00C57004"/>
    <w:rsid w:val="00C57385"/>
    <w:rsid w:val="00C5775A"/>
    <w:rsid w:val="00C606B6"/>
    <w:rsid w:val="00C60CFF"/>
    <w:rsid w:val="00C6141A"/>
    <w:rsid w:val="00C6310A"/>
    <w:rsid w:val="00C63130"/>
    <w:rsid w:val="00C639DB"/>
    <w:rsid w:val="00C64419"/>
    <w:rsid w:val="00C64D3F"/>
    <w:rsid w:val="00C64F6C"/>
    <w:rsid w:val="00C6581D"/>
    <w:rsid w:val="00C65B1E"/>
    <w:rsid w:val="00C65BE0"/>
    <w:rsid w:val="00C65BFE"/>
    <w:rsid w:val="00C65CC4"/>
    <w:rsid w:val="00C65EA0"/>
    <w:rsid w:val="00C662A7"/>
    <w:rsid w:val="00C66A39"/>
    <w:rsid w:val="00C66A42"/>
    <w:rsid w:val="00C670F7"/>
    <w:rsid w:val="00C67214"/>
    <w:rsid w:val="00C674D3"/>
    <w:rsid w:val="00C67644"/>
    <w:rsid w:val="00C6768F"/>
    <w:rsid w:val="00C7092F"/>
    <w:rsid w:val="00C70BC4"/>
    <w:rsid w:val="00C70CB0"/>
    <w:rsid w:val="00C71B40"/>
    <w:rsid w:val="00C72176"/>
    <w:rsid w:val="00C7293C"/>
    <w:rsid w:val="00C72A37"/>
    <w:rsid w:val="00C72FAB"/>
    <w:rsid w:val="00C7345D"/>
    <w:rsid w:val="00C73F25"/>
    <w:rsid w:val="00C742D6"/>
    <w:rsid w:val="00C7441D"/>
    <w:rsid w:val="00C7475B"/>
    <w:rsid w:val="00C74F32"/>
    <w:rsid w:val="00C756E1"/>
    <w:rsid w:val="00C77152"/>
    <w:rsid w:val="00C771E6"/>
    <w:rsid w:val="00C7724F"/>
    <w:rsid w:val="00C77FC3"/>
    <w:rsid w:val="00C80152"/>
    <w:rsid w:val="00C802A2"/>
    <w:rsid w:val="00C80351"/>
    <w:rsid w:val="00C8079B"/>
    <w:rsid w:val="00C80E45"/>
    <w:rsid w:val="00C8100A"/>
    <w:rsid w:val="00C813FD"/>
    <w:rsid w:val="00C81BF4"/>
    <w:rsid w:val="00C826F1"/>
    <w:rsid w:val="00C82D56"/>
    <w:rsid w:val="00C8340F"/>
    <w:rsid w:val="00C83443"/>
    <w:rsid w:val="00C838C1"/>
    <w:rsid w:val="00C83DCB"/>
    <w:rsid w:val="00C841D2"/>
    <w:rsid w:val="00C84206"/>
    <w:rsid w:val="00C84281"/>
    <w:rsid w:val="00C84934"/>
    <w:rsid w:val="00C84BE1"/>
    <w:rsid w:val="00C84D0B"/>
    <w:rsid w:val="00C84DA8"/>
    <w:rsid w:val="00C85D49"/>
    <w:rsid w:val="00C862BF"/>
    <w:rsid w:val="00C868F0"/>
    <w:rsid w:val="00C87CA1"/>
    <w:rsid w:val="00C87CB2"/>
    <w:rsid w:val="00C90716"/>
    <w:rsid w:val="00C924FF"/>
    <w:rsid w:val="00C92646"/>
    <w:rsid w:val="00C9279A"/>
    <w:rsid w:val="00C92D17"/>
    <w:rsid w:val="00C92EF6"/>
    <w:rsid w:val="00C9303B"/>
    <w:rsid w:val="00C93586"/>
    <w:rsid w:val="00C93E1B"/>
    <w:rsid w:val="00C93F84"/>
    <w:rsid w:val="00C94517"/>
    <w:rsid w:val="00C945F1"/>
    <w:rsid w:val="00C945F9"/>
    <w:rsid w:val="00C95194"/>
    <w:rsid w:val="00C95E55"/>
    <w:rsid w:val="00C9678D"/>
    <w:rsid w:val="00C96C45"/>
    <w:rsid w:val="00C96EDE"/>
    <w:rsid w:val="00C96FDA"/>
    <w:rsid w:val="00C97CAA"/>
    <w:rsid w:val="00CA030E"/>
    <w:rsid w:val="00CA179E"/>
    <w:rsid w:val="00CA1950"/>
    <w:rsid w:val="00CA1AE0"/>
    <w:rsid w:val="00CA1B13"/>
    <w:rsid w:val="00CA1F8A"/>
    <w:rsid w:val="00CA345F"/>
    <w:rsid w:val="00CA35EF"/>
    <w:rsid w:val="00CA3911"/>
    <w:rsid w:val="00CA396E"/>
    <w:rsid w:val="00CA474C"/>
    <w:rsid w:val="00CA4E9D"/>
    <w:rsid w:val="00CA5053"/>
    <w:rsid w:val="00CA5C5D"/>
    <w:rsid w:val="00CA661F"/>
    <w:rsid w:val="00CA6A93"/>
    <w:rsid w:val="00CA6EE1"/>
    <w:rsid w:val="00CA7AD6"/>
    <w:rsid w:val="00CA7E91"/>
    <w:rsid w:val="00CB088E"/>
    <w:rsid w:val="00CB102F"/>
    <w:rsid w:val="00CB10A8"/>
    <w:rsid w:val="00CB112A"/>
    <w:rsid w:val="00CB124F"/>
    <w:rsid w:val="00CB198D"/>
    <w:rsid w:val="00CB3175"/>
    <w:rsid w:val="00CB3456"/>
    <w:rsid w:val="00CB38C8"/>
    <w:rsid w:val="00CB3D87"/>
    <w:rsid w:val="00CB424C"/>
    <w:rsid w:val="00CB4597"/>
    <w:rsid w:val="00CB45D5"/>
    <w:rsid w:val="00CB56C9"/>
    <w:rsid w:val="00CB5A0A"/>
    <w:rsid w:val="00CB789F"/>
    <w:rsid w:val="00CC0407"/>
    <w:rsid w:val="00CC065B"/>
    <w:rsid w:val="00CC0AE2"/>
    <w:rsid w:val="00CC0B57"/>
    <w:rsid w:val="00CC116E"/>
    <w:rsid w:val="00CC13EC"/>
    <w:rsid w:val="00CC2247"/>
    <w:rsid w:val="00CC2A62"/>
    <w:rsid w:val="00CC3221"/>
    <w:rsid w:val="00CC43D5"/>
    <w:rsid w:val="00CC51BD"/>
    <w:rsid w:val="00CC5DCE"/>
    <w:rsid w:val="00CD0A6E"/>
    <w:rsid w:val="00CD130A"/>
    <w:rsid w:val="00CD15D4"/>
    <w:rsid w:val="00CD175C"/>
    <w:rsid w:val="00CD19AD"/>
    <w:rsid w:val="00CD1BCF"/>
    <w:rsid w:val="00CD2538"/>
    <w:rsid w:val="00CD2DA4"/>
    <w:rsid w:val="00CD3223"/>
    <w:rsid w:val="00CD4305"/>
    <w:rsid w:val="00CD542A"/>
    <w:rsid w:val="00CD56D8"/>
    <w:rsid w:val="00CD70D1"/>
    <w:rsid w:val="00CD7160"/>
    <w:rsid w:val="00CD7DFE"/>
    <w:rsid w:val="00CE0A9E"/>
    <w:rsid w:val="00CE160B"/>
    <w:rsid w:val="00CE1D09"/>
    <w:rsid w:val="00CE1FFE"/>
    <w:rsid w:val="00CE20EE"/>
    <w:rsid w:val="00CE2161"/>
    <w:rsid w:val="00CE2ECA"/>
    <w:rsid w:val="00CE34D4"/>
    <w:rsid w:val="00CE3B18"/>
    <w:rsid w:val="00CE408F"/>
    <w:rsid w:val="00CE50AE"/>
    <w:rsid w:val="00CE5803"/>
    <w:rsid w:val="00CE58E5"/>
    <w:rsid w:val="00CE5C78"/>
    <w:rsid w:val="00CE707F"/>
    <w:rsid w:val="00CE7146"/>
    <w:rsid w:val="00CE7292"/>
    <w:rsid w:val="00CE7565"/>
    <w:rsid w:val="00CE7E64"/>
    <w:rsid w:val="00CF0024"/>
    <w:rsid w:val="00CF044E"/>
    <w:rsid w:val="00CF0D08"/>
    <w:rsid w:val="00CF11E3"/>
    <w:rsid w:val="00CF2DE4"/>
    <w:rsid w:val="00CF31CC"/>
    <w:rsid w:val="00CF35D0"/>
    <w:rsid w:val="00CF3DDD"/>
    <w:rsid w:val="00CF423A"/>
    <w:rsid w:val="00CF482A"/>
    <w:rsid w:val="00CF5BA3"/>
    <w:rsid w:val="00CF5CBD"/>
    <w:rsid w:val="00CF64F7"/>
    <w:rsid w:val="00CF6511"/>
    <w:rsid w:val="00CF7029"/>
    <w:rsid w:val="00CF775B"/>
    <w:rsid w:val="00CF79B0"/>
    <w:rsid w:val="00D00C10"/>
    <w:rsid w:val="00D014AB"/>
    <w:rsid w:val="00D01CD1"/>
    <w:rsid w:val="00D0259F"/>
    <w:rsid w:val="00D02904"/>
    <w:rsid w:val="00D029A0"/>
    <w:rsid w:val="00D02DCD"/>
    <w:rsid w:val="00D03D51"/>
    <w:rsid w:val="00D03F66"/>
    <w:rsid w:val="00D04F69"/>
    <w:rsid w:val="00D05697"/>
    <w:rsid w:val="00D058C7"/>
    <w:rsid w:val="00D06B45"/>
    <w:rsid w:val="00D06CF4"/>
    <w:rsid w:val="00D07036"/>
    <w:rsid w:val="00D0751A"/>
    <w:rsid w:val="00D07A98"/>
    <w:rsid w:val="00D10544"/>
    <w:rsid w:val="00D105D8"/>
    <w:rsid w:val="00D107F8"/>
    <w:rsid w:val="00D1098F"/>
    <w:rsid w:val="00D10C19"/>
    <w:rsid w:val="00D1258E"/>
    <w:rsid w:val="00D13A96"/>
    <w:rsid w:val="00D13AC9"/>
    <w:rsid w:val="00D15370"/>
    <w:rsid w:val="00D1556A"/>
    <w:rsid w:val="00D15737"/>
    <w:rsid w:val="00D15A54"/>
    <w:rsid w:val="00D16170"/>
    <w:rsid w:val="00D17503"/>
    <w:rsid w:val="00D17917"/>
    <w:rsid w:val="00D20590"/>
    <w:rsid w:val="00D20B3D"/>
    <w:rsid w:val="00D21C13"/>
    <w:rsid w:val="00D21CA2"/>
    <w:rsid w:val="00D22300"/>
    <w:rsid w:val="00D22B25"/>
    <w:rsid w:val="00D2365B"/>
    <w:rsid w:val="00D238EB"/>
    <w:rsid w:val="00D239C3"/>
    <w:rsid w:val="00D23E62"/>
    <w:rsid w:val="00D24237"/>
    <w:rsid w:val="00D24AB4"/>
    <w:rsid w:val="00D24D38"/>
    <w:rsid w:val="00D251C0"/>
    <w:rsid w:val="00D25436"/>
    <w:rsid w:val="00D25971"/>
    <w:rsid w:val="00D261DD"/>
    <w:rsid w:val="00D26BDF"/>
    <w:rsid w:val="00D27C0E"/>
    <w:rsid w:val="00D301E4"/>
    <w:rsid w:val="00D304B7"/>
    <w:rsid w:val="00D30697"/>
    <w:rsid w:val="00D30C35"/>
    <w:rsid w:val="00D31773"/>
    <w:rsid w:val="00D319D9"/>
    <w:rsid w:val="00D31C93"/>
    <w:rsid w:val="00D3274B"/>
    <w:rsid w:val="00D32767"/>
    <w:rsid w:val="00D32877"/>
    <w:rsid w:val="00D32892"/>
    <w:rsid w:val="00D329B1"/>
    <w:rsid w:val="00D33344"/>
    <w:rsid w:val="00D337CF"/>
    <w:rsid w:val="00D338F3"/>
    <w:rsid w:val="00D339B9"/>
    <w:rsid w:val="00D33D9B"/>
    <w:rsid w:val="00D33EA8"/>
    <w:rsid w:val="00D351C4"/>
    <w:rsid w:val="00D35616"/>
    <w:rsid w:val="00D359A4"/>
    <w:rsid w:val="00D363F3"/>
    <w:rsid w:val="00D36955"/>
    <w:rsid w:val="00D36D3D"/>
    <w:rsid w:val="00D36DD8"/>
    <w:rsid w:val="00D36F8E"/>
    <w:rsid w:val="00D37664"/>
    <w:rsid w:val="00D37EB8"/>
    <w:rsid w:val="00D4002E"/>
    <w:rsid w:val="00D40625"/>
    <w:rsid w:val="00D40F4A"/>
    <w:rsid w:val="00D411B4"/>
    <w:rsid w:val="00D4134D"/>
    <w:rsid w:val="00D414A5"/>
    <w:rsid w:val="00D417DB"/>
    <w:rsid w:val="00D42129"/>
    <w:rsid w:val="00D42164"/>
    <w:rsid w:val="00D42BBB"/>
    <w:rsid w:val="00D444E0"/>
    <w:rsid w:val="00D44AF2"/>
    <w:rsid w:val="00D454D3"/>
    <w:rsid w:val="00D457DF"/>
    <w:rsid w:val="00D458E9"/>
    <w:rsid w:val="00D467BA"/>
    <w:rsid w:val="00D500BB"/>
    <w:rsid w:val="00D50446"/>
    <w:rsid w:val="00D5059B"/>
    <w:rsid w:val="00D50B61"/>
    <w:rsid w:val="00D50C7C"/>
    <w:rsid w:val="00D50E05"/>
    <w:rsid w:val="00D50F46"/>
    <w:rsid w:val="00D51216"/>
    <w:rsid w:val="00D513EA"/>
    <w:rsid w:val="00D52ADB"/>
    <w:rsid w:val="00D52C4C"/>
    <w:rsid w:val="00D52E30"/>
    <w:rsid w:val="00D53682"/>
    <w:rsid w:val="00D5380C"/>
    <w:rsid w:val="00D53EF2"/>
    <w:rsid w:val="00D543A4"/>
    <w:rsid w:val="00D54555"/>
    <w:rsid w:val="00D54560"/>
    <w:rsid w:val="00D54972"/>
    <w:rsid w:val="00D55170"/>
    <w:rsid w:val="00D55557"/>
    <w:rsid w:val="00D557A7"/>
    <w:rsid w:val="00D560B4"/>
    <w:rsid w:val="00D5628F"/>
    <w:rsid w:val="00D5686B"/>
    <w:rsid w:val="00D568B2"/>
    <w:rsid w:val="00D57512"/>
    <w:rsid w:val="00D57C95"/>
    <w:rsid w:val="00D60D26"/>
    <w:rsid w:val="00D60F09"/>
    <w:rsid w:val="00D61456"/>
    <w:rsid w:val="00D61A32"/>
    <w:rsid w:val="00D61A54"/>
    <w:rsid w:val="00D62101"/>
    <w:rsid w:val="00D6235A"/>
    <w:rsid w:val="00D62FD7"/>
    <w:rsid w:val="00D63082"/>
    <w:rsid w:val="00D63163"/>
    <w:rsid w:val="00D63707"/>
    <w:rsid w:val="00D63E16"/>
    <w:rsid w:val="00D64942"/>
    <w:rsid w:val="00D65D07"/>
    <w:rsid w:val="00D66AFD"/>
    <w:rsid w:val="00D67CD2"/>
    <w:rsid w:val="00D700B9"/>
    <w:rsid w:val="00D700DE"/>
    <w:rsid w:val="00D70141"/>
    <w:rsid w:val="00D70412"/>
    <w:rsid w:val="00D7098E"/>
    <w:rsid w:val="00D70B82"/>
    <w:rsid w:val="00D70F54"/>
    <w:rsid w:val="00D70FB3"/>
    <w:rsid w:val="00D7155F"/>
    <w:rsid w:val="00D71845"/>
    <w:rsid w:val="00D71910"/>
    <w:rsid w:val="00D719B0"/>
    <w:rsid w:val="00D72224"/>
    <w:rsid w:val="00D731F5"/>
    <w:rsid w:val="00D7323C"/>
    <w:rsid w:val="00D73A11"/>
    <w:rsid w:val="00D74356"/>
    <w:rsid w:val="00D75C86"/>
    <w:rsid w:val="00D75D2F"/>
    <w:rsid w:val="00D76417"/>
    <w:rsid w:val="00D76DBA"/>
    <w:rsid w:val="00D76E8B"/>
    <w:rsid w:val="00D7753A"/>
    <w:rsid w:val="00D77585"/>
    <w:rsid w:val="00D779B1"/>
    <w:rsid w:val="00D80AFC"/>
    <w:rsid w:val="00D81962"/>
    <w:rsid w:val="00D8332D"/>
    <w:rsid w:val="00D83635"/>
    <w:rsid w:val="00D84594"/>
    <w:rsid w:val="00D84842"/>
    <w:rsid w:val="00D8579B"/>
    <w:rsid w:val="00D87F7E"/>
    <w:rsid w:val="00D90350"/>
    <w:rsid w:val="00D90509"/>
    <w:rsid w:val="00D906CA"/>
    <w:rsid w:val="00D90824"/>
    <w:rsid w:val="00D91B03"/>
    <w:rsid w:val="00D91E94"/>
    <w:rsid w:val="00D92C60"/>
    <w:rsid w:val="00D92F9D"/>
    <w:rsid w:val="00D938F9"/>
    <w:rsid w:val="00D93BCD"/>
    <w:rsid w:val="00D93FE7"/>
    <w:rsid w:val="00D945A0"/>
    <w:rsid w:val="00D94709"/>
    <w:rsid w:val="00D94904"/>
    <w:rsid w:val="00D9509A"/>
    <w:rsid w:val="00D9518A"/>
    <w:rsid w:val="00D957AC"/>
    <w:rsid w:val="00D963B2"/>
    <w:rsid w:val="00D96F93"/>
    <w:rsid w:val="00D97970"/>
    <w:rsid w:val="00D97C60"/>
    <w:rsid w:val="00D97FEB"/>
    <w:rsid w:val="00DA0674"/>
    <w:rsid w:val="00DA0EEA"/>
    <w:rsid w:val="00DA23ED"/>
    <w:rsid w:val="00DA30FF"/>
    <w:rsid w:val="00DA336B"/>
    <w:rsid w:val="00DA33AF"/>
    <w:rsid w:val="00DA33C6"/>
    <w:rsid w:val="00DA37F0"/>
    <w:rsid w:val="00DA3ACA"/>
    <w:rsid w:val="00DA41BC"/>
    <w:rsid w:val="00DA45B9"/>
    <w:rsid w:val="00DA4A61"/>
    <w:rsid w:val="00DA4C1E"/>
    <w:rsid w:val="00DA501C"/>
    <w:rsid w:val="00DA53EE"/>
    <w:rsid w:val="00DA57F6"/>
    <w:rsid w:val="00DA585C"/>
    <w:rsid w:val="00DA602B"/>
    <w:rsid w:val="00DA690C"/>
    <w:rsid w:val="00DA7AED"/>
    <w:rsid w:val="00DA7C57"/>
    <w:rsid w:val="00DA7E3E"/>
    <w:rsid w:val="00DA7F4B"/>
    <w:rsid w:val="00DB03E8"/>
    <w:rsid w:val="00DB0A5F"/>
    <w:rsid w:val="00DB1598"/>
    <w:rsid w:val="00DB182B"/>
    <w:rsid w:val="00DB186A"/>
    <w:rsid w:val="00DB1B31"/>
    <w:rsid w:val="00DB20A4"/>
    <w:rsid w:val="00DB2A41"/>
    <w:rsid w:val="00DB2F3A"/>
    <w:rsid w:val="00DB35F6"/>
    <w:rsid w:val="00DB4720"/>
    <w:rsid w:val="00DB5052"/>
    <w:rsid w:val="00DB5381"/>
    <w:rsid w:val="00DB553A"/>
    <w:rsid w:val="00DB5769"/>
    <w:rsid w:val="00DB578C"/>
    <w:rsid w:val="00DB653C"/>
    <w:rsid w:val="00DB6674"/>
    <w:rsid w:val="00DB6945"/>
    <w:rsid w:val="00DB74EF"/>
    <w:rsid w:val="00DB7D0F"/>
    <w:rsid w:val="00DC083C"/>
    <w:rsid w:val="00DC0918"/>
    <w:rsid w:val="00DC1435"/>
    <w:rsid w:val="00DC1708"/>
    <w:rsid w:val="00DC1A28"/>
    <w:rsid w:val="00DC1A2F"/>
    <w:rsid w:val="00DC1C67"/>
    <w:rsid w:val="00DC1C9E"/>
    <w:rsid w:val="00DC21CB"/>
    <w:rsid w:val="00DC2E6C"/>
    <w:rsid w:val="00DC2E88"/>
    <w:rsid w:val="00DC2FFE"/>
    <w:rsid w:val="00DC304C"/>
    <w:rsid w:val="00DC3124"/>
    <w:rsid w:val="00DC4A79"/>
    <w:rsid w:val="00DC4F1B"/>
    <w:rsid w:val="00DC5691"/>
    <w:rsid w:val="00DC5BF4"/>
    <w:rsid w:val="00DC5E2B"/>
    <w:rsid w:val="00DC5F77"/>
    <w:rsid w:val="00DC72E3"/>
    <w:rsid w:val="00DC77D0"/>
    <w:rsid w:val="00DC7F9A"/>
    <w:rsid w:val="00DD04E8"/>
    <w:rsid w:val="00DD0894"/>
    <w:rsid w:val="00DD0C61"/>
    <w:rsid w:val="00DD14C8"/>
    <w:rsid w:val="00DD1DE3"/>
    <w:rsid w:val="00DD2178"/>
    <w:rsid w:val="00DD2466"/>
    <w:rsid w:val="00DD3092"/>
    <w:rsid w:val="00DD34F7"/>
    <w:rsid w:val="00DD3C6C"/>
    <w:rsid w:val="00DD3FD5"/>
    <w:rsid w:val="00DD417A"/>
    <w:rsid w:val="00DD428C"/>
    <w:rsid w:val="00DD467C"/>
    <w:rsid w:val="00DD484E"/>
    <w:rsid w:val="00DD4859"/>
    <w:rsid w:val="00DD5B84"/>
    <w:rsid w:val="00DD5E10"/>
    <w:rsid w:val="00DD6292"/>
    <w:rsid w:val="00DD6884"/>
    <w:rsid w:val="00DD7088"/>
    <w:rsid w:val="00DD73DA"/>
    <w:rsid w:val="00DD7B31"/>
    <w:rsid w:val="00DD7E3B"/>
    <w:rsid w:val="00DD7FED"/>
    <w:rsid w:val="00DE0643"/>
    <w:rsid w:val="00DE122B"/>
    <w:rsid w:val="00DE12DD"/>
    <w:rsid w:val="00DE1AF6"/>
    <w:rsid w:val="00DE2022"/>
    <w:rsid w:val="00DE27EE"/>
    <w:rsid w:val="00DE2C8C"/>
    <w:rsid w:val="00DE3119"/>
    <w:rsid w:val="00DE325B"/>
    <w:rsid w:val="00DE3588"/>
    <w:rsid w:val="00DE3964"/>
    <w:rsid w:val="00DE487C"/>
    <w:rsid w:val="00DE5B51"/>
    <w:rsid w:val="00DE5B9D"/>
    <w:rsid w:val="00DE66E8"/>
    <w:rsid w:val="00DE6DAC"/>
    <w:rsid w:val="00DE79F7"/>
    <w:rsid w:val="00DE7C00"/>
    <w:rsid w:val="00DE7F03"/>
    <w:rsid w:val="00DF0650"/>
    <w:rsid w:val="00DF15C3"/>
    <w:rsid w:val="00DF191C"/>
    <w:rsid w:val="00DF1D28"/>
    <w:rsid w:val="00DF3086"/>
    <w:rsid w:val="00DF31F2"/>
    <w:rsid w:val="00DF3EFC"/>
    <w:rsid w:val="00DF4D9A"/>
    <w:rsid w:val="00DF55AF"/>
    <w:rsid w:val="00DF5776"/>
    <w:rsid w:val="00DF5E4C"/>
    <w:rsid w:val="00DF601E"/>
    <w:rsid w:val="00DF6057"/>
    <w:rsid w:val="00DF6355"/>
    <w:rsid w:val="00DF6A19"/>
    <w:rsid w:val="00DF6CE3"/>
    <w:rsid w:val="00DF73B0"/>
    <w:rsid w:val="00DF7F11"/>
    <w:rsid w:val="00E0003B"/>
    <w:rsid w:val="00E0032C"/>
    <w:rsid w:val="00E00484"/>
    <w:rsid w:val="00E00543"/>
    <w:rsid w:val="00E005E1"/>
    <w:rsid w:val="00E013F6"/>
    <w:rsid w:val="00E01942"/>
    <w:rsid w:val="00E02122"/>
    <w:rsid w:val="00E023B3"/>
    <w:rsid w:val="00E0259B"/>
    <w:rsid w:val="00E03107"/>
    <w:rsid w:val="00E035D6"/>
    <w:rsid w:val="00E03B2A"/>
    <w:rsid w:val="00E03C39"/>
    <w:rsid w:val="00E03F9F"/>
    <w:rsid w:val="00E03FA0"/>
    <w:rsid w:val="00E0525B"/>
    <w:rsid w:val="00E05D44"/>
    <w:rsid w:val="00E06C72"/>
    <w:rsid w:val="00E0709A"/>
    <w:rsid w:val="00E07DCF"/>
    <w:rsid w:val="00E10182"/>
    <w:rsid w:val="00E10196"/>
    <w:rsid w:val="00E1044C"/>
    <w:rsid w:val="00E10F5B"/>
    <w:rsid w:val="00E11A56"/>
    <w:rsid w:val="00E121CA"/>
    <w:rsid w:val="00E1257D"/>
    <w:rsid w:val="00E1262F"/>
    <w:rsid w:val="00E12C1F"/>
    <w:rsid w:val="00E13B6E"/>
    <w:rsid w:val="00E13C99"/>
    <w:rsid w:val="00E144AB"/>
    <w:rsid w:val="00E144BD"/>
    <w:rsid w:val="00E1464F"/>
    <w:rsid w:val="00E14C11"/>
    <w:rsid w:val="00E1529B"/>
    <w:rsid w:val="00E1545B"/>
    <w:rsid w:val="00E16A3F"/>
    <w:rsid w:val="00E171AA"/>
    <w:rsid w:val="00E17646"/>
    <w:rsid w:val="00E1770B"/>
    <w:rsid w:val="00E1796F"/>
    <w:rsid w:val="00E208C7"/>
    <w:rsid w:val="00E20969"/>
    <w:rsid w:val="00E20BE7"/>
    <w:rsid w:val="00E20C15"/>
    <w:rsid w:val="00E21169"/>
    <w:rsid w:val="00E218AE"/>
    <w:rsid w:val="00E21B00"/>
    <w:rsid w:val="00E21F68"/>
    <w:rsid w:val="00E229A0"/>
    <w:rsid w:val="00E22D3A"/>
    <w:rsid w:val="00E23917"/>
    <w:rsid w:val="00E2396C"/>
    <w:rsid w:val="00E2457B"/>
    <w:rsid w:val="00E24707"/>
    <w:rsid w:val="00E24817"/>
    <w:rsid w:val="00E24B63"/>
    <w:rsid w:val="00E25115"/>
    <w:rsid w:val="00E252B9"/>
    <w:rsid w:val="00E25867"/>
    <w:rsid w:val="00E265E9"/>
    <w:rsid w:val="00E2737B"/>
    <w:rsid w:val="00E27B05"/>
    <w:rsid w:val="00E30129"/>
    <w:rsid w:val="00E307D4"/>
    <w:rsid w:val="00E30945"/>
    <w:rsid w:val="00E3095B"/>
    <w:rsid w:val="00E31955"/>
    <w:rsid w:val="00E31A05"/>
    <w:rsid w:val="00E3258B"/>
    <w:rsid w:val="00E328F6"/>
    <w:rsid w:val="00E3297E"/>
    <w:rsid w:val="00E32CDA"/>
    <w:rsid w:val="00E32EE3"/>
    <w:rsid w:val="00E32EE5"/>
    <w:rsid w:val="00E33830"/>
    <w:rsid w:val="00E33E23"/>
    <w:rsid w:val="00E347E6"/>
    <w:rsid w:val="00E35203"/>
    <w:rsid w:val="00E35729"/>
    <w:rsid w:val="00E35DED"/>
    <w:rsid w:val="00E3606D"/>
    <w:rsid w:val="00E3645F"/>
    <w:rsid w:val="00E3686C"/>
    <w:rsid w:val="00E36C52"/>
    <w:rsid w:val="00E37287"/>
    <w:rsid w:val="00E37E60"/>
    <w:rsid w:val="00E404F8"/>
    <w:rsid w:val="00E40685"/>
    <w:rsid w:val="00E40AA4"/>
    <w:rsid w:val="00E40AB1"/>
    <w:rsid w:val="00E40AC6"/>
    <w:rsid w:val="00E40F9D"/>
    <w:rsid w:val="00E41746"/>
    <w:rsid w:val="00E41879"/>
    <w:rsid w:val="00E4227F"/>
    <w:rsid w:val="00E428AD"/>
    <w:rsid w:val="00E42E83"/>
    <w:rsid w:val="00E431B9"/>
    <w:rsid w:val="00E433C1"/>
    <w:rsid w:val="00E43722"/>
    <w:rsid w:val="00E439EC"/>
    <w:rsid w:val="00E43AB3"/>
    <w:rsid w:val="00E43C32"/>
    <w:rsid w:val="00E43C79"/>
    <w:rsid w:val="00E44664"/>
    <w:rsid w:val="00E44F2F"/>
    <w:rsid w:val="00E45737"/>
    <w:rsid w:val="00E46D33"/>
    <w:rsid w:val="00E4737A"/>
    <w:rsid w:val="00E47726"/>
    <w:rsid w:val="00E47A0F"/>
    <w:rsid w:val="00E47BFA"/>
    <w:rsid w:val="00E500A3"/>
    <w:rsid w:val="00E5031F"/>
    <w:rsid w:val="00E50830"/>
    <w:rsid w:val="00E50C4A"/>
    <w:rsid w:val="00E51070"/>
    <w:rsid w:val="00E51C09"/>
    <w:rsid w:val="00E51E80"/>
    <w:rsid w:val="00E51EFF"/>
    <w:rsid w:val="00E5262F"/>
    <w:rsid w:val="00E529AB"/>
    <w:rsid w:val="00E52A6A"/>
    <w:rsid w:val="00E535A5"/>
    <w:rsid w:val="00E5393F"/>
    <w:rsid w:val="00E53B4F"/>
    <w:rsid w:val="00E540B4"/>
    <w:rsid w:val="00E54276"/>
    <w:rsid w:val="00E54E14"/>
    <w:rsid w:val="00E55894"/>
    <w:rsid w:val="00E5594C"/>
    <w:rsid w:val="00E56701"/>
    <w:rsid w:val="00E56A22"/>
    <w:rsid w:val="00E56E0C"/>
    <w:rsid w:val="00E600F5"/>
    <w:rsid w:val="00E61373"/>
    <w:rsid w:val="00E61C4A"/>
    <w:rsid w:val="00E61E89"/>
    <w:rsid w:val="00E632EC"/>
    <w:rsid w:val="00E635E5"/>
    <w:rsid w:val="00E63C9B"/>
    <w:rsid w:val="00E64142"/>
    <w:rsid w:val="00E64240"/>
    <w:rsid w:val="00E64E82"/>
    <w:rsid w:val="00E65CE4"/>
    <w:rsid w:val="00E66B52"/>
    <w:rsid w:val="00E67475"/>
    <w:rsid w:val="00E67C5D"/>
    <w:rsid w:val="00E67D5D"/>
    <w:rsid w:val="00E67FC9"/>
    <w:rsid w:val="00E703CB"/>
    <w:rsid w:val="00E705A7"/>
    <w:rsid w:val="00E705D1"/>
    <w:rsid w:val="00E70CE5"/>
    <w:rsid w:val="00E72660"/>
    <w:rsid w:val="00E73209"/>
    <w:rsid w:val="00E73641"/>
    <w:rsid w:val="00E7369E"/>
    <w:rsid w:val="00E73DEC"/>
    <w:rsid w:val="00E750AC"/>
    <w:rsid w:val="00E75187"/>
    <w:rsid w:val="00E7564B"/>
    <w:rsid w:val="00E75711"/>
    <w:rsid w:val="00E759A1"/>
    <w:rsid w:val="00E75B2F"/>
    <w:rsid w:val="00E75D26"/>
    <w:rsid w:val="00E76559"/>
    <w:rsid w:val="00E77235"/>
    <w:rsid w:val="00E77D18"/>
    <w:rsid w:val="00E80AAC"/>
    <w:rsid w:val="00E81023"/>
    <w:rsid w:val="00E81529"/>
    <w:rsid w:val="00E81E0A"/>
    <w:rsid w:val="00E820DD"/>
    <w:rsid w:val="00E82EA0"/>
    <w:rsid w:val="00E8337F"/>
    <w:rsid w:val="00E83882"/>
    <w:rsid w:val="00E8404F"/>
    <w:rsid w:val="00E84740"/>
    <w:rsid w:val="00E8491E"/>
    <w:rsid w:val="00E85375"/>
    <w:rsid w:val="00E85842"/>
    <w:rsid w:val="00E85A79"/>
    <w:rsid w:val="00E86313"/>
    <w:rsid w:val="00E86353"/>
    <w:rsid w:val="00E868EB"/>
    <w:rsid w:val="00E86DBD"/>
    <w:rsid w:val="00E86F82"/>
    <w:rsid w:val="00E8709D"/>
    <w:rsid w:val="00E875CA"/>
    <w:rsid w:val="00E87778"/>
    <w:rsid w:val="00E900BD"/>
    <w:rsid w:val="00E90FCA"/>
    <w:rsid w:val="00E90FDB"/>
    <w:rsid w:val="00E912A3"/>
    <w:rsid w:val="00E914BB"/>
    <w:rsid w:val="00E91B64"/>
    <w:rsid w:val="00E91D70"/>
    <w:rsid w:val="00E9260F"/>
    <w:rsid w:val="00E92B71"/>
    <w:rsid w:val="00E9310F"/>
    <w:rsid w:val="00E93146"/>
    <w:rsid w:val="00E931BE"/>
    <w:rsid w:val="00E93BA6"/>
    <w:rsid w:val="00E93E08"/>
    <w:rsid w:val="00E9444D"/>
    <w:rsid w:val="00E94457"/>
    <w:rsid w:val="00E94B40"/>
    <w:rsid w:val="00E961A7"/>
    <w:rsid w:val="00E96203"/>
    <w:rsid w:val="00EA0088"/>
    <w:rsid w:val="00EA05E6"/>
    <w:rsid w:val="00EA0735"/>
    <w:rsid w:val="00EA0A6F"/>
    <w:rsid w:val="00EA0C0B"/>
    <w:rsid w:val="00EA0D7F"/>
    <w:rsid w:val="00EA142B"/>
    <w:rsid w:val="00EA1506"/>
    <w:rsid w:val="00EA19A4"/>
    <w:rsid w:val="00EA23D1"/>
    <w:rsid w:val="00EA269F"/>
    <w:rsid w:val="00EA26BA"/>
    <w:rsid w:val="00EA35FF"/>
    <w:rsid w:val="00EA3CE0"/>
    <w:rsid w:val="00EA4B13"/>
    <w:rsid w:val="00EA52EF"/>
    <w:rsid w:val="00EA5ABA"/>
    <w:rsid w:val="00EA5F6C"/>
    <w:rsid w:val="00EA63C5"/>
    <w:rsid w:val="00EA65B2"/>
    <w:rsid w:val="00EA67D7"/>
    <w:rsid w:val="00EA6F1E"/>
    <w:rsid w:val="00EA7144"/>
    <w:rsid w:val="00EA7972"/>
    <w:rsid w:val="00EB0476"/>
    <w:rsid w:val="00EB05F4"/>
    <w:rsid w:val="00EB083E"/>
    <w:rsid w:val="00EB15B7"/>
    <w:rsid w:val="00EB1D99"/>
    <w:rsid w:val="00EB24A6"/>
    <w:rsid w:val="00EB2D1D"/>
    <w:rsid w:val="00EB2EBD"/>
    <w:rsid w:val="00EB36FA"/>
    <w:rsid w:val="00EB372F"/>
    <w:rsid w:val="00EB3BEB"/>
    <w:rsid w:val="00EB3DF4"/>
    <w:rsid w:val="00EB4578"/>
    <w:rsid w:val="00EB4B60"/>
    <w:rsid w:val="00EB586C"/>
    <w:rsid w:val="00EB5DCF"/>
    <w:rsid w:val="00EB7453"/>
    <w:rsid w:val="00EB7624"/>
    <w:rsid w:val="00EC0463"/>
    <w:rsid w:val="00EC0918"/>
    <w:rsid w:val="00EC112D"/>
    <w:rsid w:val="00EC1797"/>
    <w:rsid w:val="00EC18C8"/>
    <w:rsid w:val="00EC19C6"/>
    <w:rsid w:val="00EC1B30"/>
    <w:rsid w:val="00EC37B5"/>
    <w:rsid w:val="00EC4009"/>
    <w:rsid w:val="00EC4063"/>
    <w:rsid w:val="00EC4231"/>
    <w:rsid w:val="00EC498D"/>
    <w:rsid w:val="00EC4FF3"/>
    <w:rsid w:val="00EC54AE"/>
    <w:rsid w:val="00EC54BC"/>
    <w:rsid w:val="00EC5B09"/>
    <w:rsid w:val="00EC70AB"/>
    <w:rsid w:val="00EC729E"/>
    <w:rsid w:val="00EC76B1"/>
    <w:rsid w:val="00EC7A94"/>
    <w:rsid w:val="00EC7DC1"/>
    <w:rsid w:val="00ED022A"/>
    <w:rsid w:val="00ED0506"/>
    <w:rsid w:val="00ED0CD7"/>
    <w:rsid w:val="00ED0F47"/>
    <w:rsid w:val="00ED1C5F"/>
    <w:rsid w:val="00ED2634"/>
    <w:rsid w:val="00ED2814"/>
    <w:rsid w:val="00ED2C3A"/>
    <w:rsid w:val="00ED2CAB"/>
    <w:rsid w:val="00ED2CF5"/>
    <w:rsid w:val="00ED2F8A"/>
    <w:rsid w:val="00ED37D8"/>
    <w:rsid w:val="00ED4478"/>
    <w:rsid w:val="00ED44C5"/>
    <w:rsid w:val="00ED4A10"/>
    <w:rsid w:val="00ED5582"/>
    <w:rsid w:val="00ED5A75"/>
    <w:rsid w:val="00ED5AC4"/>
    <w:rsid w:val="00ED6C7D"/>
    <w:rsid w:val="00ED6E40"/>
    <w:rsid w:val="00ED7B55"/>
    <w:rsid w:val="00EE0422"/>
    <w:rsid w:val="00EE05FB"/>
    <w:rsid w:val="00EE087F"/>
    <w:rsid w:val="00EE1399"/>
    <w:rsid w:val="00EE1C12"/>
    <w:rsid w:val="00EE1CD2"/>
    <w:rsid w:val="00EE1E92"/>
    <w:rsid w:val="00EE2AF0"/>
    <w:rsid w:val="00EE3B25"/>
    <w:rsid w:val="00EE3F29"/>
    <w:rsid w:val="00EE4387"/>
    <w:rsid w:val="00EE4CFB"/>
    <w:rsid w:val="00EE5097"/>
    <w:rsid w:val="00EE5E1A"/>
    <w:rsid w:val="00EE5ED7"/>
    <w:rsid w:val="00EE6053"/>
    <w:rsid w:val="00EE6DD0"/>
    <w:rsid w:val="00EF2059"/>
    <w:rsid w:val="00EF2D6D"/>
    <w:rsid w:val="00EF3D98"/>
    <w:rsid w:val="00EF4891"/>
    <w:rsid w:val="00EF4C5D"/>
    <w:rsid w:val="00EF4C98"/>
    <w:rsid w:val="00EF4E73"/>
    <w:rsid w:val="00EF56F5"/>
    <w:rsid w:val="00EF5A82"/>
    <w:rsid w:val="00EF5EBA"/>
    <w:rsid w:val="00EF66C9"/>
    <w:rsid w:val="00EF6D75"/>
    <w:rsid w:val="00EF7078"/>
    <w:rsid w:val="00F00A65"/>
    <w:rsid w:val="00F00F19"/>
    <w:rsid w:val="00F010A3"/>
    <w:rsid w:val="00F014F2"/>
    <w:rsid w:val="00F0170B"/>
    <w:rsid w:val="00F01747"/>
    <w:rsid w:val="00F02B6E"/>
    <w:rsid w:val="00F02DF8"/>
    <w:rsid w:val="00F02F9C"/>
    <w:rsid w:val="00F03C42"/>
    <w:rsid w:val="00F03DB2"/>
    <w:rsid w:val="00F04292"/>
    <w:rsid w:val="00F0469D"/>
    <w:rsid w:val="00F0490A"/>
    <w:rsid w:val="00F04B5C"/>
    <w:rsid w:val="00F05B66"/>
    <w:rsid w:val="00F0650B"/>
    <w:rsid w:val="00F065D2"/>
    <w:rsid w:val="00F06D4A"/>
    <w:rsid w:val="00F06FB9"/>
    <w:rsid w:val="00F07576"/>
    <w:rsid w:val="00F1033B"/>
    <w:rsid w:val="00F1051C"/>
    <w:rsid w:val="00F10D27"/>
    <w:rsid w:val="00F10E6E"/>
    <w:rsid w:val="00F114F1"/>
    <w:rsid w:val="00F11505"/>
    <w:rsid w:val="00F11545"/>
    <w:rsid w:val="00F1231D"/>
    <w:rsid w:val="00F12B9E"/>
    <w:rsid w:val="00F12D54"/>
    <w:rsid w:val="00F13A52"/>
    <w:rsid w:val="00F141F0"/>
    <w:rsid w:val="00F1439F"/>
    <w:rsid w:val="00F1450A"/>
    <w:rsid w:val="00F146D8"/>
    <w:rsid w:val="00F148CE"/>
    <w:rsid w:val="00F15F6E"/>
    <w:rsid w:val="00F17A97"/>
    <w:rsid w:val="00F2031C"/>
    <w:rsid w:val="00F203CC"/>
    <w:rsid w:val="00F20512"/>
    <w:rsid w:val="00F209DC"/>
    <w:rsid w:val="00F2136E"/>
    <w:rsid w:val="00F22782"/>
    <w:rsid w:val="00F2283A"/>
    <w:rsid w:val="00F22A1B"/>
    <w:rsid w:val="00F2357E"/>
    <w:rsid w:val="00F23A1C"/>
    <w:rsid w:val="00F23F48"/>
    <w:rsid w:val="00F24B2A"/>
    <w:rsid w:val="00F24BE0"/>
    <w:rsid w:val="00F24D45"/>
    <w:rsid w:val="00F24DEF"/>
    <w:rsid w:val="00F2561F"/>
    <w:rsid w:val="00F25682"/>
    <w:rsid w:val="00F25CD4"/>
    <w:rsid w:val="00F25EFE"/>
    <w:rsid w:val="00F2728A"/>
    <w:rsid w:val="00F276ED"/>
    <w:rsid w:val="00F30561"/>
    <w:rsid w:val="00F309BC"/>
    <w:rsid w:val="00F30C24"/>
    <w:rsid w:val="00F3126A"/>
    <w:rsid w:val="00F31436"/>
    <w:rsid w:val="00F314C2"/>
    <w:rsid w:val="00F317A4"/>
    <w:rsid w:val="00F32249"/>
    <w:rsid w:val="00F324B8"/>
    <w:rsid w:val="00F327CD"/>
    <w:rsid w:val="00F32D12"/>
    <w:rsid w:val="00F34094"/>
    <w:rsid w:val="00F34342"/>
    <w:rsid w:val="00F34854"/>
    <w:rsid w:val="00F34CE6"/>
    <w:rsid w:val="00F34F6A"/>
    <w:rsid w:val="00F355A0"/>
    <w:rsid w:val="00F36094"/>
    <w:rsid w:val="00F376A9"/>
    <w:rsid w:val="00F377E5"/>
    <w:rsid w:val="00F37977"/>
    <w:rsid w:val="00F37C57"/>
    <w:rsid w:val="00F37F57"/>
    <w:rsid w:val="00F40C11"/>
    <w:rsid w:val="00F414FD"/>
    <w:rsid w:val="00F415D9"/>
    <w:rsid w:val="00F41BBA"/>
    <w:rsid w:val="00F42AA4"/>
    <w:rsid w:val="00F43070"/>
    <w:rsid w:val="00F43200"/>
    <w:rsid w:val="00F434AA"/>
    <w:rsid w:val="00F438FF"/>
    <w:rsid w:val="00F43A23"/>
    <w:rsid w:val="00F4436E"/>
    <w:rsid w:val="00F44444"/>
    <w:rsid w:val="00F44BE7"/>
    <w:rsid w:val="00F45844"/>
    <w:rsid w:val="00F45D2D"/>
    <w:rsid w:val="00F461C9"/>
    <w:rsid w:val="00F46C01"/>
    <w:rsid w:val="00F47647"/>
    <w:rsid w:val="00F47761"/>
    <w:rsid w:val="00F5060A"/>
    <w:rsid w:val="00F5101A"/>
    <w:rsid w:val="00F51065"/>
    <w:rsid w:val="00F51387"/>
    <w:rsid w:val="00F51AD9"/>
    <w:rsid w:val="00F51FF7"/>
    <w:rsid w:val="00F523BB"/>
    <w:rsid w:val="00F52904"/>
    <w:rsid w:val="00F532D4"/>
    <w:rsid w:val="00F53439"/>
    <w:rsid w:val="00F534F9"/>
    <w:rsid w:val="00F5473D"/>
    <w:rsid w:val="00F55539"/>
    <w:rsid w:val="00F55D11"/>
    <w:rsid w:val="00F55D14"/>
    <w:rsid w:val="00F56356"/>
    <w:rsid w:val="00F5661B"/>
    <w:rsid w:val="00F567FC"/>
    <w:rsid w:val="00F5777A"/>
    <w:rsid w:val="00F579F3"/>
    <w:rsid w:val="00F57C33"/>
    <w:rsid w:val="00F57C41"/>
    <w:rsid w:val="00F6161E"/>
    <w:rsid w:val="00F61CC6"/>
    <w:rsid w:val="00F62B90"/>
    <w:rsid w:val="00F63C06"/>
    <w:rsid w:val="00F63C0E"/>
    <w:rsid w:val="00F63DDE"/>
    <w:rsid w:val="00F63EA1"/>
    <w:rsid w:val="00F64673"/>
    <w:rsid w:val="00F64933"/>
    <w:rsid w:val="00F64D01"/>
    <w:rsid w:val="00F653C2"/>
    <w:rsid w:val="00F65CD0"/>
    <w:rsid w:val="00F66345"/>
    <w:rsid w:val="00F66480"/>
    <w:rsid w:val="00F66669"/>
    <w:rsid w:val="00F66BA7"/>
    <w:rsid w:val="00F66FC2"/>
    <w:rsid w:val="00F6714D"/>
    <w:rsid w:val="00F676CF"/>
    <w:rsid w:val="00F67E63"/>
    <w:rsid w:val="00F709A5"/>
    <w:rsid w:val="00F709EC"/>
    <w:rsid w:val="00F70B34"/>
    <w:rsid w:val="00F70E3A"/>
    <w:rsid w:val="00F715F7"/>
    <w:rsid w:val="00F71BC3"/>
    <w:rsid w:val="00F7227C"/>
    <w:rsid w:val="00F73A7E"/>
    <w:rsid w:val="00F73B83"/>
    <w:rsid w:val="00F743AF"/>
    <w:rsid w:val="00F7442E"/>
    <w:rsid w:val="00F75640"/>
    <w:rsid w:val="00F7610C"/>
    <w:rsid w:val="00F77317"/>
    <w:rsid w:val="00F77B0A"/>
    <w:rsid w:val="00F77C82"/>
    <w:rsid w:val="00F77E7D"/>
    <w:rsid w:val="00F80077"/>
    <w:rsid w:val="00F82467"/>
    <w:rsid w:val="00F825CA"/>
    <w:rsid w:val="00F828ED"/>
    <w:rsid w:val="00F82D02"/>
    <w:rsid w:val="00F830A0"/>
    <w:rsid w:val="00F83B37"/>
    <w:rsid w:val="00F83D7D"/>
    <w:rsid w:val="00F8408D"/>
    <w:rsid w:val="00F841DC"/>
    <w:rsid w:val="00F845DB"/>
    <w:rsid w:val="00F84E73"/>
    <w:rsid w:val="00F85162"/>
    <w:rsid w:val="00F851B4"/>
    <w:rsid w:val="00F85374"/>
    <w:rsid w:val="00F85509"/>
    <w:rsid w:val="00F86188"/>
    <w:rsid w:val="00F861A4"/>
    <w:rsid w:val="00F86A68"/>
    <w:rsid w:val="00F86E26"/>
    <w:rsid w:val="00F87122"/>
    <w:rsid w:val="00F871D3"/>
    <w:rsid w:val="00F8740C"/>
    <w:rsid w:val="00F875B0"/>
    <w:rsid w:val="00F87C57"/>
    <w:rsid w:val="00F87C86"/>
    <w:rsid w:val="00F87D1E"/>
    <w:rsid w:val="00F9096A"/>
    <w:rsid w:val="00F910A9"/>
    <w:rsid w:val="00F91501"/>
    <w:rsid w:val="00F91965"/>
    <w:rsid w:val="00F91987"/>
    <w:rsid w:val="00F92AC1"/>
    <w:rsid w:val="00F92BFB"/>
    <w:rsid w:val="00F92D79"/>
    <w:rsid w:val="00F93301"/>
    <w:rsid w:val="00F93A93"/>
    <w:rsid w:val="00F93AA2"/>
    <w:rsid w:val="00F93AED"/>
    <w:rsid w:val="00F940BD"/>
    <w:rsid w:val="00F94D03"/>
    <w:rsid w:val="00F956E0"/>
    <w:rsid w:val="00F95CDC"/>
    <w:rsid w:val="00F95ED4"/>
    <w:rsid w:val="00F96899"/>
    <w:rsid w:val="00F9765A"/>
    <w:rsid w:val="00F979A9"/>
    <w:rsid w:val="00FA0427"/>
    <w:rsid w:val="00FA05EA"/>
    <w:rsid w:val="00FA0813"/>
    <w:rsid w:val="00FA18D2"/>
    <w:rsid w:val="00FA19F4"/>
    <w:rsid w:val="00FA1C32"/>
    <w:rsid w:val="00FA1DFC"/>
    <w:rsid w:val="00FA231F"/>
    <w:rsid w:val="00FA254A"/>
    <w:rsid w:val="00FA2D47"/>
    <w:rsid w:val="00FA2E37"/>
    <w:rsid w:val="00FA3DB4"/>
    <w:rsid w:val="00FA3FE1"/>
    <w:rsid w:val="00FA53E0"/>
    <w:rsid w:val="00FA677E"/>
    <w:rsid w:val="00FA713A"/>
    <w:rsid w:val="00FA7752"/>
    <w:rsid w:val="00FA7792"/>
    <w:rsid w:val="00FB00BB"/>
    <w:rsid w:val="00FB05DC"/>
    <w:rsid w:val="00FB07D6"/>
    <w:rsid w:val="00FB09DC"/>
    <w:rsid w:val="00FB1091"/>
    <w:rsid w:val="00FB1887"/>
    <w:rsid w:val="00FB228D"/>
    <w:rsid w:val="00FB353A"/>
    <w:rsid w:val="00FB3B73"/>
    <w:rsid w:val="00FB5395"/>
    <w:rsid w:val="00FB53D8"/>
    <w:rsid w:val="00FB5DC0"/>
    <w:rsid w:val="00FB5F13"/>
    <w:rsid w:val="00FB6296"/>
    <w:rsid w:val="00FB630C"/>
    <w:rsid w:val="00FB64E1"/>
    <w:rsid w:val="00FB6855"/>
    <w:rsid w:val="00FB6910"/>
    <w:rsid w:val="00FB6B94"/>
    <w:rsid w:val="00FB6F1E"/>
    <w:rsid w:val="00FB72E9"/>
    <w:rsid w:val="00FB7734"/>
    <w:rsid w:val="00FB7840"/>
    <w:rsid w:val="00FC0349"/>
    <w:rsid w:val="00FC0954"/>
    <w:rsid w:val="00FC0E10"/>
    <w:rsid w:val="00FC1001"/>
    <w:rsid w:val="00FC1118"/>
    <w:rsid w:val="00FC112E"/>
    <w:rsid w:val="00FC11A3"/>
    <w:rsid w:val="00FC1C34"/>
    <w:rsid w:val="00FC1D70"/>
    <w:rsid w:val="00FC2060"/>
    <w:rsid w:val="00FC2519"/>
    <w:rsid w:val="00FC28C2"/>
    <w:rsid w:val="00FC2D2A"/>
    <w:rsid w:val="00FC3578"/>
    <w:rsid w:val="00FC4032"/>
    <w:rsid w:val="00FC4914"/>
    <w:rsid w:val="00FC5BC4"/>
    <w:rsid w:val="00FC5EC5"/>
    <w:rsid w:val="00FC60BB"/>
    <w:rsid w:val="00FC6FE4"/>
    <w:rsid w:val="00FD006B"/>
    <w:rsid w:val="00FD07A2"/>
    <w:rsid w:val="00FD0BE8"/>
    <w:rsid w:val="00FD0DC7"/>
    <w:rsid w:val="00FD0F9E"/>
    <w:rsid w:val="00FD162D"/>
    <w:rsid w:val="00FD1ED6"/>
    <w:rsid w:val="00FD1FB9"/>
    <w:rsid w:val="00FD2368"/>
    <w:rsid w:val="00FD23B6"/>
    <w:rsid w:val="00FD32D1"/>
    <w:rsid w:val="00FD33CA"/>
    <w:rsid w:val="00FD3511"/>
    <w:rsid w:val="00FD35ED"/>
    <w:rsid w:val="00FD3DC9"/>
    <w:rsid w:val="00FD3DEB"/>
    <w:rsid w:val="00FD43D0"/>
    <w:rsid w:val="00FD4C7F"/>
    <w:rsid w:val="00FD4C9F"/>
    <w:rsid w:val="00FD4DFE"/>
    <w:rsid w:val="00FD53CD"/>
    <w:rsid w:val="00FD576C"/>
    <w:rsid w:val="00FD57F1"/>
    <w:rsid w:val="00FD66C1"/>
    <w:rsid w:val="00FD694A"/>
    <w:rsid w:val="00FD6CA8"/>
    <w:rsid w:val="00FD70E7"/>
    <w:rsid w:val="00FD7498"/>
    <w:rsid w:val="00FD7621"/>
    <w:rsid w:val="00FD7960"/>
    <w:rsid w:val="00FD7DA0"/>
    <w:rsid w:val="00FE0076"/>
    <w:rsid w:val="00FE1173"/>
    <w:rsid w:val="00FE130B"/>
    <w:rsid w:val="00FE1381"/>
    <w:rsid w:val="00FE1848"/>
    <w:rsid w:val="00FE1BBB"/>
    <w:rsid w:val="00FE2A8E"/>
    <w:rsid w:val="00FE2D9C"/>
    <w:rsid w:val="00FE3BFD"/>
    <w:rsid w:val="00FE3CAD"/>
    <w:rsid w:val="00FE3E3E"/>
    <w:rsid w:val="00FE41A9"/>
    <w:rsid w:val="00FE4365"/>
    <w:rsid w:val="00FE446F"/>
    <w:rsid w:val="00FE508E"/>
    <w:rsid w:val="00FE5CAA"/>
    <w:rsid w:val="00FE7FCC"/>
    <w:rsid w:val="00FF01A4"/>
    <w:rsid w:val="00FF0201"/>
    <w:rsid w:val="00FF03DD"/>
    <w:rsid w:val="00FF0C17"/>
    <w:rsid w:val="00FF10AD"/>
    <w:rsid w:val="00FF2207"/>
    <w:rsid w:val="00FF2332"/>
    <w:rsid w:val="00FF261E"/>
    <w:rsid w:val="00FF34E2"/>
    <w:rsid w:val="00FF382E"/>
    <w:rsid w:val="00FF3BC2"/>
    <w:rsid w:val="00FF4175"/>
    <w:rsid w:val="00FF4FA2"/>
    <w:rsid w:val="00FF50E3"/>
    <w:rsid w:val="00FF53C6"/>
    <w:rsid w:val="00FF54BA"/>
    <w:rsid w:val="00FF550E"/>
    <w:rsid w:val="00FF5B49"/>
    <w:rsid w:val="00FF75F2"/>
    <w:rsid w:val="00FF7BAA"/>
    <w:rsid w:val="00FF7D67"/>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C52E7"/>
  <w15:docId w15:val="{0DA6EE9E-AD3F-417C-8EA7-15A483E9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5EF"/>
    <w:pPr>
      <w:widowControl w:val="0"/>
      <w:spacing w:after="0" w:line="240" w:lineRule="auto"/>
    </w:pPr>
    <w:rPr>
      <w:rFonts w:eastAsia="Times New Roman" w:cs="Times New Roman"/>
      <w:sz w:val="20"/>
      <w:szCs w:val="20"/>
      <w:lang w:val="es-ES_tradnl" w:eastAsia="es-ES"/>
    </w:rPr>
  </w:style>
  <w:style w:type="paragraph" w:styleId="Ttulo1">
    <w:name w:val="heading 1"/>
    <w:aliases w:val="título 1"/>
    <w:basedOn w:val="Normal"/>
    <w:next w:val="Normal"/>
    <w:link w:val="Ttulo1Car"/>
    <w:uiPriority w:val="9"/>
    <w:qFormat/>
    <w:rsid w:val="006475EF"/>
    <w:pPr>
      <w:keepNext/>
      <w:jc w:val="center"/>
      <w:outlineLvl w:val="0"/>
    </w:pPr>
    <w:rPr>
      <w:b/>
      <w:color w:val="000000"/>
      <w:sz w:val="16"/>
    </w:rPr>
  </w:style>
  <w:style w:type="paragraph" w:styleId="Ttulo2">
    <w:name w:val="heading 2"/>
    <w:basedOn w:val="Normal"/>
    <w:next w:val="Normal"/>
    <w:link w:val="Ttulo2Car"/>
    <w:uiPriority w:val="9"/>
    <w:qFormat/>
    <w:rsid w:val="006475EF"/>
    <w:pPr>
      <w:keepNext/>
      <w:outlineLvl w:val="1"/>
    </w:pPr>
    <w:rPr>
      <w:b/>
      <w:color w:val="000000"/>
    </w:rPr>
  </w:style>
  <w:style w:type="paragraph" w:styleId="Ttulo3">
    <w:name w:val="heading 3"/>
    <w:aliases w:val="título 3,Título proyecto,Títul4,Título 3 Sección,I3-3,h3,3,Título 3 Car Car,T3 para doc. Metro,Titulo 3,head:3#,.h3,Headline 3,Bold Head,bh,Títulobis,Map title,ARTICULO,Subsubcapitulo,Título 3_SIGMA,Capít.,Heading 31,heading 5"/>
    <w:basedOn w:val="Normal"/>
    <w:next w:val="Normal"/>
    <w:link w:val="Ttulo3Car"/>
    <w:uiPriority w:val="9"/>
    <w:qFormat/>
    <w:rsid w:val="006475EF"/>
    <w:pPr>
      <w:keepNext/>
      <w:outlineLvl w:val="2"/>
    </w:pPr>
    <w:rPr>
      <w:b/>
      <w:sz w:val="16"/>
      <w:u w:val="single"/>
    </w:rPr>
  </w:style>
  <w:style w:type="paragraph" w:styleId="Ttulo4">
    <w:name w:val="heading 4"/>
    <w:basedOn w:val="Normal"/>
    <w:next w:val="Normal"/>
    <w:link w:val="Ttulo4Car"/>
    <w:uiPriority w:val="9"/>
    <w:qFormat/>
    <w:rsid w:val="006475EF"/>
    <w:pPr>
      <w:keepNext/>
      <w:jc w:val="center"/>
      <w:outlineLvl w:val="3"/>
    </w:pPr>
    <w:rPr>
      <w:b/>
      <w:sz w:val="16"/>
    </w:rPr>
  </w:style>
  <w:style w:type="paragraph" w:styleId="Ttulo5">
    <w:name w:val="heading 5"/>
    <w:basedOn w:val="Normal"/>
    <w:next w:val="Normal"/>
    <w:link w:val="Ttulo5Car"/>
    <w:uiPriority w:val="9"/>
    <w:qFormat/>
    <w:rsid w:val="006475EF"/>
    <w:pPr>
      <w:keepNext/>
      <w:jc w:val="center"/>
      <w:outlineLvl w:val="4"/>
    </w:pPr>
    <w:rPr>
      <w:b/>
      <w:color w:val="0000FF"/>
    </w:rPr>
  </w:style>
  <w:style w:type="paragraph" w:styleId="Ttulo6">
    <w:name w:val="heading 6"/>
    <w:basedOn w:val="Normal"/>
    <w:next w:val="Normal"/>
    <w:link w:val="Ttulo6Car"/>
    <w:uiPriority w:val="9"/>
    <w:qFormat/>
    <w:rsid w:val="006475EF"/>
    <w:pPr>
      <w:keepNext/>
      <w:outlineLvl w:val="5"/>
    </w:pPr>
    <w:rPr>
      <w:b/>
      <w:color w:val="000000"/>
      <w:sz w:val="16"/>
    </w:rPr>
  </w:style>
  <w:style w:type="paragraph" w:styleId="Ttulo7">
    <w:name w:val="heading 7"/>
    <w:basedOn w:val="Normal"/>
    <w:next w:val="Normal"/>
    <w:link w:val="Ttulo7Car"/>
    <w:uiPriority w:val="9"/>
    <w:qFormat/>
    <w:rsid w:val="006475EF"/>
    <w:pPr>
      <w:keepNext/>
      <w:jc w:val="both"/>
      <w:outlineLvl w:val="6"/>
    </w:pPr>
    <w:rPr>
      <w:b/>
    </w:rPr>
  </w:style>
  <w:style w:type="paragraph" w:styleId="Ttulo8">
    <w:name w:val="heading 8"/>
    <w:basedOn w:val="Normal"/>
    <w:next w:val="Normal"/>
    <w:link w:val="Ttulo8Car"/>
    <w:uiPriority w:val="9"/>
    <w:qFormat/>
    <w:rsid w:val="006475EF"/>
    <w:pPr>
      <w:keepNext/>
      <w:outlineLvl w:val="7"/>
    </w:pPr>
    <w:rPr>
      <w:b/>
      <w:color w:val="000000"/>
      <w:sz w:val="18"/>
      <w:lang w:val="es-ES"/>
    </w:rPr>
  </w:style>
  <w:style w:type="paragraph" w:styleId="Ttulo9">
    <w:name w:val="heading 9"/>
    <w:basedOn w:val="Normal"/>
    <w:next w:val="Normal"/>
    <w:link w:val="Ttulo9Car"/>
    <w:uiPriority w:val="9"/>
    <w:qFormat/>
    <w:rsid w:val="006475EF"/>
    <w:pPr>
      <w:keepNext/>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
    <w:basedOn w:val="Fuentedeprrafopredeter"/>
    <w:link w:val="Ttulo1"/>
    <w:uiPriority w:val="9"/>
    <w:rsid w:val="006475EF"/>
    <w:rPr>
      <w:rFonts w:eastAsia="Times New Roman" w:cs="Times New Roman"/>
      <w:b/>
      <w:color w:val="000000"/>
      <w:sz w:val="16"/>
      <w:szCs w:val="20"/>
      <w:lang w:val="es-ES_tradnl" w:eastAsia="es-ES"/>
    </w:rPr>
  </w:style>
  <w:style w:type="character" w:customStyle="1" w:styleId="Ttulo2Car">
    <w:name w:val="Título 2 Car"/>
    <w:basedOn w:val="Fuentedeprrafopredeter"/>
    <w:link w:val="Ttulo2"/>
    <w:uiPriority w:val="9"/>
    <w:rsid w:val="006475EF"/>
    <w:rPr>
      <w:rFonts w:eastAsia="Times New Roman" w:cs="Times New Roman"/>
      <w:b/>
      <w:color w:val="000000"/>
      <w:sz w:val="20"/>
      <w:szCs w:val="20"/>
      <w:lang w:val="es-ES_tradnl" w:eastAsia="es-ES"/>
    </w:rPr>
  </w:style>
  <w:style w:type="character" w:customStyle="1" w:styleId="Ttulo3Car">
    <w:name w:val="Título 3 Car"/>
    <w:aliases w:val="título 3 Car,Título proyecto Car,Títul4 Car,Título 3 Sección Car,I3-3 Car,h3 Car,3 Car,Título 3 Car Car Car,T3 para doc. Metro Car,Titulo 3 Car,head:3# Car,.h3 Car,Headline 3 Car,Bold Head Car,bh Car,Títulobis Car,Map title Car,ARTICULO Car"/>
    <w:basedOn w:val="Fuentedeprrafopredeter"/>
    <w:link w:val="Ttulo3"/>
    <w:uiPriority w:val="9"/>
    <w:rsid w:val="006475EF"/>
    <w:rPr>
      <w:rFonts w:eastAsia="Times New Roman" w:cs="Times New Roman"/>
      <w:b/>
      <w:sz w:val="16"/>
      <w:szCs w:val="20"/>
      <w:u w:val="single"/>
      <w:lang w:val="es-ES_tradnl" w:eastAsia="es-ES"/>
    </w:rPr>
  </w:style>
  <w:style w:type="character" w:customStyle="1" w:styleId="Ttulo4Car">
    <w:name w:val="Título 4 Car"/>
    <w:basedOn w:val="Fuentedeprrafopredeter"/>
    <w:link w:val="Ttulo4"/>
    <w:uiPriority w:val="9"/>
    <w:rsid w:val="006475EF"/>
    <w:rPr>
      <w:rFonts w:eastAsia="Times New Roman" w:cs="Times New Roman"/>
      <w:b/>
      <w:sz w:val="16"/>
      <w:szCs w:val="20"/>
      <w:lang w:val="es-ES_tradnl" w:eastAsia="es-ES"/>
    </w:rPr>
  </w:style>
  <w:style w:type="character" w:customStyle="1" w:styleId="Ttulo5Car">
    <w:name w:val="Título 5 Car"/>
    <w:basedOn w:val="Fuentedeprrafopredeter"/>
    <w:link w:val="Ttulo5"/>
    <w:uiPriority w:val="9"/>
    <w:rsid w:val="006475EF"/>
    <w:rPr>
      <w:rFonts w:eastAsia="Times New Roman" w:cs="Times New Roman"/>
      <w:b/>
      <w:color w:val="0000FF"/>
      <w:sz w:val="20"/>
      <w:szCs w:val="20"/>
      <w:lang w:val="es-ES_tradnl" w:eastAsia="es-ES"/>
    </w:rPr>
  </w:style>
  <w:style w:type="character" w:customStyle="1" w:styleId="Ttulo6Car">
    <w:name w:val="Título 6 Car"/>
    <w:basedOn w:val="Fuentedeprrafopredeter"/>
    <w:link w:val="Ttulo6"/>
    <w:uiPriority w:val="9"/>
    <w:rsid w:val="006475EF"/>
    <w:rPr>
      <w:rFonts w:eastAsia="Times New Roman" w:cs="Times New Roman"/>
      <w:b/>
      <w:color w:val="000000"/>
      <w:sz w:val="16"/>
      <w:szCs w:val="20"/>
      <w:lang w:val="es-ES_tradnl" w:eastAsia="es-ES"/>
    </w:rPr>
  </w:style>
  <w:style w:type="character" w:customStyle="1" w:styleId="Ttulo7Car">
    <w:name w:val="Título 7 Car"/>
    <w:basedOn w:val="Fuentedeprrafopredeter"/>
    <w:link w:val="Ttulo7"/>
    <w:uiPriority w:val="9"/>
    <w:rsid w:val="006475EF"/>
    <w:rPr>
      <w:rFonts w:eastAsia="Times New Roman" w:cs="Times New Roman"/>
      <w:b/>
      <w:sz w:val="20"/>
      <w:szCs w:val="20"/>
      <w:lang w:val="es-ES_tradnl" w:eastAsia="es-ES"/>
    </w:rPr>
  </w:style>
  <w:style w:type="character" w:customStyle="1" w:styleId="Ttulo8Car">
    <w:name w:val="Título 8 Car"/>
    <w:basedOn w:val="Fuentedeprrafopredeter"/>
    <w:link w:val="Ttulo8"/>
    <w:uiPriority w:val="9"/>
    <w:rsid w:val="006475EF"/>
    <w:rPr>
      <w:rFonts w:eastAsia="Times New Roman" w:cs="Times New Roman"/>
      <w:b/>
      <w:color w:val="000000"/>
      <w:sz w:val="18"/>
      <w:szCs w:val="20"/>
      <w:lang w:val="es-ES" w:eastAsia="es-ES"/>
    </w:rPr>
  </w:style>
  <w:style w:type="character" w:customStyle="1" w:styleId="Ttulo9Car">
    <w:name w:val="Título 9 Car"/>
    <w:basedOn w:val="Fuentedeprrafopredeter"/>
    <w:link w:val="Ttulo9"/>
    <w:uiPriority w:val="9"/>
    <w:rsid w:val="006475EF"/>
    <w:rPr>
      <w:rFonts w:eastAsia="Times New Roman" w:cs="Times New Roman"/>
      <w:b/>
      <w:sz w:val="20"/>
      <w:szCs w:val="20"/>
      <w:lang w:val="es-ES_tradnl" w:eastAsia="es-ES"/>
    </w:rPr>
  </w:style>
  <w:style w:type="paragraph" w:styleId="Encabezado">
    <w:name w:val="header"/>
    <w:basedOn w:val="Normal"/>
    <w:link w:val="EncabezadoCar"/>
    <w:uiPriority w:val="99"/>
    <w:rsid w:val="006475EF"/>
    <w:pPr>
      <w:tabs>
        <w:tab w:val="center" w:pos="4252"/>
        <w:tab w:val="right" w:pos="8504"/>
      </w:tabs>
    </w:pPr>
  </w:style>
  <w:style w:type="character" w:customStyle="1" w:styleId="EncabezadoCar">
    <w:name w:val="Encabezado Car"/>
    <w:basedOn w:val="Fuentedeprrafopredeter"/>
    <w:link w:val="Encabezado"/>
    <w:uiPriority w:val="99"/>
    <w:rsid w:val="006475EF"/>
    <w:rPr>
      <w:rFonts w:eastAsia="Times New Roman" w:cs="Times New Roman"/>
      <w:sz w:val="20"/>
      <w:szCs w:val="20"/>
      <w:lang w:val="es-ES_tradnl" w:eastAsia="es-ES"/>
    </w:rPr>
  </w:style>
  <w:style w:type="paragraph" w:styleId="Piedepgina">
    <w:name w:val="footer"/>
    <w:basedOn w:val="Normal"/>
    <w:link w:val="PiedepginaCar"/>
    <w:uiPriority w:val="99"/>
    <w:rsid w:val="006475EF"/>
    <w:pPr>
      <w:tabs>
        <w:tab w:val="center" w:pos="4252"/>
        <w:tab w:val="right" w:pos="8504"/>
      </w:tabs>
    </w:pPr>
  </w:style>
  <w:style w:type="character" w:customStyle="1" w:styleId="PiedepginaCar">
    <w:name w:val="Pie de página Car"/>
    <w:basedOn w:val="Fuentedeprrafopredeter"/>
    <w:link w:val="Piedepgina"/>
    <w:uiPriority w:val="99"/>
    <w:rsid w:val="006475EF"/>
    <w:rPr>
      <w:rFonts w:eastAsia="Times New Roman" w:cs="Times New Roman"/>
      <w:sz w:val="20"/>
      <w:szCs w:val="20"/>
      <w:lang w:val="es-ES_tradnl" w:eastAsia="es-ES"/>
    </w:rPr>
  </w:style>
  <w:style w:type="character" w:styleId="Nmerodepgina">
    <w:name w:val="page number"/>
    <w:basedOn w:val="Fuentedeprrafopredeter"/>
    <w:rsid w:val="006475EF"/>
  </w:style>
  <w:style w:type="character" w:styleId="Refdecomentario">
    <w:name w:val="annotation reference"/>
    <w:basedOn w:val="Fuentedeprrafopredeter"/>
    <w:uiPriority w:val="99"/>
    <w:semiHidden/>
    <w:rsid w:val="006475EF"/>
    <w:rPr>
      <w:sz w:val="16"/>
    </w:rPr>
  </w:style>
  <w:style w:type="paragraph" w:styleId="Textocomentario">
    <w:name w:val="annotation text"/>
    <w:basedOn w:val="Normal"/>
    <w:link w:val="TextocomentarioCar"/>
    <w:uiPriority w:val="99"/>
    <w:semiHidden/>
    <w:rsid w:val="006475EF"/>
  </w:style>
  <w:style w:type="character" w:customStyle="1" w:styleId="TextocomentarioCar">
    <w:name w:val="Texto comentario Car"/>
    <w:basedOn w:val="Fuentedeprrafopredeter"/>
    <w:link w:val="Textocomentario"/>
    <w:uiPriority w:val="99"/>
    <w:semiHidden/>
    <w:rsid w:val="006475EF"/>
    <w:rPr>
      <w:rFonts w:eastAsia="Times New Roman" w:cs="Times New Roman"/>
      <w:sz w:val="20"/>
      <w:szCs w:val="20"/>
      <w:lang w:val="es-ES_tradnl" w:eastAsia="es-ES"/>
    </w:rPr>
  </w:style>
  <w:style w:type="paragraph" w:styleId="Ttulo">
    <w:name w:val="Title"/>
    <w:basedOn w:val="Normal"/>
    <w:link w:val="TtuloCar"/>
    <w:uiPriority w:val="10"/>
    <w:qFormat/>
    <w:rsid w:val="006475EF"/>
    <w:pPr>
      <w:jc w:val="center"/>
    </w:pPr>
    <w:rPr>
      <w:b/>
      <w:sz w:val="22"/>
    </w:rPr>
  </w:style>
  <w:style w:type="character" w:customStyle="1" w:styleId="TtuloCar">
    <w:name w:val="Título Car"/>
    <w:basedOn w:val="Fuentedeprrafopredeter"/>
    <w:link w:val="Ttulo"/>
    <w:uiPriority w:val="10"/>
    <w:rsid w:val="006475EF"/>
    <w:rPr>
      <w:rFonts w:eastAsia="Times New Roman" w:cs="Times New Roman"/>
      <w:b/>
      <w:sz w:val="22"/>
      <w:szCs w:val="20"/>
      <w:lang w:val="es-ES_tradnl" w:eastAsia="es-ES"/>
    </w:rPr>
  </w:style>
  <w:style w:type="paragraph" w:styleId="Textoindependiente">
    <w:name w:val="Body Text"/>
    <w:basedOn w:val="Normal"/>
    <w:link w:val="TextoindependienteCar"/>
    <w:rsid w:val="006475EF"/>
    <w:rPr>
      <w:color w:val="0000FF"/>
      <w:sz w:val="16"/>
    </w:rPr>
  </w:style>
  <w:style w:type="character" w:customStyle="1" w:styleId="TextoindependienteCar">
    <w:name w:val="Texto independiente Car"/>
    <w:basedOn w:val="Fuentedeprrafopredeter"/>
    <w:link w:val="Textoindependiente"/>
    <w:rsid w:val="006475EF"/>
    <w:rPr>
      <w:rFonts w:eastAsia="Times New Roman" w:cs="Times New Roman"/>
      <w:color w:val="0000FF"/>
      <w:sz w:val="16"/>
      <w:szCs w:val="20"/>
      <w:lang w:val="es-ES_tradnl" w:eastAsia="es-ES"/>
    </w:rPr>
  </w:style>
  <w:style w:type="paragraph" w:styleId="Descripcin">
    <w:name w:val="caption"/>
    <w:basedOn w:val="Normal"/>
    <w:next w:val="Normal"/>
    <w:uiPriority w:val="35"/>
    <w:qFormat/>
    <w:rsid w:val="006475EF"/>
    <w:pPr>
      <w:jc w:val="center"/>
    </w:pPr>
    <w:rPr>
      <w:b/>
      <w:color w:val="0000FF"/>
    </w:rPr>
  </w:style>
  <w:style w:type="paragraph" w:styleId="Sangradetextonormal">
    <w:name w:val="Body Text Indent"/>
    <w:basedOn w:val="Normal"/>
    <w:link w:val="SangradetextonormalCar"/>
    <w:rsid w:val="006475EF"/>
    <w:pPr>
      <w:jc w:val="center"/>
    </w:pPr>
    <w:rPr>
      <w:b/>
    </w:rPr>
  </w:style>
  <w:style w:type="character" w:customStyle="1" w:styleId="SangradetextonormalCar">
    <w:name w:val="Sangría de texto normal Car"/>
    <w:basedOn w:val="Fuentedeprrafopredeter"/>
    <w:link w:val="Sangradetextonormal"/>
    <w:rsid w:val="006475EF"/>
    <w:rPr>
      <w:rFonts w:eastAsia="Times New Roman" w:cs="Times New Roman"/>
      <w:b/>
      <w:sz w:val="20"/>
      <w:szCs w:val="20"/>
      <w:lang w:val="es-ES_tradnl" w:eastAsia="es-ES"/>
    </w:rPr>
  </w:style>
  <w:style w:type="paragraph" w:styleId="Sangra2detindependiente">
    <w:name w:val="Body Text Indent 2"/>
    <w:basedOn w:val="Normal"/>
    <w:link w:val="Sangra2detindependienteCar"/>
    <w:rsid w:val="006475EF"/>
    <w:pPr>
      <w:ind w:left="709"/>
    </w:pPr>
  </w:style>
  <w:style w:type="character" w:customStyle="1" w:styleId="Sangra2detindependienteCar">
    <w:name w:val="Sangría 2 de t. independiente Car"/>
    <w:basedOn w:val="Fuentedeprrafopredeter"/>
    <w:link w:val="Sangra2detindependiente"/>
    <w:rsid w:val="006475EF"/>
    <w:rPr>
      <w:rFonts w:eastAsia="Times New Roman" w:cs="Times New Roman"/>
      <w:sz w:val="20"/>
      <w:szCs w:val="20"/>
      <w:lang w:val="es-ES_tradnl" w:eastAsia="es-ES"/>
    </w:rPr>
  </w:style>
  <w:style w:type="paragraph" w:styleId="Sangra3detindependiente">
    <w:name w:val="Body Text Indent 3"/>
    <w:basedOn w:val="Normal"/>
    <w:link w:val="Sangra3detindependienteCar"/>
    <w:rsid w:val="006475EF"/>
    <w:pPr>
      <w:ind w:left="630" w:firstLine="439"/>
      <w:jc w:val="both"/>
    </w:pPr>
  </w:style>
  <w:style w:type="character" w:customStyle="1" w:styleId="Sangra3detindependienteCar">
    <w:name w:val="Sangría 3 de t. independiente Car"/>
    <w:basedOn w:val="Fuentedeprrafopredeter"/>
    <w:link w:val="Sangra3detindependiente"/>
    <w:rsid w:val="006475EF"/>
    <w:rPr>
      <w:rFonts w:eastAsia="Times New Roman" w:cs="Times New Roman"/>
      <w:sz w:val="20"/>
      <w:szCs w:val="20"/>
      <w:lang w:val="es-ES_tradnl" w:eastAsia="es-ES"/>
    </w:rPr>
  </w:style>
  <w:style w:type="paragraph" w:styleId="Textoindependiente2">
    <w:name w:val="Body Text 2"/>
    <w:basedOn w:val="Normal"/>
    <w:link w:val="Textoindependiente2Car"/>
    <w:rsid w:val="006475EF"/>
    <w:pPr>
      <w:jc w:val="both"/>
    </w:pPr>
    <w:rPr>
      <w:noProof/>
      <w:sz w:val="24"/>
    </w:rPr>
  </w:style>
  <w:style w:type="character" w:customStyle="1" w:styleId="Textoindependiente2Car">
    <w:name w:val="Texto independiente 2 Car"/>
    <w:basedOn w:val="Fuentedeprrafopredeter"/>
    <w:link w:val="Textoindependiente2"/>
    <w:rsid w:val="006475EF"/>
    <w:rPr>
      <w:rFonts w:eastAsia="Times New Roman" w:cs="Times New Roman"/>
      <w:noProof/>
      <w:szCs w:val="20"/>
      <w:lang w:val="es-ES_tradnl" w:eastAsia="es-ES"/>
    </w:rPr>
  </w:style>
  <w:style w:type="paragraph" w:styleId="Mapadeldocumento">
    <w:name w:val="Document Map"/>
    <w:basedOn w:val="Normal"/>
    <w:link w:val="MapadeldocumentoCar"/>
    <w:semiHidden/>
    <w:rsid w:val="006475EF"/>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475EF"/>
    <w:rPr>
      <w:rFonts w:ascii="Tahoma" w:eastAsia="Times New Roman" w:hAnsi="Tahoma" w:cs="Times New Roman"/>
      <w:sz w:val="20"/>
      <w:szCs w:val="20"/>
      <w:shd w:val="clear" w:color="auto" w:fill="000080"/>
      <w:lang w:val="es-ES_tradnl" w:eastAsia="es-ES"/>
    </w:rPr>
  </w:style>
  <w:style w:type="paragraph" w:styleId="Textoindependiente3">
    <w:name w:val="Body Text 3"/>
    <w:basedOn w:val="Normal"/>
    <w:link w:val="Textoindependiente3Car"/>
    <w:rsid w:val="006475EF"/>
    <w:pPr>
      <w:jc w:val="center"/>
    </w:pPr>
    <w:rPr>
      <w:rFonts w:eastAsia="Arial Unicode MS"/>
      <w:b/>
      <w:bCs/>
      <w:sz w:val="14"/>
    </w:rPr>
  </w:style>
  <w:style w:type="character" w:customStyle="1" w:styleId="Textoindependiente3Car">
    <w:name w:val="Texto independiente 3 Car"/>
    <w:basedOn w:val="Fuentedeprrafopredeter"/>
    <w:link w:val="Textoindependiente3"/>
    <w:rsid w:val="006475EF"/>
    <w:rPr>
      <w:rFonts w:eastAsia="Arial Unicode MS" w:cs="Times New Roman"/>
      <w:b/>
      <w:bCs/>
      <w:sz w:val="14"/>
      <w:szCs w:val="20"/>
      <w:lang w:val="es-ES_tradnl" w:eastAsia="es-ES"/>
    </w:rPr>
  </w:style>
  <w:style w:type="paragraph" w:customStyle="1" w:styleId="xl24">
    <w:name w:val="xl24"/>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sz w:val="24"/>
      <w:szCs w:val="24"/>
      <w:lang w:val="es-ES"/>
    </w:rPr>
  </w:style>
  <w:style w:type="paragraph" w:customStyle="1" w:styleId="xl25">
    <w:name w:val="xl25"/>
    <w:basedOn w:val="Normal"/>
    <w:rsid w:val="006475EF"/>
    <w:pPr>
      <w:widowControl/>
      <w:pBdr>
        <w:left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26">
    <w:name w:val="xl26"/>
    <w:basedOn w:val="Normal"/>
    <w:rsid w:val="006475EF"/>
    <w:pPr>
      <w:widowControl/>
      <w:pBdr>
        <w:right w:val="single" w:sz="4" w:space="0" w:color="auto"/>
      </w:pBdr>
      <w:spacing w:before="100" w:beforeAutospacing="1" w:after="100" w:afterAutospacing="1"/>
    </w:pPr>
    <w:rPr>
      <w:rFonts w:eastAsia="Arial Unicode MS"/>
      <w:sz w:val="24"/>
      <w:szCs w:val="24"/>
      <w:lang w:val="es-ES"/>
    </w:rPr>
  </w:style>
  <w:style w:type="paragraph" w:customStyle="1" w:styleId="xl27">
    <w:name w:val="xl27"/>
    <w:basedOn w:val="Normal"/>
    <w:rsid w:val="006475EF"/>
    <w:pPr>
      <w:widowControl/>
      <w:pBdr>
        <w:left w:val="single" w:sz="4" w:space="0" w:color="auto"/>
        <w:right w:val="single" w:sz="4" w:space="0" w:color="auto"/>
      </w:pBdr>
      <w:spacing w:before="100" w:beforeAutospacing="1" w:after="100" w:afterAutospacing="1"/>
    </w:pPr>
    <w:rPr>
      <w:rFonts w:eastAsia="Arial Unicode MS"/>
      <w:sz w:val="24"/>
      <w:szCs w:val="24"/>
      <w:lang w:val="es-ES"/>
    </w:rPr>
  </w:style>
  <w:style w:type="paragraph" w:customStyle="1" w:styleId="xl28">
    <w:name w:val="xl28"/>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sz w:val="24"/>
      <w:szCs w:val="24"/>
      <w:lang w:val="es-ES"/>
    </w:rPr>
  </w:style>
  <w:style w:type="paragraph" w:customStyle="1" w:styleId="xl29">
    <w:name w:val="xl29"/>
    <w:basedOn w:val="Normal"/>
    <w:rsid w:val="006475EF"/>
    <w:pPr>
      <w:widowControl/>
      <w:pBdr>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30">
    <w:name w:val="xl30"/>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u w:val="double"/>
      <w:lang w:val="es-ES"/>
    </w:rPr>
  </w:style>
  <w:style w:type="paragraph" w:customStyle="1" w:styleId="xl31">
    <w:name w:val="xl31"/>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u w:val="double"/>
      <w:lang w:val="es-ES"/>
    </w:rPr>
  </w:style>
  <w:style w:type="paragraph" w:customStyle="1" w:styleId="xl32">
    <w:name w:val="xl32"/>
    <w:basedOn w:val="Normal"/>
    <w:rsid w:val="006475EF"/>
    <w:pPr>
      <w:widowControl/>
      <w:pBdr>
        <w:right w:val="single" w:sz="4" w:space="0" w:color="auto"/>
      </w:pBdr>
      <w:spacing w:before="100" w:beforeAutospacing="1" w:after="100" w:afterAutospacing="1"/>
    </w:pPr>
    <w:rPr>
      <w:rFonts w:eastAsia="Arial Unicode MS"/>
      <w:b/>
      <w:bCs/>
      <w:sz w:val="24"/>
      <w:szCs w:val="24"/>
      <w:lang w:val="es-ES"/>
    </w:rPr>
  </w:style>
  <w:style w:type="paragraph" w:customStyle="1" w:styleId="xl33">
    <w:name w:val="xl33"/>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34">
    <w:name w:val="xl34"/>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35">
    <w:name w:val="xl35"/>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b/>
      <w:bCs/>
      <w:sz w:val="24"/>
      <w:szCs w:val="24"/>
      <w:u w:val="single"/>
      <w:lang w:val="es-ES"/>
    </w:rPr>
  </w:style>
  <w:style w:type="paragraph" w:customStyle="1" w:styleId="xl36">
    <w:name w:val="xl36"/>
    <w:basedOn w:val="Normal"/>
    <w:rsid w:val="006475EF"/>
    <w:pPr>
      <w:widowControl/>
      <w:pBdr>
        <w:left w:val="single" w:sz="4" w:space="0" w:color="auto"/>
        <w:right w:val="single" w:sz="4" w:space="0" w:color="auto"/>
      </w:pBdr>
      <w:spacing w:before="100" w:beforeAutospacing="1" w:after="100" w:afterAutospacing="1"/>
    </w:pPr>
    <w:rPr>
      <w:rFonts w:eastAsia="Arial Unicode MS"/>
      <w:b/>
      <w:bCs/>
      <w:sz w:val="24"/>
      <w:szCs w:val="24"/>
      <w:u w:val="single"/>
      <w:lang w:val="es-ES"/>
    </w:rPr>
  </w:style>
  <w:style w:type="paragraph" w:customStyle="1" w:styleId="xl37">
    <w:name w:val="xl37"/>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u w:val="single"/>
      <w:lang w:val="es-ES"/>
    </w:rPr>
  </w:style>
  <w:style w:type="paragraph" w:customStyle="1" w:styleId="xl38">
    <w:name w:val="xl38"/>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39">
    <w:name w:val="xl39"/>
    <w:basedOn w:val="Normal"/>
    <w:rsid w:val="006475EF"/>
    <w:pPr>
      <w:widowControl/>
      <w:pBdr>
        <w:left w:val="double" w:sz="6" w:space="0" w:color="auto"/>
        <w:right w:val="single" w:sz="4" w:space="0" w:color="auto"/>
      </w:pBdr>
      <w:spacing w:before="100" w:beforeAutospacing="1" w:after="100" w:afterAutospacing="1"/>
      <w:jc w:val="center"/>
      <w:textAlignment w:val="top"/>
    </w:pPr>
    <w:rPr>
      <w:rFonts w:eastAsia="Arial Unicode MS"/>
      <w:sz w:val="24"/>
      <w:szCs w:val="24"/>
      <w:lang w:val="es-ES"/>
    </w:rPr>
  </w:style>
  <w:style w:type="paragraph" w:customStyle="1" w:styleId="xl40">
    <w:name w:val="xl40"/>
    <w:basedOn w:val="Normal"/>
    <w:rsid w:val="006475EF"/>
    <w:pPr>
      <w:widowControl/>
      <w:pBdr>
        <w:left w:val="single" w:sz="4" w:space="0" w:color="auto"/>
        <w:right w:val="single" w:sz="4" w:space="0" w:color="auto"/>
      </w:pBdr>
      <w:spacing w:before="100" w:beforeAutospacing="1" w:after="100" w:afterAutospacing="1"/>
    </w:pPr>
    <w:rPr>
      <w:rFonts w:eastAsia="Arial Unicode MS"/>
      <w:sz w:val="24"/>
      <w:szCs w:val="24"/>
      <w:lang w:val="es-ES"/>
    </w:rPr>
  </w:style>
  <w:style w:type="paragraph" w:customStyle="1" w:styleId="xl41">
    <w:name w:val="xl41"/>
    <w:basedOn w:val="Normal"/>
    <w:rsid w:val="006475EF"/>
    <w:pPr>
      <w:widowControl/>
      <w:pBdr>
        <w:left w:val="double" w:sz="6" w:space="0" w:color="auto"/>
      </w:pBdr>
      <w:spacing w:before="100" w:beforeAutospacing="1" w:after="100" w:afterAutospacing="1"/>
    </w:pPr>
    <w:rPr>
      <w:rFonts w:eastAsia="Arial Unicode MS"/>
      <w:sz w:val="24"/>
      <w:szCs w:val="24"/>
      <w:lang w:val="es-ES"/>
    </w:rPr>
  </w:style>
  <w:style w:type="paragraph" w:customStyle="1" w:styleId="xl42">
    <w:name w:val="xl42"/>
    <w:basedOn w:val="Normal"/>
    <w:rsid w:val="006475EF"/>
    <w:pPr>
      <w:widowControl/>
      <w:pBdr>
        <w:left w:val="double" w:sz="6" w:space="0" w:color="auto"/>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3">
    <w:name w:val="xl43"/>
    <w:basedOn w:val="Normal"/>
    <w:rsid w:val="006475EF"/>
    <w:pPr>
      <w:widowControl/>
      <w:pBdr>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4">
    <w:name w:val="xl44"/>
    <w:basedOn w:val="Normal"/>
    <w:rsid w:val="006475EF"/>
    <w:pPr>
      <w:widowControl/>
      <w:pBdr>
        <w:left w:val="single" w:sz="4" w:space="0" w:color="auto"/>
        <w:bottom w:val="double" w:sz="6" w:space="0" w:color="auto"/>
        <w:right w:val="single" w:sz="4" w:space="0" w:color="auto"/>
      </w:pBdr>
      <w:spacing w:before="100" w:beforeAutospacing="1" w:after="100" w:afterAutospacing="1"/>
    </w:pPr>
    <w:rPr>
      <w:rFonts w:eastAsia="Arial Unicode MS"/>
      <w:sz w:val="24"/>
      <w:szCs w:val="24"/>
      <w:lang w:val="es-ES"/>
    </w:rPr>
  </w:style>
  <w:style w:type="paragraph" w:customStyle="1" w:styleId="xl45">
    <w:name w:val="xl45"/>
    <w:basedOn w:val="Normal"/>
    <w:rsid w:val="006475EF"/>
    <w:pPr>
      <w:widowControl/>
      <w:pBdr>
        <w:left w:val="single" w:sz="4" w:space="0" w:color="auto"/>
        <w:bottom w:val="double" w:sz="6" w:space="0" w:color="auto"/>
        <w:right w:val="double" w:sz="6" w:space="0" w:color="auto"/>
      </w:pBdr>
      <w:spacing w:before="100" w:beforeAutospacing="1" w:after="100" w:afterAutospacing="1"/>
      <w:jc w:val="center"/>
    </w:pPr>
    <w:rPr>
      <w:rFonts w:eastAsia="Arial Unicode MS"/>
      <w:sz w:val="24"/>
      <w:szCs w:val="24"/>
      <w:lang w:val="es-ES"/>
    </w:rPr>
  </w:style>
  <w:style w:type="paragraph" w:customStyle="1" w:styleId="xl46">
    <w:name w:val="xl46"/>
    <w:basedOn w:val="Normal"/>
    <w:rsid w:val="006475EF"/>
    <w:pPr>
      <w:widowControl/>
      <w:pBdr>
        <w:top w:val="double" w:sz="6" w:space="0" w:color="auto"/>
        <w:left w:val="double" w:sz="6"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47">
    <w:name w:val="xl47"/>
    <w:basedOn w:val="Normal"/>
    <w:rsid w:val="006475EF"/>
    <w:pPr>
      <w:widowControl/>
      <w:pBdr>
        <w:top w:val="double" w:sz="6"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48">
    <w:name w:val="xl48"/>
    <w:basedOn w:val="Normal"/>
    <w:rsid w:val="006475EF"/>
    <w:pPr>
      <w:widowControl/>
      <w:pBdr>
        <w:top w:val="double" w:sz="6" w:space="0" w:color="auto"/>
        <w:left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49">
    <w:name w:val="xl49"/>
    <w:basedOn w:val="Normal"/>
    <w:rsid w:val="006475EF"/>
    <w:pPr>
      <w:widowControl/>
      <w:pBdr>
        <w:top w:val="double" w:sz="6" w:space="0" w:color="auto"/>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50">
    <w:name w:val="xl50"/>
    <w:basedOn w:val="Normal"/>
    <w:rsid w:val="006475EF"/>
    <w:pPr>
      <w:widowControl/>
      <w:pBdr>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1">
    <w:name w:val="xl51"/>
    <w:basedOn w:val="Normal"/>
    <w:rsid w:val="006475EF"/>
    <w:pPr>
      <w:widowControl/>
      <w:pBdr>
        <w:left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2">
    <w:name w:val="xl52"/>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customStyle="1" w:styleId="xl53">
    <w:name w:val="xl53"/>
    <w:basedOn w:val="Normal"/>
    <w:rsid w:val="006475EF"/>
    <w:pPr>
      <w:widowControl/>
      <w:pBdr>
        <w:left w:val="double" w:sz="6"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4">
    <w:name w:val="xl54"/>
    <w:basedOn w:val="Normal"/>
    <w:rsid w:val="006475EF"/>
    <w:pPr>
      <w:widowControl/>
      <w:pBdr>
        <w:bottom w:val="single" w:sz="4" w:space="0" w:color="auto"/>
        <w:right w:val="single" w:sz="4" w:space="0" w:color="auto"/>
      </w:pBdr>
      <w:spacing w:before="100" w:beforeAutospacing="1" w:after="100" w:afterAutospacing="1"/>
    </w:pPr>
    <w:rPr>
      <w:rFonts w:eastAsia="Arial Unicode MS"/>
      <w:b/>
      <w:bCs/>
      <w:sz w:val="24"/>
      <w:szCs w:val="24"/>
      <w:lang w:val="es-ES"/>
    </w:rPr>
  </w:style>
  <w:style w:type="paragraph" w:customStyle="1" w:styleId="xl55">
    <w:name w:val="xl55"/>
    <w:basedOn w:val="Normal"/>
    <w:rsid w:val="006475EF"/>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s-ES"/>
    </w:rPr>
  </w:style>
  <w:style w:type="paragraph" w:customStyle="1" w:styleId="xl56">
    <w:name w:val="xl56"/>
    <w:basedOn w:val="Normal"/>
    <w:rsid w:val="006475EF"/>
    <w:pPr>
      <w:widowControl/>
      <w:pBdr>
        <w:left w:val="single" w:sz="4" w:space="0" w:color="auto"/>
        <w:bottom w:val="single" w:sz="4" w:space="0" w:color="auto"/>
        <w:right w:val="double" w:sz="6" w:space="0" w:color="auto"/>
      </w:pBdr>
      <w:spacing w:before="100" w:beforeAutospacing="1" w:after="100" w:afterAutospacing="1"/>
      <w:jc w:val="center"/>
    </w:pPr>
    <w:rPr>
      <w:rFonts w:eastAsia="Arial Unicode MS"/>
      <w:b/>
      <w:bCs/>
      <w:sz w:val="24"/>
      <w:szCs w:val="24"/>
      <w:lang w:val="es-ES"/>
    </w:rPr>
  </w:style>
  <w:style w:type="paragraph" w:styleId="Textodeglobo">
    <w:name w:val="Balloon Text"/>
    <w:basedOn w:val="Normal"/>
    <w:link w:val="TextodegloboCar"/>
    <w:uiPriority w:val="99"/>
    <w:semiHidden/>
    <w:rsid w:val="006475EF"/>
    <w:rPr>
      <w:rFonts w:ascii="Tahoma" w:hAnsi="Tahoma" w:cs="Tahoma"/>
      <w:sz w:val="16"/>
      <w:szCs w:val="16"/>
    </w:rPr>
  </w:style>
  <w:style w:type="character" w:customStyle="1" w:styleId="TextodegloboCar">
    <w:name w:val="Texto de globo Car"/>
    <w:basedOn w:val="Fuentedeprrafopredeter"/>
    <w:link w:val="Textodeglobo"/>
    <w:uiPriority w:val="99"/>
    <w:semiHidden/>
    <w:rsid w:val="006475EF"/>
    <w:rPr>
      <w:rFonts w:ascii="Tahoma" w:eastAsia="Times New Roman" w:hAnsi="Tahoma" w:cs="Tahoma"/>
      <w:sz w:val="16"/>
      <w:szCs w:val="16"/>
      <w:lang w:val="es-ES_tradnl" w:eastAsia="es-ES"/>
    </w:rPr>
  </w:style>
  <w:style w:type="paragraph" w:customStyle="1" w:styleId="xl60">
    <w:name w:val="xl60"/>
    <w:basedOn w:val="Normal"/>
    <w:rsid w:val="006475EF"/>
    <w:pPr>
      <w:widowControl/>
      <w:pBdr>
        <w:right w:val="single" w:sz="4" w:space="0" w:color="auto"/>
      </w:pBdr>
      <w:spacing w:before="100" w:beforeAutospacing="1" w:after="100" w:afterAutospacing="1"/>
    </w:pPr>
    <w:rPr>
      <w:sz w:val="18"/>
      <w:szCs w:val="18"/>
      <w:lang w:val="es-ES"/>
    </w:rPr>
  </w:style>
  <w:style w:type="paragraph" w:customStyle="1" w:styleId="xl96">
    <w:name w:val="xl96"/>
    <w:basedOn w:val="Normal"/>
    <w:rsid w:val="006475EF"/>
    <w:pPr>
      <w:widowControl/>
      <w:pBdr>
        <w:left w:val="single" w:sz="4" w:space="0" w:color="auto"/>
        <w:right w:val="single" w:sz="4" w:space="0" w:color="auto"/>
      </w:pBdr>
      <w:spacing w:before="100" w:beforeAutospacing="1" w:after="100" w:afterAutospacing="1"/>
      <w:textAlignment w:val="top"/>
    </w:pPr>
    <w:rPr>
      <w:rFonts w:eastAsia="Arial Unicode MS"/>
      <w:sz w:val="14"/>
      <w:szCs w:val="14"/>
      <w:lang w:val="es-ES"/>
    </w:rPr>
  </w:style>
  <w:style w:type="table" w:styleId="Tablaconcuadrcula">
    <w:name w:val="Table Grid"/>
    <w:basedOn w:val="Tablanormal"/>
    <w:uiPriority w:val="59"/>
    <w:rsid w:val="006475EF"/>
    <w:pPr>
      <w:spacing w:after="0" w:line="240" w:lineRule="auto"/>
    </w:pPr>
    <w:rPr>
      <w:rFonts w:eastAsia="Times New Roman" w:cs="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75EF"/>
    <w:pPr>
      <w:spacing w:after="0" w:line="240" w:lineRule="auto"/>
    </w:pPr>
    <w:rPr>
      <w:rFonts w:ascii="Calibri" w:eastAsia="Times New Roman" w:hAnsi="Calibri" w:cs="Times New Roman"/>
      <w:sz w:val="22"/>
      <w:lang w:val="es-ES"/>
    </w:rPr>
  </w:style>
  <w:style w:type="character" w:customStyle="1" w:styleId="SinespaciadoCar">
    <w:name w:val="Sin espaciado Car"/>
    <w:basedOn w:val="Fuentedeprrafopredeter"/>
    <w:link w:val="Sinespaciado"/>
    <w:uiPriority w:val="1"/>
    <w:rsid w:val="006475EF"/>
    <w:rPr>
      <w:rFonts w:ascii="Calibri" w:eastAsia="Times New Roman" w:hAnsi="Calibri" w:cs="Times New Roman"/>
      <w:sz w:val="22"/>
      <w:lang w:val="es-ES"/>
    </w:rPr>
  </w:style>
  <w:style w:type="paragraph" w:customStyle="1" w:styleId="Default">
    <w:name w:val="Default"/>
    <w:rsid w:val="006475EF"/>
    <w:pPr>
      <w:autoSpaceDE w:val="0"/>
      <w:autoSpaceDN w:val="0"/>
      <w:adjustRightInd w:val="0"/>
      <w:spacing w:after="0" w:line="240" w:lineRule="auto"/>
    </w:pPr>
    <w:rPr>
      <w:rFonts w:ascii="Helvetica" w:eastAsia="Times New Roman" w:hAnsi="Helvetica" w:cs="Helvetica"/>
      <w:color w:val="000000"/>
      <w:szCs w:val="24"/>
      <w:lang w:eastAsia="es-GT"/>
    </w:rPr>
  </w:style>
  <w:style w:type="paragraph" w:styleId="Asuntodelcomentario">
    <w:name w:val="annotation subject"/>
    <w:basedOn w:val="Textocomentario"/>
    <w:next w:val="Textocomentario"/>
    <w:link w:val="AsuntodelcomentarioCar"/>
    <w:uiPriority w:val="99"/>
    <w:rsid w:val="006475EF"/>
    <w:rPr>
      <w:b/>
      <w:bCs/>
    </w:rPr>
  </w:style>
  <w:style w:type="character" w:customStyle="1" w:styleId="AsuntodelcomentarioCar">
    <w:name w:val="Asunto del comentario Car"/>
    <w:basedOn w:val="TextocomentarioCar"/>
    <w:link w:val="Asuntodelcomentario"/>
    <w:uiPriority w:val="99"/>
    <w:rsid w:val="006475EF"/>
    <w:rPr>
      <w:rFonts w:eastAsia="Times New Roman" w:cs="Times New Roman"/>
      <w:b/>
      <w:bCs/>
      <w:sz w:val="20"/>
      <w:szCs w:val="20"/>
      <w:lang w:val="es-ES_tradnl" w:eastAsia="es-ES"/>
    </w:rPr>
  </w:style>
  <w:style w:type="character" w:styleId="Hipervnculo">
    <w:name w:val="Hyperlink"/>
    <w:basedOn w:val="Fuentedeprrafopredeter"/>
    <w:uiPriority w:val="99"/>
    <w:rsid w:val="006475EF"/>
    <w:rPr>
      <w:color w:val="0000FF"/>
      <w:u w:val="single"/>
    </w:rPr>
  </w:style>
  <w:style w:type="paragraph" w:styleId="Prrafodelista">
    <w:name w:val="List Paragraph"/>
    <w:aliases w:val="Párrafo de lista 2"/>
    <w:basedOn w:val="Normal"/>
    <w:link w:val="PrrafodelistaCar"/>
    <w:uiPriority w:val="34"/>
    <w:qFormat/>
    <w:rsid w:val="006475EF"/>
    <w:pPr>
      <w:ind w:left="720"/>
      <w:contextualSpacing/>
    </w:pPr>
  </w:style>
  <w:style w:type="numbering" w:customStyle="1" w:styleId="Estilo1">
    <w:name w:val="Estilo1"/>
    <w:uiPriority w:val="99"/>
    <w:rsid w:val="006475EF"/>
    <w:pPr>
      <w:numPr>
        <w:numId w:val="1"/>
      </w:numPr>
    </w:pPr>
  </w:style>
  <w:style w:type="numbering" w:customStyle="1" w:styleId="Estilo2">
    <w:name w:val="Estilo2"/>
    <w:uiPriority w:val="99"/>
    <w:rsid w:val="006475EF"/>
    <w:pPr>
      <w:numPr>
        <w:numId w:val="2"/>
      </w:numPr>
    </w:pPr>
  </w:style>
  <w:style w:type="paragraph" w:styleId="Textonotapie">
    <w:name w:val="footnote text"/>
    <w:aliases w:val="ft,ft Car,ft Car Car,Texto nota pie2,ft1,ft Car Car Car1,Texto nota pie Car2,ft Car Car2,ft Car Car Car,fn,single space,footnote text,FOOTNOTES,Texto nota pie IIRSA,foottextfra,footnote,F,Char,Footnote Text Char2,Footnote Text Char1 Char1"/>
    <w:basedOn w:val="Normal"/>
    <w:link w:val="TextonotapieCar"/>
    <w:uiPriority w:val="99"/>
    <w:rsid w:val="000A36AF"/>
  </w:style>
  <w:style w:type="character" w:customStyle="1" w:styleId="TextonotapieCar">
    <w:name w:val="Texto nota pie Car"/>
    <w:aliases w:val="ft Car2,ft Car Car3,ft Car Car Car3,Texto nota pie2 Car1,ft1 Car1,ft Car Car Car1 Car1,Texto nota pie Car2 Car1,ft Car Car2 Car1,ft Car Car Car Car1,fn Car1,single space Car1,footnote text Car1,FOOTNOTES Car1,Texto nota pie IIRSA Car1"/>
    <w:basedOn w:val="Fuentedeprrafopredeter"/>
    <w:link w:val="Textonotapie"/>
    <w:uiPriority w:val="99"/>
    <w:rsid w:val="000A36AF"/>
    <w:rPr>
      <w:rFonts w:eastAsia="Times New Roman" w:cs="Times New Roman"/>
      <w:sz w:val="20"/>
      <w:szCs w:val="20"/>
      <w:lang w:val="es-ES_tradnl" w:eastAsia="es-ES"/>
    </w:rPr>
  </w:style>
  <w:style w:type="character" w:styleId="Refdenotaalpie">
    <w:name w:val="footnote reference"/>
    <w:aliases w:val="ftref,16 Point,Superscript 6 Point,fr,Footnote Reference Number,Footnote Reference_LVL6,Footnote Reference_LVL61,Footnote Reference_LVL62,Footnote Reference_LVL63,Footnote Reference_LVL64,SUPERS,EN Footnote Reference,number"/>
    <w:basedOn w:val="Fuentedeprrafopredeter"/>
    <w:uiPriority w:val="99"/>
    <w:rsid w:val="000A36AF"/>
    <w:rPr>
      <w:vertAlign w:val="superscript"/>
    </w:rPr>
  </w:style>
  <w:style w:type="character" w:styleId="Hipervnculovisitado">
    <w:name w:val="FollowedHyperlink"/>
    <w:basedOn w:val="Fuentedeprrafopredeter"/>
    <w:uiPriority w:val="99"/>
    <w:semiHidden/>
    <w:unhideWhenUsed/>
    <w:rsid w:val="00442A3E"/>
    <w:rPr>
      <w:color w:val="800080"/>
      <w:u w:val="single"/>
    </w:rPr>
  </w:style>
  <w:style w:type="paragraph" w:customStyle="1" w:styleId="xl57">
    <w:name w:val="xl57"/>
    <w:basedOn w:val="Normal"/>
    <w:rsid w:val="00442A3E"/>
    <w:pPr>
      <w:widowControl/>
      <w:pBdr>
        <w:left w:val="single" w:sz="8" w:space="0" w:color="auto"/>
        <w:right w:val="single" w:sz="8" w:space="0" w:color="auto"/>
      </w:pBdr>
      <w:spacing w:before="100" w:beforeAutospacing="1" w:after="100" w:afterAutospacing="1"/>
      <w:textAlignment w:val="top"/>
    </w:pPr>
    <w:rPr>
      <w:color w:val="000000"/>
      <w:sz w:val="16"/>
      <w:szCs w:val="16"/>
      <w:lang w:val="es-GT" w:eastAsia="es-GT"/>
    </w:rPr>
  </w:style>
  <w:style w:type="paragraph" w:customStyle="1" w:styleId="xl58">
    <w:name w:val="xl58"/>
    <w:basedOn w:val="Normal"/>
    <w:rsid w:val="00442A3E"/>
    <w:pPr>
      <w:widowControl/>
      <w:pBdr>
        <w:left w:val="single" w:sz="8" w:space="0" w:color="auto"/>
        <w:bottom w:val="double" w:sz="6"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59">
    <w:name w:val="xl59"/>
    <w:basedOn w:val="Normal"/>
    <w:rsid w:val="00442A3E"/>
    <w:pPr>
      <w:widowControl/>
      <w:pBdr>
        <w:left w:val="single" w:sz="8" w:space="0" w:color="auto"/>
        <w:bottom w:val="double" w:sz="6" w:space="0" w:color="auto"/>
        <w:right w:val="single" w:sz="8" w:space="0" w:color="auto"/>
      </w:pBdr>
      <w:spacing w:before="100" w:beforeAutospacing="1" w:after="100" w:afterAutospacing="1"/>
      <w:jc w:val="right"/>
    </w:pPr>
    <w:rPr>
      <w:sz w:val="16"/>
      <w:szCs w:val="16"/>
      <w:lang w:val="es-GT" w:eastAsia="es-GT"/>
    </w:rPr>
  </w:style>
  <w:style w:type="paragraph" w:customStyle="1" w:styleId="xl61">
    <w:name w:val="xl61"/>
    <w:basedOn w:val="Normal"/>
    <w:rsid w:val="00442A3E"/>
    <w:pPr>
      <w:widowControl/>
      <w:pBdr>
        <w:left w:val="single" w:sz="8" w:space="0" w:color="auto"/>
        <w:right w:val="double" w:sz="6" w:space="0" w:color="auto"/>
      </w:pBdr>
      <w:spacing w:before="100" w:beforeAutospacing="1" w:after="100" w:afterAutospacing="1"/>
      <w:jc w:val="center"/>
    </w:pPr>
    <w:rPr>
      <w:color w:val="000000"/>
      <w:sz w:val="16"/>
      <w:szCs w:val="16"/>
      <w:lang w:val="es-GT" w:eastAsia="es-GT"/>
    </w:rPr>
  </w:style>
  <w:style w:type="paragraph" w:customStyle="1" w:styleId="xl62">
    <w:name w:val="xl62"/>
    <w:basedOn w:val="Normal"/>
    <w:rsid w:val="00442A3E"/>
    <w:pPr>
      <w:widowControl/>
      <w:pBdr>
        <w:left w:val="single" w:sz="8" w:space="0" w:color="auto"/>
        <w:right w:val="double" w:sz="6" w:space="0" w:color="auto"/>
      </w:pBdr>
      <w:spacing w:before="100" w:beforeAutospacing="1" w:after="100" w:afterAutospacing="1"/>
      <w:jc w:val="center"/>
    </w:pPr>
    <w:rPr>
      <w:b/>
      <w:bCs/>
      <w:sz w:val="16"/>
      <w:szCs w:val="16"/>
      <w:lang w:val="es-GT" w:eastAsia="es-GT"/>
    </w:rPr>
  </w:style>
  <w:style w:type="paragraph" w:customStyle="1" w:styleId="xl63">
    <w:name w:val="xl63"/>
    <w:basedOn w:val="Normal"/>
    <w:rsid w:val="00442A3E"/>
    <w:pPr>
      <w:widowControl/>
      <w:pBdr>
        <w:left w:val="single" w:sz="8"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64">
    <w:name w:val="xl64"/>
    <w:basedOn w:val="Normal"/>
    <w:rsid w:val="00442A3E"/>
    <w:pPr>
      <w:widowControl/>
      <w:pBdr>
        <w:left w:val="single" w:sz="8" w:space="0" w:color="auto"/>
        <w:right w:val="double" w:sz="6" w:space="0" w:color="auto"/>
      </w:pBdr>
      <w:spacing w:before="100" w:beforeAutospacing="1" w:after="100" w:afterAutospacing="1"/>
      <w:jc w:val="center"/>
      <w:textAlignment w:val="top"/>
    </w:pPr>
    <w:rPr>
      <w:sz w:val="16"/>
      <w:szCs w:val="16"/>
      <w:lang w:val="es-GT" w:eastAsia="es-GT"/>
    </w:rPr>
  </w:style>
  <w:style w:type="paragraph" w:customStyle="1" w:styleId="xl65">
    <w:name w:val="xl65"/>
    <w:basedOn w:val="Normal"/>
    <w:rsid w:val="00442A3E"/>
    <w:pPr>
      <w:widowControl/>
      <w:pBdr>
        <w:left w:val="single" w:sz="8" w:space="0" w:color="auto"/>
        <w:right w:val="single" w:sz="8" w:space="0" w:color="auto"/>
      </w:pBdr>
      <w:spacing w:before="100" w:beforeAutospacing="1" w:after="100" w:afterAutospacing="1"/>
      <w:jc w:val="center"/>
      <w:textAlignment w:val="top"/>
    </w:pPr>
    <w:rPr>
      <w:b/>
      <w:bCs/>
      <w:sz w:val="16"/>
      <w:szCs w:val="16"/>
      <w:lang w:val="es-GT" w:eastAsia="es-GT"/>
    </w:rPr>
  </w:style>
  <w:style w:type="paragraph" w:customStyle="1" w:styleId="xl66">
    <w:name w:val="xl66"/>
    <w:basedOn w:val="Normal"/>
    <w:rsid w:val="00442A3E"/>
    <w:pPr>
      <w:widowControl/>
      <w:pBdr>
        <w:left w:val="single" w:sz="8" w:space="0" w:color="auto"/>
        <w:right w:val="double" w:sz="6" w:space="0" w:color="auto"/>
      </w:pBdr>
      <w:spacing w:before="100" w:beforeAutospacing="1" w:after="100" w:afterAutospacing="1"/>
      <w:jc w:val="center"/>
      <w:textAlignment w:val="top"/>
    </w:pPr>
    <w:rPr>
      <w:b/>
      <w:bCs/>
      <w:sz w:val="16"/>
      <w:szCs w:val="16"/>
      <w:lang w:val="es-GT" w:eastAsia="es-GT"/>
    </w:rPr>
  </w:style>
  <w:style w:type="paragraph" w:customStyle="1" w:styleId="xl67">
    <w:name w:val="xl67"/>
    <w:basedOn w:val="Normal"/>
    <w:rsid w:val="00442A3E"/>
    <w:pPr>
      <w:widowControl/>
      <w:pBdr>
        <w:left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68">
    <w:name w:val="xl68"/>
    <w:basedOn w:val="Normal"/>
    <w:rsid w:val="00442A3E"/>
    <w:pPr>
      <w:widowControl/>
      <w:pBdr>
        <w:left w:val="single" w:sz="8" w:space="0" w:color="auto"/>
        <w:bottom w:val="double" w:sz="6" w:space="0" w:color="auto"/>
        <w:right w:val="single" w:sz="8" w:space="0" w:color="auto"/>
      </w:pBdr>
      <w:spacing w:before="100" w:beforeAutospacing="1" w:after="100" w:afterAutospacing="1"/>
    </w:pPr>
    <w:rPr>
      <w:sz w:val="16"/>
      <w:szCs w:val="16"/>
      <w:lang w:val="es-GT" w:eastAsia="es-GT"/>
    </w:rPr>
  </w:style>
  <w:style w:type="paragraph" w:customStyle="1" w:styleId="xl69">
    <w:name w:val="xl69"/>
    <w:basedOn w:val="Normal"/>
    <w:rsid w:val="00442A3E"/>
    <w:pPr>
      <w:widowControl/>
      <w:pBdr>
        <w:left w:val="single" w:sz="8" w:space="0" w:color="auto"/>
        <w:bottom w:val="double" w:sz="6" w:space="0" w:color="auto"/>
        <w:right w:val="double" w:sz="6" w:space="0" w:color="auto"/>
      </w:pBdr>
      <w:spacing w:before="100" w:beforeAutospacing="1" w:after="100" w:afterAutospacing="1"/>
      <w:jc w:val="center"/>
    </w:pPr>
    <w:rPr>
      <w:sz w:val="16"/>
      <w:szCs w:val="16"/>
      <w:lang w:val="es-GT" w:eastAsia="es-GT"/>
    </w:rPr>
  </w:style>
  <w:style w:type="paragraph" w:customStyle="1" w:styleId="xl70">
    <w:name w:val="xl70"/>
    <w:basedOn w:val="Normal"/>
    <w:rsid w:val="00442A3E"/>
    <w:pPr>
      <w:widowControl/>
      <w:pBdr>
        <w:left w:val="double" w:sz="6"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71">
    <w:name w:val="xl71"/>
    <w:basedOn w:val="Normal"/>
    <w:rsid w:val="00442A3E"/>
    <w:pPr>
      <w:widowControl/>
      <w:pBdr>
        <w:left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72">
    <w:name w:val="xl72"/>
    <w:basedOn w:val="Normal"/>
    <w:rsid w:val="00442A3E"/>
    <w:pPr>
      <w:widowControl/>
      <w:pBdr>
        <w:left w:val="double" w:sz="6" w:space="0" w:color="auto"/>
        <w:right w:val="single" w:sz="8" w:space="0" w:color="auto"/>
      </w:pBdr>
      <w:spacing w:before="100" w:beforeAutospacing="1" w:after="100" w:afterAutospacing="1"/>
    </w:pPr>
    <w:rPr>
      <w:b/>
      <w:bCs/>
      <w:sz w:val="16"/>
      <w:szCs w:val="16"/>
      <w:lang w:val="es-GT" w:eastAsia="es-GT"/>
    </w:rPr>
  </w:style>
  <w:style w:type="paragraph" w:customStyle="1" w:styleId="xl73">
    <w:name w:val="xl73"/>
    <w:basedOn w:val="Normal"/>
    <w:rsid w:val="00442A3E"/>
    <w:pPr>
      <w:widowControl/>
      <w:pBdr>
        <w:left w:val="single" w:sz="8" w:space="0" w:color="auto"/>
        <w:right w:val="single" w:sz="8" w:space="0" w:color="auto"/>
      </w:pBdr>
      <w:spacing w:before="100" w:beforeAutospacing="1" w:after="100" w:afterAutospacing="1"/>
      <w:textAlignment w:val="top"/>
    </w:pPr>
    <w:rPr>
      <w:sz w:val="16"/>
      <w:szCs w:val="16"/>
      <w:lang w:val="es-GT" w:eastAsia="es-GT"/>
    </w:rPr>
  </w:style>
  <w:style w:type="paragraph" w:customStyle="1" w:styleId="xl74">
    <w:name w:val="xl74"/>
    <w:basedOn w:val="Normal"/>
    <w:rsid w:val="00442A3E"/>
    <w:pPr>
      <w:widowControl/>
      <w:pBdr>
        <w:left w:val="single" w:sz="8" w:space="0" w:color="auto"/>
        <w:right w:val="double" w:sz="6" w:space="0" w:color="auto"/>
      </w:pBdr>
      <w:spacing w:before="100" w:beforeAutospacing="1" w:after="100" w:afterAutospacing="1"/>
    </w:pPr>
    <w:rPr>
      <w:sz w:val="24"/>
      <w:szCs w:val="24"/>
      <w:lang w:val="es-GT" w:eastAsia="es-GT"/>
    </w:rPr>
  </w:style>
  <w:style w:type="paragraph" w:customStyle="1" w:styleId="xl75">
    <w:name w:val="xl75"/>
    <w:basedOn w:val="Normal"/>
    <w:rsid w:val="00442A3E"/>
    <w:pPr>
      <w:widowControl/>
      <w:pBdr>
        <w:left w:val="single" w:sz="8" w:space="0" w:color="auto"/>
      </w:pBdr>
      <w:spacing w:before="100" w:beforeAutospacing="1" w:after="100" w:afterAutospacing="1"/>
    </w:pPr>
    <w:rPr>
      <w:b/>
      <w:bCs/>
      <w:color w:val="000000"/>
      <w:sz w:val="16"/>
      <w:szCs w:val="16"/>
      <w:lang w:val="es-GT" w:eastAsia="es-GT"/>
    </w:rPr>
  </w:style>
  <w:style w:type="paragraph" w:customStyle="1" w:styleId="xl76">
    <w:name w:val="xl76"/>
    <w:basedOn w:val="Normal"/>
    <w:rsid w:val="00442A3E"/>
    <w:pPr>
      <w:widowControl/>
      <w:pBdr>
        <w:lef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77">
    <w:name w:val="xl77"/>
    <w:basedOn w:val="Normal"/>
    <w:rsid w:val="008764A0"/>
    <w:pPr>
      <w:widowControl/>
      <w:pBdr>
        <w:left w:val="double" w:sz="6" w:space="0" w:color="auto"/>
        <w:right w:val="single" w:sz="8" w:space="0" w:color="auto"/>
      </w:pBdr>
      <w:spacing w:before="100" w:beforeAutospacing="1" w:after="100" w:afterAutospacing="1"/>
    </w:pPr>
    <w:rPr>
      <w:color w:val="000000"/>
      <w:sz w:val="16"/>
      <w:szCs w:val="16"/>
      <w:lang w:val="es-GT" w:eastAsia="es-GT"/>
    </w:rPr>
  </w:style>
  <w:style w:type="paragraph" w:customStyle="1" w:styleId="xl78">
    <w:name w:val="xl78"/>
    <w:basedOn w:val="Normal"/>
    <w:rsid w:val="008764A0"/>
    <w:pPr>
      <w:widowControl/>
      <w:pBdr>
        <w:left w:val="single" w:sz="8" w:space="0" w:color="auto"/>
        <w:right w:val="single" w:sz="8" w:space="0" w:color="auto"/>
      </w:pBdr>
      <w:spacing w:before="100" w:beforeAutospacing="1" w:after="100" w:afterAutospacing="1"/>
    </w:pPr>
    <w:rPr>
      <w:color w:val="000000"/>
      <w:sz w:val="16"/>
      <w:szCs w:val="16"/>
      <w:lang w:val="es-GT" w:eastAsia="es-GT"/>
    </w:rPr>
  </w:style>
  <w:style w:type="paragraph" w:customStyle="1" w:styleId="xl79">
    <w:name w:val="xl79"/>
    <w:basedOn w:val="Normal"/>
    <w:rsid w:val="008764A0"/>
    <w:pPr>
      <w:widowControl/>
      <w:pBdr>
        <w:left w:val="single" w:sz="8" w:space="0" w:color="auto"/>
        <w:right w:val="double" w:sz="6" w:space="0" w:color="auto"/>
      </w:pBdr>
      <w:spacing w:before="100" w:beforeAutospacing="1" w:after="100" w:afterAutospacing="1"/>
    </w:pPr>
    <w:rPr>
      <w:color w:val="000000"/>
      <w:sz w:val="16"/>
      <w:szCs w:val="16"/>
      <w:lang w:val="es-GT" w:eastAsia="es-GT"/>
    </w:rPr>
  </w:style>
  <w:style w:type="paragraph" w:customStyle="1" w:styleId="xl80">
    <w:name w:val="xl80"/>
    <w:basedOn w:val="Normal"/>
    <w:rsid w:val="008764A0"/>
    <w:pPr>
      <w:widowControl/>
      <w:pBdr>
        <w:left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81">
    <w:name w:val="xl81"/>
    <w:basedOn w:val="Normal"/>
    <w:rsid w:val="008764A0"/>
    <w:pPr>
      <w:widowControl/>
      <w:pBdr>
        <w:left w:val="single" w:sz="8" w:space="0" w:color="auto"/>
        <w:right w:val="single" w:sz="8" w:space="0" w:color="auto"/>
      </w:pBdr>
      <w:spacing w:before="100" w:beforeAutospacing="1" w:after="100" w:afterAutospacing="1"/>
      <w:jc w:val="center"/>
      <w:textAlignment w:val="top"/>
    </w:pPr>
    <w:rPr>
      <w:b/>
      <w:bCs/>
      <w:color w:val="000000"/>
      <w:sz w:val="16"/>
      <w:szCs w:val="16"/>
      <w:lang w:val="es-GT" w:eastAsia="es-GT"/>
    </w:rPr>
  </w:style>
  <w:style w:type="paragraph" w:customStyle="1" w:styleId="xl82">
    <w:name w:val="xl82"/>
    <w:basedOn w:val="Normal"/>
    <w:rsid w:val="008764A0"/>
    <w:pPr>
      <w:widowControl/>
      <w:pBdr>
        <w:left w:val="double" w:sz="6" w:space="0" w:color="auto"/>
        <w:right w:val="single" w:sz="8" w:space="0" w:color="auto"/>
      </w:pBdr>
      <w:spacing w:before="100" w:beforeAutospacing="1" w:after="100" w:afterAutospacing="1"/>
    </w:pPr>
    <w:rPr>
      <w:sz w:val="24"/>
      <w:szCs w:val="24"/>
      <w:lang w:val="es-GT" w:eastAsia="es-GT"/>
    </w:rPr>
  </w:style>
  <w:style w:type="paragraph" w:customStyle="1" w:styleId="xl83">
    <w:name w:val="xl83"/>
    <w:basedOn w:val="Normal"/>
    <w:rsid w:val="008764A0"/>
    <w:pPr>
      <w:widowControl/>
      <w:pBdr>
        <w:left w:val="single" w:sz="8" w:space="0" w:color="auto"/>
        <w:right w:val="single" w:sz="8" w:space="0" w:color="auto"/>
      </w:pBdr>
      <w:spacing w:before="100" w:beforeAutospacing="1" w:after="100" w:afterAutospacing="1"/>
    </w:pPr>
    <w:rPr>
      <w:b/>
      <w:bCs/>
      <w:color w:val="000000"/>
      <w:sz w:val="16"/>
      <w:szCs w:val="16"/>
      <w:lang w:val="es-GT" w:eastAsia="es-GT"/>
    </w:rPr>
  </w:style>
  <w:style w:type="paragraph" w:customStyle="1" w:styleId="xl84">
    <w:name w:val="xl84"/>
    <w:basedOn w:val="Normal"/>
    <w:rsid w:val="008764A0"/>
    <w:pPr>
      <w:widowControl/>
      <w:pBdr>
        <w:left w:val="single" w:sz="8" w:space="0" w:color="auto"/>
        <w:righ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85">
    <w:name w:val="xl85"/>
    <w:basedOn w:val="Normal"/>
    <w:rsid w:val="008764A0"/>
    <w:pPr>
      <w:widowControl/>
      <w:pBdr>
        <w:left w:val="single" w:sz="8" w:space="0" w:color="auto"/>
        <w:bottom w:val="double" w:sz="6"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86">
    <w:name w:val="xl86"/>
    <w:basedOn w:val="Normal"/>
    <w:rsid w:val="008764A0"/>
    <w:pPr>
      <w:widowControl/>
      <w:pBdr>
        <w:left w:val="single" w:sz="8" w:space="0" w:color="auto"/>
        <w:bottom w:val="double" w:sz="6" w:space="0" w:color="auto"/>
        <w:right w:val="single" w:sz="8" w:space="0" w:color="auto"/>
      </w:pBdr>
      <w:spacing w:before="100" w:beforeAutospacing="1" w:after="100" w:afterAutospacing="1"/>
      <w:jc w:val="right"/>
    </w:pPr>
    <w:rPr>
      <w:sz w:val="16"/>
      <w:szCs w:val="16"/>
      <w:lang w:val="es-GT" w:eastAsia="es-GT"/>
    </w:rPr>
  </w:style>
  <w:style w:type="paragraph" w:customStyle="1" w:styleId="xl87">
    <w:name w:val="xl87"/>
    <w:basedOn w:val="Normal"/>
    <w:rsid w:val="008764A0"/>
    <w:pPr>
      <w:widowControl/>
      <w:pBdr>
        <w:left w:val="single" w:sz="8" w:space="0" w:color="auto"/>
        <w:right w:val="single" w:sz="8" w:space="0" w:color="auto"/>
      </w:pBdr>
      <w:spacing w:before="100" w:beforeAutospacing="1" w:after="100" w:afterAutospacing="1"/>
    </w:pPr>
    <w:rPr>
      <w:b/>
      <w:bCs/>
      <w:sz w:val="16"/>
      <w:szCs w:val="16"/>
      <w:lang w:val="es-GT" w:eastAsia="es-GT"/>
    </w:rPr>
  </w:style>
  <w:style w:type="paragraph" w:customStyle="1" w:styleId="xl88">
    <w:name w:val="xl88"/>
    <w:basedOn w:val="Normal"/>
    <w:rsid w:val="008764A0"/>
    <w:pPr>
      <w:widowControl/>
      <w:pBdr>
        <w:left w:val="single" w:sz="8" w:space="0" w:color="auto"/>
        <w:right w:val="double" w:sz="6" w:space="0" w:color="auto"/>
      </w:pBdr>
      <w:spacing w:before="100" w:beforeAutospacing="1" w:after="100" w:afterAutospacing="1"/>
      <w:jc w:val="center"/>
    </w:pPr>
    <w:rPr>
      <w:color w:val="000000"/>
      <w:sz w:val="16"/>
      <w:szCs w:val="16"/>
      <w:lang w:val="es-GT" w:eastAsia="es-GT"/>
    </w:rPr>
  </w:style>
  <w:style w:type="paragraph" w:customStyle="1" w:styleId="xl89">
    <w:name w:val="xl89"/>
    <w:basedOn w:val="Normal"/>
    <w:rsid w:val="008764A0"/>
    <w:pPr>
      <w:widowControl/>
      <w:pBdr>
        <w:left w:val="single" w:sz="8" w:space="0" w:color="auto"/>
        <w:right w:val="double" w:sz="6" w:space="0" w:color="auto"/>
      </w:pBdr>
      <w:spacing w:before="100" w:beforeAutospacing="1" w:after="100" w:afterAutospacing="1"/>
      <w:jc w:val="center"/>
    </w:pPr>
    <w:rPr>
      <w:b/>
      <w:bCs/>
      <w:sz w:val="16"/>
      <w:szCs w:val="16"/>
      <w:lang w:val="es-GT" w:eastAsia="es-GT"/>
    </w:rPr>
  </w:style>
  <w:style w:type="paragraph" w:customStyle="1" w:styleId="xl90">
    <w:name w:val="xl90"/>
    <w:basedOn w:val="Normal"/>
    <w:rsid w:val="008764A0"/>
    <w:pPr>
      <w:widowControl/>
      <w:pBdr>
        <w:left w:val="single" w:sz="8" w:space="0" w:color="auto"/>
        <w:right w:val="single" w:sz="8" w:space="0" w:color="auto"/>
      </w:pBdr>
      <w:spacing w:before="100" w:beforeAutospacing="1" w:after="100" w:afterAutospacing="1"/>
      <w:jc w:val="center"/>
      <w:textAlignment w:val="top"/>
    </w:pPr>
    <w:rPr>
      <w:sz w:val="16"/>
      <w:szCs w:val="16"/>
      <w:lang w:val="es-GT" w:eastAsia="es-GT"/>
    </w:rPr>
  </w:style>
  <w:style w:type="paragraph" w:customStyle="1" w:styleId="xl91">
    <w:name w:val="xl91"/>
    <w:basedOn w:val="Normal"/>
    <w:rsid w:val="008764A0"/>
    <w:pPr>
      <w:widowControl/>
      <w:pBdr>
        <w:left w:val="single" w:sz="8" w:space="0" w:color="auto"/>
        <w:right w:val="double" w:sz="6" w:space="0" w:color="auto"/>
      </w:pBdr>
      <w:spacing w:before="100" w:beforeAutospacing="1" w:after="100" w:afterAutospacing="1"/>
      <w:jc w:val="center"/>
      <w:textAlignment w:val="top"/>
    </w:pPr>
    <w:rPr>
      <w:sz w:val="16"/>
      <w:szCs w:val="16"/>
      <w:lang w:val="es-GT" w:eastAsia="es-GT"/>
    </w:rPr>
  </w:style>
  <w:style w:type="paragraph" w:customStyle="1" w:styleId="xl92">
    <w:name w:val="xl92"/>
    <w:basedOn w:val="Normal"/>
    <w:rsid w:val="008764A0"/>
    <w:pPr>
      <w:widowControl/>
      <w:pBdr>
        <w:left w:val="single" w:sz="8" w:space="0" w:color="auto"/>
        <w:right w:val="single" w:sz="8" w:space="0" w:color="auto"/>
      </w:pBdr>
      <w:spacing w:before="100" w:beforeAutospacing="1" w:after="100" w:afterAutospacing="1"/>
      <w:jc w:val="center"/>
      <w:textAlignment w:val="top"/>
    </w:pPr>
    <w:rPr>
      <w:b/>
      <w:bCs/>
      <w:sz w:val="16"/>
      <w:szCs w:val="16"/>
      <w:lang w:val="es-GT" w:eastAsia="es-GT"/>
    </w:rPr>
  </w:style>
  <w:style w:type="paragraph" w:customStyle="1" w:styleId="xl93">
    <w:name w:val="xl93"/>
    <w:basedOn w:val="Normal"/>
    <w:rsid w:val="008764A0"/>
    <w:pPr>
      <w:widowControl/>
      <w:pBdr>
        <w:left w:val="single" w:sz="8" w:space="0" w:color="auto"/>
        <w:right w:val="double" w:sz="6" w:space="0" w:color="auto"/>
      </w:pBdr>
      <w:spacing w:before="100" w:beforeAutospacing="1" w:after="100" w:afterAutospacing="1"/>
      <w:jc w:val="center"/>
      <w:textAlignment w:val="top"/>
    </w:pPr>
    <w:rPr>
      <w:b/>
      <w:bCs/>
      <w:sz w:val="16"/>
      <w:szCs w:val="16"/>
      <w:lang w:val="es-GT" w:eastAsia="es-GT"/>
    </w:rPr>
  </w:style>
  <w:style w:type="paragraph" w:customStyle="1" w:styleId="xl94">
    <w:name w:val="xl94"/>
    <w:basedOn w:val="Normal"/>
    <w:rsid w:val="008764A0"/>
    <w:pPr>
      <w:widowControl/>
      <w:pBdr>
        <w:left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95">
    <w:name w:val="xl95"/>
    <w:basedOn w:val="Normal"/>
    <w:rsid w:val="008764A0"/>
    <w:pPr>
      <w:widowControl/>
      <w:pBdr>
        <w:left w:val="single" w:sz="8" w:space="0" w:color="auto"/>
        <w:bottom w:val="double" w:sz="6" w:space="0" w:color="auto"/>
        <w:right w:val="double" w:sz="6" w:space="0" w:color="auto"/>
      </w:pBdr>
      <w:spacing w:before="100" w:beforeAutospacing="1" w:after="100" w:afterAutospacing="1"/>
      <w:jc w:val="center"/>
    </w:pPr>
    <w:rPr>
      <w:sz w:val="16"/>
      <w:szCs w:val="16"/>
      <w:lang w:val="es-GT" w:eastAsia="es-GT"/>
    </w:rPr>
  </w:style>
  <w:style w:type="paragraph" w:customStyle="1" w:styleId="xl97">
    <w:name w:val="xl97"/>
    <w:basedOn w:val="Normal"/>
    <w:rsid w:val="008764A0"/>
    <w:pPr>
      <w:widowControl/>
      <w:pBdr>
        <w:left w:val="single" w:sz="8" w:space="0" w:color="auto"/>
        <w:right w:val="single" w:sz="8" w:space="0" w:color="auto"/>
      </w:pBdr>
      <w:spacing w:before="100" w:beforeAutospacing="1" w:after="100" w:afterAutospacing="1"/>
      <w:textAlignment w:val="top"/>
    </w:pPr>
    <w:rPr>
      <w:sz w:val="16"/>
      <w:szCs w:val="16"/>
      <w:lang w:val="es-GT" w:eastAsia="es-GT"/>
    </w:rPr>
  </w:style>
  <w:style w:type="paragraph" w:customStyle="1" w:styleId="xl98">
    <w:name w:val="xl98"/>
    <w:basedOn w:val="Normal"/>
    <w:rsid w:val="008764A0"/>
    <w:pPr>
      <w:widowControl/>
      <w:pBdr>
        <w:left w:val="single" w:sz="8" w:space="0" w:color="auto"/>
        <w:right w:val="double" w:sz="6" w:space="0" w:color="auto"/>
      </w:pBdr>
      <w:spacing w:before="100" w:beforeAutospacing="1" w:after="100" w:afterAutospacing="1"/>
    </w:pPr>
    <w:rPr>
      <w:sz w:val="24"/>
      <w:szCs w:val="24"/>
      <w:lang w:val="es-GT" w:eastAsia="es-GT"/>
    </w:rPr>
  </w:style>
  <w:style w:type="paragraph" w:customStyle="1" w:styleId="xl99">
    <w:name w:val="xl99"/>
    <w:basedOn w:val="Normal"/>
    <w:rsid w:val="008764A0"/>
    <w:pPr>
      <w:widowControl/>
      <w:pBdr>
        <w:left w:val="single" w:sz="8" w:space="0" w:color="auto"/>
      </w:pBdr>
      <w:spacing w:before="100" w:beforeAutospacing="1" w:after="100" w:afterAutospacing="1"/>
    </w:pPr>
    <w:rPr>
      <w:b/>
      <w:bCs/>
      <w:color w:val="000000"/>
      <w:sz w:val="16"/>
      <w:szCs w:val="16"/>
      <w:lang w:val="es-GT" w:eastAsia="es-GT"/>
    </w:rPr>
  </w:style>
  <w:style w:type="paragraph" w:customStyle="1" w:styleId="xl100">
    <w:name w:val="xl100"/>
    <w:basedOn w:val="Normal"/>
    <w:rsid w:val="008764A0"/>
    <w:pPr>
      <w:widowControl/>
      <w:pBdr>
        <w:lef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101">
    <w:name w:val="xl101"/>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102">
    <w:name w:val="xl102"/>
    <w:basedOn w:val="Normal"/>
    <w:rsid w:val="008764A0"/>
    <w:pPr>
      <w:widowControl/>
      <w:pBdr>
        <w:top w:val="single" w:sz="8" w:space="0" w:color="auto"/>
        <w:left w:val="single" w:sz="8" w:space="0" w:color="auto"/>
        <w:bottom w:val="single" w:sz="8" w:space="0" w:color="auto"/>
        <w:right w:val="double" w:sz="6" w:space="0" w:color="auto"/>
      </w:pBdr>
      <w:spacing w:before="100" w:beforeAutospacing="1" w:after="100" w:afterAutospacing="1"/>
      <w:jc w:val="center"/>
    </w:pPr>
    <w:rPr>
      <w:b/>
      <w:bCs/>
      <w:color w:val="000000"/>
      <w:sz w:val="16"/>
      <w:szCs w:val="16"/>
      <w:lang w:val="es-GT" w:eastAsia="es-GT"/>
    </w:rPr>
  </w:style>
  <w:style w:type="paragraph" w:customStyle="1" w:styleId="xl103">
    <w:name w:val="xl103"/>
    <w:basedOn w:val="Normal"/>
    <w:rsid w:val="008764A0"/>
    <w:pPr>
      <w:widowControl/>
      <w:pBdr>
        <w:left w:val="single" w:sz="8" w:space="0" w:color="auto"/>
        <w:right w:val="single" w:sz="8" w:space="0" w:color="auto"/>
      </w:pBdr>
      <w:spacing w:before="100" w:beforeAutospacing="1" w:after="100" w:afterAutospacing="1"/>
    </w:pPr>
    <w:rPr>
      <w:b/>
      <w:bCs/>
      <w:color w:val="000000"/>
      <w:sz w:val="16"/>
      <w:szCs w:val="16"/>
      <w:lang w:val="es-GT" w:eastAsia="es-GT"/>
    </w:rPr>
  </w:style>
  <w:style w:type="paragraph" w:customStyle="1" w:styleId="xl104">
    <w:name w:val="xl104"/>
    <w:basedOn w:val="Normal"/>
    <w:rsid w:val="008764A0"/>
    <w:pPr>
      <w:widowControl/>
      <w:pBdr>
        <w:left w:val="single" w:sz="8" w:space="0" w:color="auto"/>
        <w:right w:val="single" w:sz="8" w:space="0" w:color="auto"/>
      </w:pBdr>
      <w:spacing w:before="100" w:beforeAutospacing="1" w:after="100" w:afterAutospacing="1"/>
      <w:jc w:val="center"/>
    </w:pPr>
    <w:rPr>
      <w:b/>
      <w:bCs/>
      <w:color w:val="000000"/>
      <w:sz w:val="16"/>
      <w:szCs w:val="16"/>
      <w:lang w:val="es-GT" w:eastAsia="es-GT"/>
    </w:rPr>
  </w:style>
  <w:style w:type="paragraph" w:customStyle="1" w:styleId="xl105">
    <w:name w:val="xl105"/>
    <w:basedOn w:val="Normal"/>
    <w:rsid w:val="008764A0"/>
    <w:pPr>
      <w:widowControl/>
      <w:pBdr>
        <w:left w:val="single" w:sz="8" w:space="0" w:color="auto"/>
        <w:right w:val="single" w:sz="8" w:space="0" w:color="auto"/>
      </w:pBdr>
      <w:spacing w:before="100" w:beforeAutospacing="1" w:after="100" w:afterAutospacing="1"/>
    </w:pPr>
    <w:rPr>
      <w:b/>
      <w:bCs/>
      <w:sz w:val="16"/>
      <w:szCs w:val="16"/>
      <w:lang w:val="es-GT" w:eastAsia="es-GT"/>
    </w:rPr>
  </w:style>
  <w:style w:type="paragraph" w:customStyle="1" w:styleId="xl106">
    <w:name w:val="xl106"/>
    <w:basedOn w:val="Normal"/>
    <w:rsid w:val="008764A0"/>
    <w:pPr>
      <w:widowControl/>
      <w:pBdr>
        <w:left w:val="single" w:sz="8" w:space="0" w:color="auto"/>
        <w:right w:val="single" w:sz="8" w:space="0" w:color="auto"/>
      </w:pBdr>
      <w:spacing w:before="100" w:beforeAutospacing="1" w:after="100" w:afterAutospacing="1"/>
      <w:textAlignment w:val="top"/>
    </w:pPr>
    <w:rPr>
      <w:color w:val="000000"/>
      <w:sz w:val="16"/>
      <w:szCs w:val="16"/>
      <w:lang w:val="es-GT" w:eastAsia="es-GT"/>
    </w:rPr>
  </w:style>
  <w:style w:type="paragraph" w:customStyle="1" w:styleId="xl107">
    <w:name w:val="xl107"/>
    <w:basedOn w:val="Normal"/>
    <w:rsid w:val="008764A0"/>
    <w:pPr>
      <w:widowControl/>
      <w:pBdr>
        <w:left w:val="single" w:sz="8" w:space="0" w:color="auto"/>
        <w:right w:val="single" w:sz="8" w:space="0" w:color="auto"/>
      </w:pBdr>
      <w:spacing w:before="100" w:beforeAutospacing="1" w:after="100" w:afterAutospacing="1"/>
    </w:pPr>
    <w:rPr>
      <w:color w:val="000000"/>
      <w:sz w:val="16"/>
      <w:szCs w:val="16"/>
      <w:lang w:val="es-GT" w:eastAsia="es-GT"/>
    </w:rPr>
  </w:style>
  <w:style w:type="paragraph" w:customStyle="1" w:styleId="xl108">
    <w:name w:val="xl108"/>
    <w:basedOn w:val="Normal"/>
    <w:rsid w:val="008764A0"/>
    <w:pPr>
      <w:widowControl/>
      <w:pBdr>
        <w:left w:val="single" w:sz="8" w:space="0" w:color="auto"/>
        <w:right w:val="single" w:sz="8" w:space="0" w:color="auto"/>
      </w:pBdr>
      <w:spacing w:before="100" w:beforeAutospacing="1" w:after="100" w:afterAutospacing="1"/>
      <w:textAlignment w:val="top"/>
    </w:pPr>
    <w:rPr>
      <w:b/>
      <w:bCs/>
      <w:color w:val="000000"/>
      <w:sz w:val="16"/>
      <w:szCs w:val="16"/>
      <w:lang w:val="es-GT" w:eastAsia="es-GT"/>
    </w:rPr>
  </w:style>
  <w:style w:type="paragraph" w:customStyle="1" w:styleId="xl109">
    <w:name w:val="xl109"/>
    <w:basedOn w:val="Normal"/>
    <w:rsid w:val="008764A0"/>
    <w:pPr>
      <w:widowControl/>
      <w:pBdr>
        <w:left w:val="single" w:sz="8" w:space="0" w:color="auto"/>
        <w:right w:val="single" w:sz="8" w:space="0" w:color="auto"/>
      </w:pBdr>
      <w:spacing w:before="100" w:beforeAutospacing="1" w:after="100" w:afterAutospacing="1"/>
    </w:pPr>
    <w:rPr>
      <w:sz w:val="16"/>
      <w:szCs w:val="16"/>
      <w:lang w:val="es-GT" w:eastAsia="es-GT"/>
    </w:rPr>
  </w:style>
  <w:style w:type="paragraph" w:customStyle="1" w:styleId="xl110">
    <w:name w:val="xl110"/>
    <w:basedOn w:val="Normal"/>
    <w:rsid w:val="008764A0"/>
    <w:pPr>
      <w:widowControl/>
      <w:pBdr>
        <w:left w:val="single" w:sz="8" w:space="0" w:color="auto"/>
        <w:bottom w:val="double" w:sz="6" w:space="0" w:color="auto"/>
        <w:right w:val="single" w:sz="8" w:space="0" w:color="auto"/>
      </w:pBdr>
      <w:spacing w:before="100" w:beforeAutospacing="1" w:after="100" w:afterAutospacing="1"/>
    </w:pPr>
    <w:rPr>
      <w:sz w:val="16"/>
      <w:szCs w:val="16"/>
      <w:lang w:val="es-GT" w:eastAsia="es-GT"/>
    </w:rPr>
  </w:style>
  <w:style w:type="paragraph" w:customStyle="1" w:styleId="xl111">
    <w:name w:val="xl111"/>
    <w:basedOn w:val="Normal"/>
    <w:rsid w:val="008764A0"/>
    <w:pPr>
      <w:widowControl/>
      <w:spacing w:before="100" w:beforeAutospacing="1" w:after="100" w:afterAutospacing="1"/>
    </w:pPr>
    <w:rPr>
      <w:sz w:val="24"/>
      <w:szCs w:val="24"/>
      <w:lang w:val="es-GT" w:eastAsia="es-GT"/>
    </w:rPr>
  </w:style>
  <w:style w:type="paragraph" w:customStyle="1" w:styleId="xl112">
    <w:name w:val="xl112"/>
    <w:basedOn w:val="Normal"/>
    <w:rsid w:val="008764A0"/>
    <w:pPr>
      <w:widowControl/>
      <w:pBdr>
        <w:left w:val="double" w:sz="6"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3">
    <w:name w:val="xl113"/>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4">
    <w:name w:val="xl114"/>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sz w:val="16"/>
      <w:szCs w:val="16"/>
      <w:lang w:val="es-GT" w:eastAsia="es-GT"/>
    </w:rPr>
  </w:style>
  <w:style w:type="paragraph" w:customStyle="1" w:styleId="xl115">
    <w:name w:val="xl115"/>
    <w:basedOn w:val="Normal"/>
    <w:rsid w:val="008764A0"/>
    <w:pPr>
      <w:widowControl/>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val="es-GT" w:eastAsia="es-GT"/>
    </w:rPr>
  </w:style>
  <w:style w:type="paragraph" w:styleId="NormalWeb">
    <w:name w:val="Normal (Web)"/>
    <w:basedOn w:val="Normal"/>
    <w:uiPriority w:val="99"/>
    <w:unhideWhenUsed/>
    <w:rsid w:val="00711BCD"/>
    <w:pPr>
      <w:widowControl/>
      <w:spacing w:before="100" w:beforeAutospacing="1" w:after="100" w:afterAutospacing="1"/>
    </w:pPr>
    <w:rPr>
      <w:sz w:val="24"/>
      <w:szCs w:val="24"/>
      <w:lang w:val="es-GT" w:eastAsia="es-GT"/>
    </w:rPr>
  </w:style>
  <w:style w:type="paragraph" w:customStyle="1" w:styleId="xl116">
    <w:name w:val="xl116"/>
    <w:basedOn w:val="Normal"/>
    <w:rsid w:val="00774E44"/>
    <w:pPr>
      <w:widowControl/>
      <w:pBdr>
        <w:left w:val="single" w:sz="4" w:space="0" w:color="auto"/>
        <w:right w:val="single" w:sz="4" w:space="0" w:color="auto"/>
      </w:pBdr>
      <w:spacing w:before="100" w:beforeAutospacing="1" w:after="100" w:afterAutospacing="1"/>
      <w:jc w:val="right"/>
    </w:pPr>
    <w:rPr>
      <w:i/>
      <w:iCs/>
      <w:color w:val="000000"/>
      <w:sz w:val="16"/>
      <w:szCs w:val="16"/>
      <w:u w:val="single"/>
      <w:lang w:val="es-GT" w:eastAsia="es-GT"/>
    </w:rPr>
  </w:style>
  <w:style w:type="paragraph" w:customStyle="1" w:styleId="xl117">
    <w:name w:val="xl117"/>
    <w:basedOn w:val="Normal"/>
    <w:rsid w:val="00774E44"/>
    <w:pPr>
      <w:widowControl/>
      <w:pBdr>
        <w:left w:val="single" w:sz="4" w:space="0" w:color="auto"/>
        <w:right w:val="single" w:sz="4" w:space="0" w:color="auto"/>
      </w:pBdr>
      <w:spacing w:before="100" w:beforeAutospacing="1" w:after="100" w:afterAutospacing="1"/>
    </w:pPr>
    <w:rPr>
      <w:i/>
      <w:iCs/>
      <w:sz w:val="16"/>
      <w:szCs w:val="16"/>
      <w:u w:val="single"/>
      <w:lang w:val="es-GT" w:eastAsia="es-GT"/>
    </w:rPr>
  </w:style>
  <w:style w:type="paragraph" w:customStyle="1" w:styleId="xl118">
    <w:name w:val="xl118"/>
    <w:basedOn w:val="Normal"/>
    <w:rsid w:val="00774E4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GT" w:eastAsia="es-GT"/>
    </w:rPr>
  </w:style>
  <w:style w:type="paragraph" w:customStyle="1" w:styleId="xl119">
    <w:name w:val="xl119"/>
    <w:basedOn w:val="Normal"/>
    <w:rsid w:val="00774E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GT" w:eastAsia="es-GT"/>
    </w:rPr>
  </w:style>
  <w:style w:type="paragraph" w:customStyle="1" w:styleId="xl120">
    <w:name w:val="xl120"/>
    <w:basedOn w:val="Normal"/>
    <w:rsid w:val="00774E4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1">
    <w:name w:val="xl121"/>
    <w:basedOn w:val="Normal"/>
    <w:rsid w:val="00774E44"/>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2">
    <w:name w:val="xl122"/>
    <w:basedOn w:val="Normal"/>
    <w:rsid w:val="00774E44"/>
    <w:pPr>
      <w:widowControl/>
      <w:pBdr>
        <w:top w:val="double" w:sz="6" w:space="0" w:color="auto"/>
        <w:left w:val="single" w:sz="4" w:space="0" w:color="auto"/>
        <w:right w:val="single" w:sz="4" w:space="0" w:color="auto"/>
      </w:pBdr>
      <w:spacing w:before="100" w:beforeAutospacing="1" w:after="100" w:afterAutospacing="1"/>
      <w:jc w:val="center"/>
    </w:pPr>
    <w:rPr>
      <w:b/>
      <w:bCs/>
      <w:color w:val="000000"/>
      <w:sz w:val="16"/>
      <w:szCs w:val="16"/>
      <w:lang w:val="es-GT" w:eastAsia="es-GT"/>
    </w:rPr>
  </w:style>
  <w:style w:type="paragraph" w:customStyle="1" w:styleId="xl123">
    <w:name w:val="xl123"/>
    <w:basedOn w:val="Normal"/>
    <w:rsid w:val="00774E44"/>
    <w:pPr>
      <w:widowControl/>
      <w:pBdr>
        <w:left w:val="single" w:sz="4" w:space="0" w:color="auto"/>
        <w:bottom w:val="single" w:sz="4" w:space="0" w:color="auto"/>
        <w:right w:val="single" w:sz="4" w:space="0" w:color="auto"/>
      </w:pBdr>
      <w:spacing w:before="100" w:beforeAutospacing="1" w:after="100" w:afterAutospacing="1"/>
      <w:jc w:val="center"/>
    </w:pPr>
    <w:rPr>
      <w:b/>
      <w:bCs/>
      <w:color w:val="000000"/>
      <w:sz w:val="16"/>
      <w:szCs w:val="16"/>
      <w:lang w:val="es-GT" w:eastAsia="es-GT"/>
    </w:rPr>
  </w:style>
  <w:style w:type="paragraph" w:customStyle="1" w:styleId="xl124">
    <w:name w:val="xl124"/>
    <w:basedOn w:val="Normal"/>
    <w:rsid w:val="00774E44"/>
    <w:pPr>
      <w:widowControl/>
      <w:pBdr>
        <w:top w:val="double" w:sz="6"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lang w:val="es-GT" w:eastAsia="es-GT"/>
    </w:rPr>
  </w:style>
  <w:style w:type="paragraph" w:customStyle="1" w:styleId="xl125">
    <w:name w:val="xl125"/>
    <w:basedOn w:val="Normal"/>
    <w:rsid w:val="00774E44"/>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lang w:val="es-GT" w:eastAsia="es-GT"/>
    </w:rPr>
  </w:style>
  <w:style w:type="paragraph" w:styleId="Listaconvietas">
    <w:name w:val="List Bullet"/>
    <w:basedOn w:val="Normal"/>
    <w:uiPriority w:val="99"/>
    <w:unhideWhenUsed/>
    <w:rsid w:val="00AB70BF"/>
    <w:pPr>
      <w:numPr>
        <w:numId w:val="3"/>
      </w:numPr>
      <w:contextualSpacing/>
    </w:pPr>
  </w:style>
  <w:style w:type="table" w:styleId="Sombreadoclaro-nfasis1">
    <w:name w:val="Light Shading Accent 1"/>
    <w:basedOn w:val="Tablanormal"/>
    <w:uiPriority w:val="60"/>
    <w:rsid w:val="00AB70B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tuloTDC">
    <w:name w:val="TOC Heading"/>
    <w:basedOn w:val="Ttulo1"/>
    <w:next w:val="Normal"/>
    <w:uiPriority w:val="39"/>
    <w:unhideWhenUsed/>
    <w:qFormat/>
    <w:rsid w:val="00AB70BF"/>
    <w:pPr>
      <w:keepLines/>
      <w:widowControl/>
      <w:spacing w:before="480" w:line="276" w:lineRule="auto"/>
      <w:jc w:val="left"/>
      <w:outlineLvl w:val="9"/>
    </w:pPr>
    <w:rPr>
      <w:rFonts w:asciiTheme="majorHAnsi" w:eastAsiaTheme="majorEastAsia" w:hAnsiTheme="majorHAnsi" w:cstheme="majorBidi"/>
      <w:bCs/>
      <w:color w:val="365F91" w:themeColor="accent1" w:themeShade="BF"/>
      <w:sz w:val="28"/>
      <w:szCs w:val="28"/>
      <w:lang w:val="es-GT" w:eastAsia="es-GT"/>
    </w:rPr>
  </w:style>
  <w:style w:type="paragraph" w:styleId="TDC2">
    <w:name w:val="toc 2"/>
    <w:basedOn w:val="Normal"/>
    <w:next w:val="Normal"/>
    <w:autoRedefine/>
    <w:uiPriority w:val="39"/>
    <w:unhideWhenUsed/>
    <w:qFormat/>
    <w:rsid w:val="00270ED2"/>
    <w:pPr>
      <w:tabs>
        <w:tab w:val="left" w:pos="880"/>
        <w:tab w:val="right" w:leader="dot" w:pos="9962"/>
      </w:tabs>
      <w:spacing w:after="100"/>
      <w:ind w:left="142"/>
    </w:pPr>
  </w:style>
  <w:style w:type="paragraph" w:styleId="TDC3">
    <w:name w:val="toc 3"/>
    <w:basedOn w:val="Normal"/>
    <w:next w:val="Normal"/>
    <w:autoRedefine/>
    <w:uiPriority w:val="39"/>
    <w:unhideWhenUsed/>
    <w:qFormat/>
    <w:rsid w:val="00621133"/>
    <w:pPr>
      <w:tabs>
        <w:tab w:val="left" w:pos="993"/>
        <w:tab w:val="left" w:pos="1100"/>
        <w:tab w:val="right" w:leader="dot" w:pos="9962"/>
      </w:tabs>
      <w:spacing w:after="100"/>
      <w:ind w:left="142"/>
    </w:pPr>
  </w:style>
  <w:style w:type="paragraph" w:styleId="TDC1">
    <w:name w:val="toc 1"/>
    <w:basedOn w:val="Normal"/>
    <w:next w:val="Normal"/>
    <w:autoRedefine/>
    <w:uiPriority w:val="39"/>
    <w:unhideWhenUsed/>
    <w:qFormat/>
    <w:rsid w:val="00720B8C"/>
    <w:pPr>
      <w:tabs>
        <w:tab w:val="left" w:pos="400"/>
        <w:tab w:val="right" w:leader="dot" w:pos="9962"/>
      </w:tabs>
      <w:spacing w:after="100"/>
      <w:ind w:left="142" w:hanging="142"/>
    </w:pPr>
  </w:style>
  <w:style w:type="character" w:styleId="Textoennegrita">
    <w:name w:val="Strong"/>
    <w:basedOn w:val="Fuentedeprrafopredeter"/>
    <w:uiPriority w:val="22"/>
    <w:qFormat/>
    <w:rsid w:val="00AB70BF"/>
    <w:rPr>
      <w:b/>
      <w:bCs/>
    </w:rPr>
  </w:style>
  <w:style w:type="paragraph" w:customStyle="1" w:styleId="default0">
    <w:name w:val="default"/>
    <w:basedOn w:val="Normal"/>
    <w:rsid w:val="00AB70BF"/>
    <w:pPr>
      <w:widowControl/>
      <w:spacing w:after="150"/>
    </w:pPr>
    <w:rPr>
      <w:sz w:val="24"/>
      <w:szCs w:val="24"/>
      <w:lang w:val="es-GT" w:eastAsia="es-GT"/>
    </w:rPr>
  </w:style>
  <w:style w:type="paragraph" w:styleId="Subttulo">
    <w:name w:val="Subtitle"/>
    <w:basedOn w:val="Normal"/>
    <w:link w:val="SubttuloCar"/>
    <w:uiPriority w:val="11"/>
    <w:qFormat/>
    <w:rsid w:val="00D50E05"/>
    <w:pPr>
      <w:widowControl/>
      <w:jc w:val="both"/>
    </w:pPr>
    <w:rPr>
      <w:rFonts w:ascii="CG Times" w:hAnsi="CG Times"/>
      <w:b/>
      <w:bCs/>
      <w:sz w:val="24"/>
      <w:szCs w:val="24"/>
      <w:lang w:val="es-ES"/>
    </w:rPr>
  </w:style>
  <w:style w:type="character" w:customStyle="1" w:styleId="SubttuloCar">
    <w:name w:val="Subtítulo Car"/>
    <w:basedOn w:val="Fuentedeprrafopredeter"/>
    <w:link w:val="Subttulo"/>
    <w:uiPriority w:val="11"/>
    <w:rsid w:val="00D50E05"/>
    <w:rPr>
      <w:rFonts w:ascii="CG Times" w:eastAsia="Times New Roman" w:hAnsi="CG Times" w:cs="Times New Roman"/>
      <w:b/>
      <w:bCs/>
      <w:szCs w:val="24"/>
      <w:lang w:val="es-ES" w:eastAsia="es-ES"/>
    </w:rPr>
  </w:style>
  <w:style w:type="table" w:customStyle="1" w:styleId="TableNormal">
    <w:name w:val="Table Normal"/>
    <w:uiPriority w:val="2"/>
    <w:semiHidden/>
    <w:unhideWhenUsed/>
    <w:qFormat/>
    <w:rsid w:val="00D50E05"/>
    <w:pPr>
      <w:widowControl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0E05"/>
    <w:rPr>
      <w:rFonts w:asciiTheme="minorHAnsi" w:eastAsiaTheme="minorHAnsi" w:hAnsiTheme="minorHAnsi" w:cstheme="minorBidi"/>
      <w:sz w:val="22"/>
      <w:szCs w:val="22"/>
      <w:lang w:val="en-US" w:eastAsia="en-US"/>
    </w:rPr>
  </w:style>
  <w:style w:type="character" w:customStyle="1" w:styleId="TextonotapieCar1">
    <w:name w:val="Texto nota pie Car1"/>
    <w:aliases w:val="ft Car1,ft Car Car1,ft Car Car Car2,Texto nota pie2 Car,ft1 Car,ft Car Car Car1 Car,Texto nota pie Car2 Car,ft Car Car2 Car,ft Car Car Car Car,fn Car,single space Car,footnote text Car,FOOTNOTES Car,Texto nota pie IIRSA Car,F Car"/>
    <w:basedOn w:val="Fuentedeprrafopredeter"/>
    <w:rsid w:val="00D50E05"/>
    <w:rPr>
      <w:rFonts w:ascii="Times New Roman" w:eastAsia="SimSun" w:hAnsi="Times New Roman" w:cs="Times New Roman"/>
      <w:sz w:val="20"/>
      <w:szCs w:val="20"/>
      <w:lang w:val="es-ES"/>
    </w:rPr>
  </w:style>
  <w:style w:type="character" w:customStyle="1" w:styleId="PrrafodelistaCar">
    <w:name w:val="Párrafo de lista Car"/>
    <w:aliases w:val="Párrafo de lista 2 Car"/>
    <w:basedOn w:val="Fuentedeprrafopredeter"/>
    <w:link w:val="Prrafodelista"/>
    <w:uiPriority w:val="34"/>
    <w:rsid w:val="00D50E05"/>
    <w:rPr>
      <w:rFonts w:eastAsia="Times New Roman" w:cs="Times New Roman"/>
      <w:sz w:val="20"/>
      <w:szCs w:val="20"/>
      <w:lang w:val="es-ES_tradnl" w:eastAsia="es-ES"/>
    </w:rPr>
  </w:style>
  <w:style w:type="character" w:customStyle="1" w:styleId="None">
    <w:name w:val="None"/>
    <w:rsid w:val="00D50E05"/>
  </w:style>
  <w:style w:type="paragraph" w:customStyle="1" w:styleId="Pa2">
    <w:name w:val="Pa2"/>
    <w:basedOn w:val="Default"/>
    <w:next w:val="Default"/>
    <w:uiPriority w:val="99"/>
    <w:rsid w:val="008C102B"/>
    <w:pPr>
      <w:spacing w:line="241" w:lineRule="atLeast"/>
    </w:pPr>
    <w:rPr>
      <w:rFonts w:ascii="Andada" w:eastAsia="Malgun Gothic" w:hAnsi="Andada" w:cs="Times New Roman"/>
      <w:color w:val="auto"/>
      <w:lang w:eastAsia="es-ES"/>
    </w:rPr>
  </w:style>
  <w:style w:type="paragraph" w:customStyle="1" w:styleId="Pa3">
    <w:name w:val="Pa3"/>
    <w:basedOn w:val="Default"/>
    <w:next w:val="Default"/>
    <w:uiPriority w:val="99"/>
    <w:rsid w:val="008C102B"/>
    <w:pPr>
      <w:spacing w:line="241" w:lineRule="atLeast"/>
    </w:pPr>
    <w:rPr>
      <w:rFonts w:ascii="Andada" w:eastAsia="Malgun Gothic" w:hAnsi="Andada" w:cs="Times New Roman"/>
      <w:color w:val="auto"/>
      <w:lang w:eastAsia="es-ES"/>
    </w:rPr>
  </w:style>
  <w:style w:type="character" w:customStyle="1" w:styleId="A4">
    <w:name w:val="A4"/>
    <w:uiPriority w:val="99"/>
    <w:rsid w:val="008C102B"/>
    <w:rPr>
      <w:rFonts w:cs="Andada"/>
      <w:color w:val="000000"/>
      <w:sz w:val="14"/>
      <w:szCs w:val="14"/>
    </w:rPr>
  </w:style>
  <w:style w:type="paragraph" w:customStyle="1" w:styleId="Pa4">
    <w:name w:val="Pa4"/>
    <w:basedOn w:val="Default"/>
    <w:next w:val="Default"/>
    <w:uiPriority w:val="99"/>
    <w:rsid w:val="008C102B"/>
    <w:pPr>
      <w:spacing w:line="241" w:lineRule="atLeast"/>
    </w:pPr>
    <w:rPr>
      <w:rFonts w:ascii="Andada" w:eastAsia="Malgun Gothic" w:hAnsi="Andada" w:cs="Times New Roman"/>
      <w:color w:val="auto"/>
      <w:lang w:eastAsia="es-ES"/>
    </w:rPr>
  </w:style>
  <w:style w:type="paragraph" w:styleId="HTMLconformatoprevio">
    <w:name w:val="HTML Preformatted"/>
    <w:basedOn w:val="Normal"/>
    <w:link w:val="HTMLconformatoprevioCar"/>
    <w:uiPriority w:val="99"/>
    <w:semiHidden/>
    <w:unhideWhenUsed/>
    <w:rsid w:val="008C1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GT" w:eastAsia="es-GT"/>
    </w:rPr>
  </w:style>
  <w:style w:type="character" w:customStyle="1" w:styleId="HTMLconformatoprevioCar">
    <w:name w:val="HTML con formato previo Car"/>
    <w:basedOn w:val="Fuentedeprrafopredeter"/>
    <w:link w:val="HTMLconformatoprevio"/>
    <w:uiPriority w:val="99"/>
    <w:semiHidden/>
    <w:rsid w:val="008C102B"/>
    <w:rPr>
      <w:rFonts w:ascii="Courier New" w:eastAsia="Times New Roman" w:hAnsi="Courier New" w:cs="Courier New"/>
      <w:sz w:val="20"/>
      <w:szCs w:val="20"/>
      <w:lang w:eastAsia="es-GT"/>
    </w:rPr>
  </w:style>
  <w:style w:type="character" w:customStyle="1" w:styleId="Mencinsinresolver1">
    <w:name w:val="Mención sin resolver1"/>
    <w:basedOn w:val="Fuentedeprrafopredeter"/>
    <w:uiPriority w:val="99"/>
    <w:semiHidden/>
    <w:unhideWhenUsed/>
    <w:rsid w:val="008C102B"/>
    <w:rPr>
      <w:color w:val="605E5C"/>
      <w:shd w:val="clear" w:color="auto" w:fill="E1DFDD"/>
    </w:rPr>
  </w:style>
  <w:style w:type="table" w:customStyle="1" w:styleId="Tablanormal41">
    <w:name w:val="Tabla normal 41"/>
    <w:basedOn w:val="Tablanormal"/>
    <w:uiPriority w:val="44"/>
    <w:rsid w:val="008C102B"/>
    <w:pPr>
      <w:spacing w:after="0" w:line="240" w:lineRule="auto"/>
    </w:pPr>
    <w:rPr>
      <w:rFonts w:ascii="Cambria" w:eastAsia="Malgun Gothic" w:hAnsi="Cambria" w:cs="Times New Roman"/>
      <w:sz w:val="20"/>
      <w:szCs w:val="20"/>
      <w:lang w:eastAsia="es-G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
    <w:name w:val="Tabla de cuadrícula 4 - Énfasis 11"/>
    <w:basedOn w:val="Tablanormal"/>
    <w:uiPriority w:val="49"/>
    <w:rsid w:val="008C102B"/>
    <w:pPr>
      <w:spacing w:after="0" w:line="240" w:lineRule="auto"/>
    </w:pPr>
    <w:rPr>
      <w:rFonts w:ascii="Cambria" w:eastAsia="Malgun Gothic" w:hAnsi="Cambria" w:cs="Times New Roman"/>
      <w:sz w:val="20"/>
      <w:szCs w:val="20"/>
      <w:lang w:eastAsia="es-G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fasissutil">
    <w:name w:val="Subtle Emphasis"/>
    <w:uiPriority w:val="19"/>
    <w:qFormat/>
    <w:rsid w:val="008C102B"/>
    <w:rPr>
      <w:rFonts w:ascii="Times New Roman" w:hAnsi="Times New Roman"/>
    </w:rPr>
  </w:style>
  <w:style w:type="character" w:styleId="Textodelmarcadordeposicin">
    <w:name w:val="Placeholder Text"/>
    <w:basedOn w:val="Fuentedeprrafopredeter"/>
    <w:uiPriority w:val="99"/>
    <w:semiHidden/>
    <w:rsid w:val="008C102B"/>
    <w:rPr>
      <w:color w:val="808080"/>
    </w:rPr>
  </w:style>
  <w:style w:type="table" w:customStyle="1" w:styleId="Tablanormal11">
    <w:name w:val="Tabla normal 11"/>
    <w:basedOn w:val="Tablanormal"/>
    <w:uiPriority w:val="41"/>
    <w:rsid w:val="008C102B"/>
    <w:pPr>
      <w:spacing w:after="0" w:line="240" w:lineRule="auto"/>
    </w:pPr>
    <w:rPr>
      <w:rFonts w:ascii="Cambria" w:eastAsia="Malgun Gothic" w:hAnsi="Cambria" w:cs="Times New Roman"/>
      <w:sz w:val="20"/>
      <w:szCs w:val="20"/>
      <w:lang w:eastAsia="es-G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tulo11">
    <w:name w:val="Título 11"/>
    <w:basedOn w:val="Normal"/>
    <w:rsid w:val="008C102B"/>
    <w:pPr>
      <w:widowControl/>
      <w:numPr>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21">
    <w:name w:val="Título 21"/>
    <w:basedOn w:val="Normal"/>
    <w:rsid w:val="008C102B"/>
    <w:pPr>
      <w:widowControl/>
      <w:numPr>
        <w:ilvl w:val="1"/>
        <w:numId w:val="4"/>
      </w:numPr>
      <w:spacing w:after="200" w:line="288" w:lineRule="auto"/>
      <w:ind w:left="576"/>
    </w:pPr>
    <w:rPr>
      <w:rFonts w:asciiTheme="minorHAnsi" w:eastAsiaTheme="minorEastAsia" w:hAnsiTheme="minorHAnsi" w:cstheme="minorBidi"/>
      <w:sz w:val="21"/>
      <w:szCs w:val="21"/>
      <w:lang w:val="es-GT" w:eastAsia="en-US"/>
    </w:rPr>
  </w:style>
  <w:style w:type="paragraph" w:customStyle="1" w:styleId="Ttulo31">
    <w:name w:val="Título 31"/>
    <w:basedOn w:val="Normal"/>
    <w:rsid w:val="008C102B"/>
    <w:pPr>
      <w:widowControl/>
      <w:numPr>
        <w:ilvl w:val="2"/>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41">
    <w:name w:val="Título 41"/>
    <w:basedOn w:val="Normal"/>
    <w:rsid w:val="008C102B"/>
    <w:pPr>
      <w:widowControl/>
      <w:numPr>
        <w:ilvl w:val="3"/>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51">
    <w:name w:val="Título 51"/>
    <w:basedOn w:val="Normal"/>
    <w:rsid w:val="008C102B"/>
    <w:pPr>
      <w:widowControl/>
      <w:numPr>
        <w:ilvl w:val="4"/>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61">
    <w:name w:val="Título 61"/>
    <w:basedOn w:val="Normal"/>
    <w:rsid w:val="008C102B"/>
    <w:pPr>
      <w:widowControl/>
      <w:numPr>
        <w:ilvl w:val="5"/>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71">
    <w:name w:val="Título 71"/>
    <w:basedOn w:val="Normal"/>
    <w:rsid w:val="008C102B"/>
    <w:pPr>
      <w:widowControl/>
      <w:numPr>
        <w:ilvl w:val="6"/>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81">
    <w:name w:val="Título 81"/>
    <w:basedOn w:val="Normal"/>
    <w:rsid w:val="008C102B"/>
    <w:pPr>
      <w:widowControl/>
      <w:numPr>
        <w:ilvl w:val="7"/>
        <w:numId w:val="4"/>
      </w:numPr>
      <w:spacing w:after="200" w:line="288" w:lineRule="auto"/>
    </w:pPr>
    <w:rPr>
      <w:rFonts w:asciiTheme="minorHAnsi" w:eastAsiaTheme="minorEastAsia" w:hAnsiTheme="minorHAnsi" w:cstheme="minorBidi"/>
      <w:sz w:val="21"/>
      <w:szCs w:val="21"/>
      <w:lang w:val="es-GT" w:eastAsia="en-US"/>
    </w:rPr>
  </w:style>
  <w:style w:type="paragraph" w:customStyle="1" w:styleId="Ttulo91">
    <w:name w:val="Título 91"/>
    <w:basedOn w:val="Normal"/>
    <w:rsid w:val="008C102B"/>
    <w:pPr>
      <w:widowControl/>
      <w:numPr>
        <w:ilvl w:val="8"/>
        <w:numId w:val="4"/>
      </w:numPr>
      <w:spacing w:after="200" w:line="288" w:lineRule="auto"/>
    </w:pPr>
    <w:rPr>
      <w:rFonts w:asciiTheme="minorHAnsi" w:eastAsiaTheme="minorEastAsia" w:hAnsiTheme="minorHAnsi" w:cstheme="minorBidi"/>
      <w:sz w:val="21"/>
      <w:szCs w:val="21"/>
      <w:lang w:val="es-GT" w:eastAsia="en-US"/>
    </w:rPr>
  </w:style>
  <w:style w:type="table" w:customStyle="1" w:styleId="Tablanormal410">
    <w:name w:val="Tabla normal 41"/>
    <w:basedOn w:val="Tablanormal"/>
    <w:uiPriority w:val="44"/>
    <w:rsid w:val="00EA05E6"/>
    <w:pPr>
      <w:spacing w:after="0" w:line="240" w:lineRule="auto"/>
    </w:pPr>
    <w:rPr>
      <w:rFonts w:ascii="Cambria" w:eastAsia="Malgun Gothic" w:hAnsi="Cambria" w:cs="Times New Roman"/>
      <w:sz w:val="20"/>
      <w:szCs w:val="20"/>
      <w:lang w:eastAsia="es-G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0">
    <w:name w:val="Tabla de cuadrícula 4 - Énfasis 11"/>
    <w:basedOn w:val="Tablanormal"/>
    <w:uiPriority w:val="49"/>
    <w:rsid w:val="00EA05E6"/>
    <w:pPr>
      <w:spacing w:after="0" w:line="240" w:lineRule="auto"/>
    </w:pPr>
    <w:rPr>
      <w:rFonts w:ascii="Cambria" w:eastAsia="Malgun Gothic" w:hAnsi="Cambria" w:cs="Times New Roman"/>
      <w:sz w:val="20"/>
      <w:szCs w:val="20"/>
      <w:lang w:eastAsia="es-G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0">
    <w:name w:val="Tabla normal 11"/>
    <w:basedOn w:val="Tablanormal"/>
    <w:uiPriority w:val="41"/>
    <w:rsid w:val="00EA05E6"/>
    <w:pPr>
      <w:spacing w:after="0" w:line="240" w:lineRule="auto"/>
    </w:pPr>
    <w:rPr>
      <w:rFonts w:ascii="Cambria" w:eastAsia="Malgun Gothic" w:hAnsi="Cambria" w:cs="Times New Roman"/>
      <w:sz w:val="20"/>
      <w:szCs w:val="20"/>
      <w:lang w:eastAsia="es-G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8A5924"/>
    <w:rPr>
      <w:rFonts w:asciiTheme="minorHAnsi" w:hAnsiTheme="minorHAnsi"/>
      <w:b/>
      <w:i/>
      <w:iCs/>
    </w:rPr>
  </w:style>
  <w:style w:type="paragraph" w:styleId="Cita">
    <w:name w:val="Quote"/>
    <w:basedOn w:val="Normal"/>
    <w:next w:val="Normal"/>
    <w:link w:val="CitaCar"/>
    <w:uiPriority w:val="29"/>
    <w:qFormat/>
    <w:rsid w:val="008A5924"/>
    <w:pPr>
      <w:widowControl/>
    </w:pPr>
    <w:rPr>
      <w:rFonts w:asciiTheme="minorHAnsi" w:eastAsiaTheme="minorEastAsia" w:hAnsiTheme="minorHAnsi"/>
      <w:i/>
      <w:sz w:val="24"/>
      <w:szCs w:val="24"/>
      <w:lang w:val="es-GT" w:eastAsia="en-US"/>
    </w:rPr>
  </w:style>
  <w:style w:type="character" w:customStyle="1" w:styleId="CitaCar">
    <w:name w:val="Cita Car"/>
    <w:basedOn w:val="Fuentedeprrafopredeter"/>
    <w:link w:val="Cita"/>
    <w:uiPriority w:val="29"/>
    <w:rsid w:val="008A5924"/>
    <w:rPr>
      <w:rFonts w:asciiTheme="minorHAnsi" w:eastAsiaTheme="minorEastAsia" w:hAnsiTheme="minorHAnsi" w:cs="Times New Roman"/>
      <w:i/>
      <w:szCs w:val="24"/>
    </w:rPr>
  </w:style>
  <w:style w:type="paragraph" w:styleId="Citadestacada">
    <w:name w:val="Intense Quote"/>
    <w:basedOn w:val="Normal"/>
    <w:next w:val="Normal"/>
    <w:link w:val="CitadestacadaCar"/>
    <w:uiPriority w:val="30"/>
    <w:qFormat/>
    <w:rsid w:val="008A5924"/>
    <w:pPr>
      <w:widowControl/>
      <w:ind w:left="720" w:right="720"/>
    </w:pPr>
    <w:rPr>
      <w:rFonts w:asciiTheme="minorHAnsi" w:eastAsiaTheme="minorEastAsia" w:hAnsiTheme="minorHAnsi"/>
      <w:b/>
      <w:i/>
      <w:sz w:val="24"/>
      <w:szCs w:val="22"/>
      <w:lang w:val="es-GT" w:eastAsia="en-US"/>
    </w:rPr>
  </w:style>
  <w:style w:type="character" w:customStyle="1" w:styleId="CitadestacadaCar">
    <w:name w:val="Cita destacada Car"/>
    <w:basedOn w:val="Fuentedeprrafopredeter"/>
    <w:link w:val="Citadestacada"/>
    <w:uiPriority w:val="30"/>
    <w:rsid w:val="008A5924"/>
    <w:rPr>
      <w:rFonts w:asciiTheme="minorHAnsi" w:eastAsiaTheme="minorEastAsia" w:hAnsiTheme="minorHAnsi" w:cs="Times New Roman"/>
      <w:b/>
      <w:i/>
    </w:rPr>
  </w:style>
  <w:style w:type="character" w:styleId="nfasisintenso">
    <w:name w:val="Intense Emphasis"/>
    <w:basedOn w:val="Fuentedeprrafopredeter"/>
    <w:uiPriority w:val="21"/>
    <w:qFormat/>
    <w:rsid w:val="008A5924"/>
    <w:rPr>
      <w:b/>
      <w:i/>
      <w:sz w:val="24"/>
      <w:szCs w:val="24"/>
      <w:u w:val="single"/>
    </w:rPr>
  </w:style>
  <w:style w:type="character" w:styleId="Referenciasutil">
    <w:name w:val="Subtle Reference"/>
    <w:basedOn w:val="Fuentedeprrafopredeter"/>
    <w:uiPriority w:val="31"/>
    <w:qFormat/>
    <w:rsid w:val="008A5924"/>
    <w:rPr>
      <w:sz w:val="24"/>
      <w:szCs w:val="24"/>
      <w:u w:val="single"/>
    </w:rPr>
  </w:style>
  <w:style w:type="character" w:styleId="Referenciaintensa">
    <w:name w:val="Intense Reference"/>
    <w:basedOn w:val="Fuentedeprrafopredeter"/>
    <w:uiPriority w:val="32"/>
    <w:qFormat/>
    <w:rsid w:val="008A5924"/>
    <w:rPr>
      <w:b/>
      <w:sz w:val="24"/>
      <w:u w:val="single"/>
    </w:rPr>
  </w:style>
  <w:style w:type="character" w:styleId="Ttulodellibro">
    <w:name w:val="Book Title"/>
    <w:basedOn w:val="Fuentedeprrafopredeter"/>
    <w:uiPriority w:val="33"/>
    <w:qFormat/>
    <w:rsid w:val="008A5924"/>
    <w:rPr>
      <w:rFonts w:asciiTheme="majorHAnsi" w:eastAsiaTheme="majorEastAsia" w:hAnsiTheme="majorHAnsi"/>
      <w:b/>
      <w:i/>
      <w:sz w:val="24"/>
      <w:szCs w:val="24"/>
    </w:rPr>
  </w:style>
  <w:style w:type="table" w:customStyle="1" w:styleId="Tabladecuadrcula4-nfasis51">
    <w:name w:val="Tabla de cuadrícula 4 - Énfasis 51"/>
    <w:basedOn w:val="Tablanormal"/>
    <w:uiPriority w:val="49"/>
    <w:rsid w:val="008A5924"/>
    <w:pPr>
      <w:spacing w:after="0" w:line="240" w:lineRule="auto"/>
    </w:pPr>
    <w:rPr>
      <w:rFonts w:asciiTheme="minorHAnsi" w:hAnsiTheme="minorHAnsi"/>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abladeilustraciones">
    <w:name w:val="table of figures"/>
    <w:basedOn w:val="Normal"/>
    <w:next w:val="Normal"/>
    <w:uiPriority w:val="99"/>
    <w:unhideWhenUsed/>
    <w:rsid w:val="008A5924"/>
    <w:pPr>
      <w:widowControl/>
      <w:spacing w:after="60"/>
    </w:pPr>
    <w:rPr>
      <w:rFonts w:eastAsiaTheme="minorEastAsia"/>
      <w:sz w:val="24"/>
      <w:szCs w:val="24"/>
      <w:lang w:val="es-GT" w:eastAsia="en-US"/>
    </w:rPr>
  </w:style>
  <w:style w:type="paragraph" w:styleId="TDC4">
    <w:name w:val="toc 4"/>
    <w:basedOn w:val="Normal"/>
    <w:next w:val="Normal"/>
    <w:autoRedefine/>
    <w:uiPriority w:val="39"/>
    <w:unhideWhenUsed/>
    <w:rsid w:val="008A5924"/>
    <w:pPr>
      <w:widowControl/>
      <w:tabs>
        <w:tab w:val="left" w:pos="1760"/>
        <w:tab w:val="right" w:leader="dot" w:pos="8828"/>
      </w:tabs>
      <w:spacing w:after="100"/>
      <w:ind w:left="720"/>
    </w:pPr>
    <w:rPr>
      <w:rFonts w:eastAsiaTheme="minorEastAsia"/>
      <w:noProof/>
      <w:lang w:val="es-GT" w:eastAsia="en-US"/>
    </w:rPr>
  </w:style>
  <w:style w:type="paragraph" w:styleId="TDC5">
    <w:name w:val="toc 5"/>
    <w:basedOn w:val="Normal"/>
    <w:next w:val="Normal"/>
    <w:autoRedefine/>
    <w:uiPriority w:val="39"/>
    <w:unhideWhenUsed/>
    <w:rsid w:val="008A5924"/>
    <w:pPr>
      <w:widowControl/>
      <w:spacing w:after="100"/>
      <w:ind w:left="960"/>
    </w:pPr>
    <w:rPr>
      <w:rFonts w:asciiTheme="minorHAnsi" w:eastAsiaTheme="minorEastAsia" w:hAnsiTheme="minorHAnsi"/>
      <w:sz w:val="24"/>
      <w:szCs w:val="24"/>
      <w:lang w:val="es-GT" w:eastAsia="en-US"/>
    </w:rPr>
  </w:style>
  <w:style w:type="table" w:styleId="Listaclara-nfasis1">
    <w:name w:val="Light List Accent 1"/>
    <w:basedOn w:val="Tablanormal"/>
    <w:uiPriority w:val="61"/>
    <w:rsid w:val="008A5924"/>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notaalfinal">
    <w:name w:val="endnote text"/>
    <w:basedOn w:val="Normal"/>
    <w:link w:val="TextonotaalfinalCar"/>
    <w:uiPriority w:val="99"/>
    <w:semiHidden/>
    <w:unhideWhenUsed/>
    <w:rsid w:val="00AE116A"/>
  </w:style>
  <w:style w:type="character" w:customStyle="1" w:styleId="TextonotaalfinalCar">
    <w:name w:val="Texto nota al final Car"/>
    <w:basedOn w:val="Fuentedeprrafopredeter"/>
    <w:link w:val="Textonotaalfinal"/>
    <w:uiPriority w:val="99"/>
    <w:semiHidden/>
    <w:rsid w:val="00AE116A"/>
    <w:rPr>
      <w:rFonts w:eastAsia="Times New Roman" w:cs="Times New Roman"/>
      <w:sz w:val="20"/>
      <w:szCs w:val="20"/>
      <w:lang w:val="es-ES_tradnl" w:eastAsia="es-ES"/>
    </w:rPr>
  </w:style>
  <w:style w:type="character" w:styleId="Refdenotaalfinal">
    <w:name w:val="endnote reference"/>
    <w:basedOn w:val="Fuentedeprrafopredeter"/>
    <w:uiPriority w:val="99"/>
    <w:semiHidden/>
    <w:unhideWhenUsed/>
    <w:rsid w:val="00AE11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8319">
      <w:bodyDiv w:val="1"/>
      <w:marLeft w:val="0"/>
      <w:marRight w:val="0"/>
      <w:marTop w:val="0"/>
      <w:marBottom w:val="0"/>
      <w:divBdr>
        <w:top w:val="none" w:sz="0" w:space="0" w:color="auto"/>
        <w:left w:val="none" w:sz="0" w:space="0" w:color="auto"/>
        <w:bottom w:val="none" w:sz="0" w:space="0" w:color="auto"/>
        <w:right w:val="none" w:sz="0" w:space="0" w:color="auto"/>
      </w:divBdr>
    </w:div>
    <w:div w:id="26493884">
      <w:bodyDiv w:val="1"/>
      <w:marLeft w:val="0"/>
      <w:marRight w:val="0"/>
      <w:marTop w:val="0"/>
      <w:marBottom w:val="0"/>
      <w:divBdr>
        <w:top w:val="none" w:sz="0" w:space="0" w:color="auto"/>
        <w:left w:val="none" w:sz="0" w:space="0" w:color="auto"/>
        <w:bottom w:val="none" w:sz="0" w:space="0" w:color="auto"/>
        <w:right w:val="none" w:sz="0" w:space="0" w:color="auto"/>
      </w:divBdr>
    </w:div>
    <w:div w:id="28843476">
      <w:bodyDiv w:val="1"/>
      <w:marLeft w:val="0"/>
      <w:marRight w:val="0"/>
      <w:marTop w:val="0"/>
      <w:marBottom w:val="0"/>
      <w:divBdr>
        <w:top w:val="none" w:sz="0" w:space="0" w:color="auto"/>
        <w:left w:val="none" w:sz="0" w:space="0" w:color="auto"/>
        <w:bottom w:val="none" w:sz="0" w:space="0" w:color="auto"/>
        <w:right w:val="none" w:sz="0" w:space="0" w:color="auto"/>
      </w:divBdr>
    </w:div>
    <w:div w:id="46611828">
      <w:bodyDiv w:val="1"/>
      <w:marLeft w:val="0"/>
      <w:marRight w:val="0"/>
      <w:marTop w:val="0"/>
      <w:marBottom w:val="0"/>
      <w:divBdr>
        <w:top w:val="none" w:sz="0" w:space="0" w:color="auto"/>
        <w:left w:val="none" w:sz="0" w:space="0" w:color="auto"/>
        <w:bottom w:val="none" w:sz="0" w:space="0" w:color="auto"/>
        <w:right w:val="none" w:sz="0" w:space="0" w:color="auto"/>
      </w:divBdr>
    </w:div>
    <w:div w:id="47462630">
      <w:bodyDiv w:val="1"/>
      <w:marLeft w:val="0"/>
      <w:marRight w:val="0"/>
      <w:marTop w:val="0"/>
      <w:marBottom w:val="0"/>
      <w:divBdr>
        <w:top w:val="none" w:sz="0" w:space="0" w:color="auto"/>
        <w:left w:val="none" w:sz="0" w:space="0" w:color="auto"/>
        <w:bottom w:val="none" w:sz="0" w:space="0" w:color="auto"/>
        <w:right w:val="none" w:sz="0" w:space="0" w:color="auto"/>
      </w:divBdr>
    </w:div>
    <w:div w:id="70931145">
      <w:bodyDiv w:val="1"/>
      <w:marLeft w:val="0"/>
      <w:marRight w:val="0"/>
      <w:marTop w:val="0"/>
      <w:marBottom w:val="0"/>
      <w:divBdr>
        <w:top w:val="none" w:sz="0" w:space="0" w:color="auto"/>
        <w:left w:val="none" w:sz="0" w:space="0" w:color="auto"/>
        <w:bottom w:val="none" w:sz="0" w:space="0" w:color="auto"/>
        <w:right w:val="none" w:sz="0" w:space="0" w:color="auto"/>
      </w:divBdr>
    </w:div>
    <w:div w:id="78454636">
      <w:bodyDiv w:val="1"/>
      <w:marLeft w:val="0"/>
      <w:marRight w:val="0"/>
      <w:marTop w:val="0"/>
      <w:marBottom w:val="0"/>
      <w:divBdr>
        <w:top w:val="none" w:sz="0" w:space="0" w:color="auto"/>
        <w:left w:val="none" w:sz="0" w:space="0" w:color="auto"/>
        <w:bottom w:val="none" w:sz="0" w:space="0" w:color="auto"/>
        <w:right w:val="none" w:sz="0" w:space="0" w:color="auto"/>
      </w:divBdr>
    </w:div>
    <w:div w:id="84304453">
      <w:bodyDiv w:val="1"/>
      <w:marLeft w:val="0"/>
      <w:marRight w:val="0"/>
      <w:marTop w:val="0"/>
      <w:marBottom w:val="0"/>
      <w:divBdr>
        <w:top w:val="none" w:sz="0" w:space="0" w:color="auto"/>
        <w:left w:val="none" w:sz="0" w:space="0" w:color="auto"/>
        <w:bottom w:val="none" w:sz="0" w:space="0" w:color="auto"/>
        <w:right w:val="none" w:sz="0" w:space="0" w:color="auto"/>
      </w:divBdr>
    </w:div>
    <w:div w:id="93284860">
      <w:bodyDiv w:val="1"/>
      <w:marLeft w:val="0"/>
      <w:marRight w:val="0"/>
      <w:marTop w:val="0"/>
      <w:marBottom w:val="0"/>
      <w:divBdr>
        <w:top w:val="none" w:sz="0" w:space="0" w:color="auto"/>
        <w:left w:val="none" w:sz="0" w:space="0" w:color="auto"/>
        <w:bottom w:val="none" w:sz="0" w:space="0" w:color="auto"/>
        <w:right w:val="none" w:sz="0" w:space="0" w:color="auto"/>
      </w:divBdr>
    </w:div>
    <w:div w:id="104468093">
      <w:bodyDiv w:val="1"/>
      <w:marLeft w:val="0"/>
      <w:marRight w:val="0"/>
      <w:marTop w:val="0"/>
      <w:marBottom w:val="0"/>
      <w:divBdr>
        <w:top w:val="none" w:sz="0" w:space="0" w:color="auto"/>
        <w:left w:val="none" w:sz="0" w:space="0" w:color="auto"/>
        <w:bottom w:val="none" w:sz="0" w:space="0" w:color="auto"/>
        <w:right w:val="none" w:sz="0" w:space="0" w:color="auto"/>
      </w:divBdr>
    </w:div>
    <w:div w:id="120617582">
      <w:bodyDiv w:val="1"/>
      <w:marLeft w:val="0"/>
      <w:marRight w:val="0"/>
      <w:marTop w:val="0"/>
      <w:marBottom w:val="0"/>
      <w:divBdr>
        <w:top w:val="none" w:sz="0" w:space="0" w:color="auto"/>
        <w:left w:val="none" w:sz="0" w:space="0" w:color="auto"/>
        <w:bottom w:val="none" w:sz="0" w:space="0" w:color="auto"/>
        <w:right w:val="none" w:sz="0" w:space="0" w:color="auto"/>
      </w:divBdr>
      <w:divsChild>
        <w:div w:id="4410033">
          <w:marLeft w:val="0"/>
          <w:marRight w:val="0"/>
          <w:marTop w:val="0"/>
          <w:marBottom w:val="0"/>
          <w:divBdr>
            <w:top w:val="none" w:sz="0" w:space="0" w:color="auto"/>
            <w:left w:val="none" w:sz="0" w:space="0" w:color="auto"/>
            <w:bottom w:val="none" w:sz="0" w:space="0" w:color="auto"/>
            <w:right w:val="none" w:sz="0" w:space="0" w:color="auto"/>
          </w:divBdr>
          <w:divsChild>
            <w:div w:id="1069885169">
              <w:marLeft w:val="0"/>
              <w:marRight w:val="0"/>
              <w:marTop w:val="0"/>
              <w:marBottom w:val="0"/>
              <w:divBdr>
                <w:top w:val="none" w:sz="0" w:space="0" w:color="auto"/>
                <w:left w:val="none" w:sz="0" w:space="0" w:color="auto"/>
                <w:bottom w:val="none" w:sz="0" w:space="0" w:color="auto"/>
                <w:right w:val="none" w:sz="0" w:space="0" w:color="auto"/>
              </w:divBdr>
              <w:divsChild>
                <w:div w:id="685208606">
                  <w:marLeft w:val="0"/>
                  <w:marRight w:val="0"/>
                  <w:marTop w:val="0"/>
                  <w:marBottom w:val="0"/>
                  <w:divBdr>
                    <w:top w:val="none" w:sz="0" w:space="0" w:color="auto"/>
                    <w:left w:val="none" w:sz="0" w:space="0" w:color="auto"/>
                    <w:bottom w:val="none" w:sz="0" w:space="0" w:color="auto"/>
                    <w:right w:val="none" w:sz="0" w:space="0" w:color="auto"/>
                  </w:divBdr>
                  <w:divsChild>
                    <w:div w:id="127818559">
                      <w:marLeft w:val="0"/>
                      <w:marRight w:val="0"/>
                      <w:marTop w:val="0"/>
                      <w:marBottom w:val="0"/>
                      <w:divBdr>
                        <w:top w:val="none" w:sz="0" w:space="0" w:color="auto"/>
                        <w:left w:val="none" w:sz="0" w:space="0" w:color="auto"/>
                        <w:bottom w:val="none" w:sz="0" w:space="0" w:color="auto"/>
                        <w:right w:val="none" w:sz="0" w:space="0" w:color="auto"/>
                      </w:divBdr>
                      <w:divsChild>
                        <w:div w:id="220099065">
                          <w:marLeft w:val="0"/>
                          <w:marRight w:val="0"/>
                          <w:marTop w:val="0"/>
                          <w:marBottom w:val="0"/>
                          <w:divBdr>
                            <w:top w:val="none" w:sz="0" w:space="0" w:color="auto"/>
                            <w:left w:val="none" w:sz="0" w:space="0" w:color="auto"/>
                            <w:bottom w:val="none" w:sz="0" w:space="0" w:color="auto"/>
                            <w:right w:val="none" w:sz="0" w:space="0" w:color="auto"/>
                          </w:divBdr>
                          <w:divsChild>
                            <w:div w:id="1407845857">
                              <w:marLeft w:val="0"/>
                              <w:marRight w:val="0"/>
                              <w:marTop w:val="0"/>
                              <w:marBottom w:val="0"/>
                              <w:divBdr>
                                <w:top w:val="none" w:sz="0" w:space="0" w:color="auto"/>
                                <w:left w:val="none" w:sz="0" w:space="0" w:color="auto"/>
                                <w:bottom w:val="none" w:sz="0" w:space="0" w:color="auto"/>
                                <w:right w:val="none" w:sz="0" w:space="0" w:color="auto"/>
                              </w:divBdr>
                              <w:divsChild>
                                <w:div w:id="1890805139">
                                  <w:marLeft w:val="0"/>
                                  <w:marRight w:val="0"/>
                                  <w:marTop w:val="0"/>
                                  <w:marBottom w:val="0"/>
                                  <w:divBdr>
                                    <w:top w:val="none" w:sz="0" w:space="0" w:color="auto"/>
                                    <w:left w:val="none" w:sz="0" w:space="0" w:color="auto"/>
                                    <w:bottom w:val="none" w:sz="0" w:space="0" w:color="auto"/>
                                    <w:right w:val="none" w:sz="0" w:space="0" w:color="auto"/>
                                  </w:divBdr>
                                  <w:divsChild>
                                    <w:div w:id="1800411661">
                                      <w:marLeft w:val="60"/>
                                      <w:marRight w:val="0"/>
                                      <w:marTop w:val="0"/>
                                      <w:marBottom w:val="0"/>
                                      <w:divBdr>
                                        <w:top w:val="none" w:sz="0" w:space="0" w:color="auto"/>
                                        <w:left w:val="none" w:sz="0" w:space="0" w:color="auto"/>
                                        <w:bottom w:val="none" w:sz="0" w:space="0" w:color="auto"/>
                                        <w:right w:val="none" w:sz="0" w:space="0" w:color="auto"/>
                                      </w:divBdr>
                                      <w:divsChild>
                                        <w:div w:id="737747316">
                                          <w:marLeft w:val="0"/>
                                          <w:marRight w:val="0"/>
                                          <w:marTop w:val="0"/>
                                          <w:marBottom w:val="0"/>
                                          <w:divBdr>
                                            <w:top w:val="none" w:sz="0" w:space="0" w:color="auto"/>
                                            <w:left w:val="none" w:sz="0" w:space="0" w:color="auto"/>
                                            <w:bottom w:val="none" w:sz="0" w:space="0" w:color="auto"/>
                                            <w:right w:val="none" w:sz="0" w:space="0" w:color="auto"/>
                                          </w:divBdr>
                                          <w:divsChild>
                                            <w:div w:id="385757916">
                                              <w:marLeft w:val="0"/>
                                              <w:marRight w:val="0"/>
                                              <w:marTop w:val="0"/>
                                              <w:marBottom w:val="120"/>
                                              <w:divBdr>
                                                <w:top w:val="single" w:sz="6" w:space="0" w:color="F5F5F5"/>
                                                <w:left w:val="single" w:sz="6" w:space="0" w:color="F5F5F5"/>
                                                <w:bottom w:val="single" w:sz="6" w:space="0" w:color="F5F5F5"/>
                                                <w:right w:val="single" w:sz="6" w:space="0" w:color="F5F5F5"/>
                                              </w:divBdr>
                                              <w:divsChild>
                                                <w:div w:id="1820267292">
                                                  <w:marLeft w:val="0"/>
                                                  <w:marRight w:val="0"/>
                                                  <w:marTop w:val="0"/>
                                                  <w:marBottom w:val="0"/>
                                                  <w:divBdr>
                                                    <w:top w:val="none" w:sz="0" w:space="0" w:color="auto"/>
                                                    <w:left w:val="none" w:sz="0" w:space="0" w:color="auto"/>
                                                    <w:bottom w:val="none" w:sz="0" w:space="0" w:color="auto"/>
                                                    <w:right w:val="none" w:sz="0" w:space="0" w:color="auto"/>
                                                  </w:divBdr>
                                                  <w:divsChild>
                                                    <w:div w:id="8707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50160">
      <w:bodyDiv w:val="1"/>
      <w:marLeft w:val="0"/>
      <w:marRight w:val="0"/>
      <w:marTop w:val="0"/>
      <w:marBottom w:val="0"/>
      <w:divBdr>
        <w:top w:val="none" w:sz="0" w:space="0" w:color="auto"/>
        <w:left w:val="none" w:sz="0" w:space="0" w:color="auto"/>
        <w:bottom w:val="none" w:sz="0" w:space="0" w:color="auto"/>
        <w:right w:val="none" w:sz="0" w:space="0" w:color="auto"/>
      </w:divBdr>
    </w:div>
    <w:div w:id="217939351">
      <w:bodyDiv w:val="1"/>
      <w:marLeft w:val="0"/>
      <w:marRight w:val="0"/>
      <w:marTop w:val="0"/>
      <w:marBottom w:val="0"/>
      <w:divBdr>
        <w:top w:val="none" w:sz="0" w:space="0" w:color="auto"/>
        <w:left w:val="none" w:sz="0" w:space="0" w:color="auto"/>
        <w:bottom w:val="none" w:sz="0" w:space="0" w:color="auto"/>
        <w:right w:val="none" w:sz="0" w:space="0" w:color="auto"/>
      </w:divBdr>
    </w:div>
    <w:div w:id="259533499">
      <w:bodyDiv w:val="1"/>
      <w:marLeft w:val="0"/>
      <w:marRight w:val="0"/>
      <w:marTop w:val="0"/>
      <w:marBottom w:val="0"/>
      <w:divBdr>
        <w:top w:val="none" w:sz="0" w:space="0" w:color="auto"/>
        <w:left w:val="none" w:sz="0" w:space="0" w:color="auto"/>
        <w:bottom w:val="none" w:sz="0" w:space="0" w:color="auto"/>
        <w:right w:val="none" w:sz="0" w:space="0" w:color="auto"/>
      </w:divBdr>
    </w:div>
    <w:div w:id="293027647">
      <w:bodyDiv w:val="1"/>
      <w:marLeft w:val="0"/>
      <w:marRight w:val="0"/>
      <w:marTop w:val="0"/>
      <w:marBottom w:val="0"/>
      <w:divBdr>
        <w:top w:val="none" w:sz="0" w:space="0" w:color="auto"/>
        <w:left w:val="none" w:sz="0" w:space="0" w:color="auto"/>
        <w:bottom w:val="none" w:sz="0" w:space="0" w:color="auto"/>
        <w:right w:val="none" w:sz="0" w:space="0" w:color="auto"/>
      </w:divBdr>
    </w:div>
    <w:div w:id="320043745">
      <w:bodyDiv w:val="1"/>
      <w:marLeft w:val="0"/>
      <w:marRight w:val="0"/>
      <w:marTop w:val="0"/>
      <w:marBottom w:val="0"/>
      <w:divBdr>
        <w:top w:val="none" w:sz="0" w:space="0" w:color="auto"/>
        <w:left w:val="none" w:sz="0" w:space="0" w:color="auto"/>
        <w:bottom w:val="none" w:sz="0" w:space="0" w:color="auto"/>
        <w:right w:val="none" w:sz="0" w:space="0" w:color="auto"/>
      </w:divBdr>
    </w:div>
    <w:div w:id="346635988">
      <w:bodyDiv w:val="1"/>
      <w:marLeft w:val="0"/>
      <w:marRight w:val="0"/>
      <w:marTop w:val="0"/>
      <w:marBottom w:val="0"/>
      <w:divBdr>
        <w:top w:val="none" w:sz="0" w:space="0" w:color="auto"/>
        <w:left w:val="none" w:sz="0" w:space="0" w:color="auto"/>
        <w:bottom w:val="none" w:sz="0" w:space="0" w:color="auto"/>
        <w:right w:val="none" w:sz="0" w:space="0" w:color="auto"/>
      </w:divBdr>
      <w:divsChild>
        <w:div w:id="1037966434">
          <w:marLeft w:val="360"/>
          <w:marRight w:val="0"/>
          <w:marTop w:val="200"/>
          <w:marBottom w:val="0"/>
          <w:divBdr>
            <w:top w:val="none" w:sz="0" w:space="0" w:color="auto"/>
            <w:left w:val="none" w:sz="0" w:space="0" w:color="auto"/>
            <w:bottom w:val="none" w:sz="0" w:space="0" w:color="auto"/>
            <w:right w:val="none" w:sz="0" w:space="0" w:color="auto"/>
          </w:divBdr>
        </w:div>
        <w:div w:id="1048721200">
          <w:marLeft w:val="360"/>
          <w:marRight w:val="0"/>
          <w:marTop w:val="200"/>
          <w:marBottom w:val="0"/>
          <w:divBdr>
            <w:top w:val="none" w:sz="0" w:space="0" w:color="auto"/>
            <w:left w:val="none" w:sz="0" w:space="0" w:color="auto"/>
            <w:bottom w:val="none" w:sz="0" w:space="0" w:color="auto"/>
            <w:right w:val="none" w:sz="0" w:space="0" w:color="auto"/>
          </w:divBdr>
        </w:div>
        <w:div w:id="1130783992">
          <w:marLeft w:val="360"/>
          <w:marRight w:val="0"/>
          <w:marTop w:val="200"/>
          <w:marBottom w:val="0"/>
          <w:divBdr>
            <w:top w:val="none" w:sz="0" w:space="0" w:color="auto"/>
            <w:left w:val="none" w:sz="0" w:space="0" w:color="auto"/>
            <w:bottom w:val="none" w:sz="0" w:space="0" w:color="auto"/>
            <w:right w:val="none" w:sz="0" w:space="0" w:color="auto"/>
          </w:divBdr>
        </w:div>
      </w:divsChild>
    </w:div>
    <w:div w:id="375618931">
      <w:bodyDiv w:val="1"/>
      <w:marLeft w:val="0"/>
      <w:marRight w:val="0"/>
      <w:marTop w:val="0"/>
      <w:marBottom w:val="0"/>
      <w:divBdr>
        <w:top w:val="none" w:sz="0" w:space="0" w:color="auto"/>
        <w:left w:val="none" w:sz="0" w:space="0" w:color="auto"/>
        <w:bottom w:val="none" w:sz="0" w:space="0" w:color="auto"/>
        <w:right w:val="none" w:sz="0" w:space="0" w:color="auto"/>
      </w:divBdr>
    </w:div>
    <w:div w:id="384835675">
      <w:bodyDiv w:val="1"/>
      <w:marLeft w:val="0"/>
      <w:marRight w:val="0"/>
      <w:marTop w:val="0"/>
      <w:marBottom w:val="0"/>
      <w:divBdr>
        <w:top w:val="none" w:sz="0" w:space="0" w:color="auto"/>
        <w:left w:val="none" w:sz="0" w:space="0" w:color="auto"/>
        <w:bottom w:val="none" w:sz="0" w:space="0" w:color="auto"/>
        <w:right w:val="none" w:sz="0" w:space="0" w:color="auto"/>
      </w:divBdr>
    </w:div>
    <w:div w:id="390617092">
      <w:bodyDiv w:val="1"/>
      <w:marLeft w:val="0"/>
      <w:marRight w:val="0"/>
      <w:marTop w:val="0"/>
      <w:marBottom w:val="0"/>
      <w:divBdr>
        <w:top w:val="none" w:sz="0" w:space="0" w:color="auto"/>
        <w:left w:val="none" w:sz="0" w:space="0" w:color="auto"/>
        <w:bottom w:val="none" w:sz="0" w:space="0" w:color="auto"/>
        <w:right w:val="none" w:sz="0" w:space="0" w:color="auto"/>
      </w:divBdr>
    </w:div>
    <w:div w:id="460735300">
      <w:bodyDiv w:val="1"/>
      <w:marLeft w:val="0"/>
      <w:marRight w:val="0"/>
      <w:marTop w:val="0"/>
      <w:marBottom w:val="0"/>
      <w:divBdr>
        <w:top w:val="none" w:sz="0" w:space="0" w:color="auto"/>
        <w:left w:val="none" w:sz="0" w:space="0" w:color="auto"/>
        <w:bottom w:val="none" w:sz="0" w:space="0" w:color="auto"/>
        <w:right w:val="none" w:sz="0" w:space="0" w:color="auto"/>
      </w:divBdr>
    </w:div>
    <w:div w:id="464734323">
      <w:bodyDiv w:val="1"/>
      <w:marLeft w:val="0"/>
      <w:marRight w:val="0"/>
      <w:marTop w:val="0"/>
      <w:marBottom w:val="0"/>
      <w:divBdr>
        <w:top w:val="none" w:sz="0" w:space="0" w:color="auto"/>
        <w:left w:val="none" w:sz="0" w:space="0" w:color="auto"/>
        <w:bottom w:val="none" w:sz="0" w:space="0" w:color="auto"/>
        <w:right w:val="none" w:sz="0" w:space="0" w:color="auto"/>
      </w:divBdr>
    </w:div>
    <w:div w:id="506946504">
      <w:bodyDiv w:val="1"/>
      <w:marLeft w:val="0"/>
      <w:marRight w:val="0"/>
      <w:marTop w:val="0"/>
      <w:marBottom w:val="0"/>
      <w:divBdr>
        <w:top w:val="none" w:sz="0" w:space="0" w:color="auto"/>
        <w:left w:val="none" w:sz="0" w:space="0" w:color="auto"/>
        <w:bottom w:val="none" w:sz="0" w:space="0" w:color="auto"/>
        <w:right w:val="none" w:sz="0" w:space="0" w:color="auto"/>
      </w:divBdr>
    </w:div>
    <w:div w:id="560143521">
      <w:bodyDiv w:val="1"/>
      <w:marLeft w:val="0"/>
      <w:marRight w:val="0"/>
      <w:marTop w:val="0"/>
      <w:marBottom w:val="0"/>
      <w:divBdr>
        <w:top w:val="none" w:sz="0" w:space="0" w:color="auto"/>
        <w:left w:val="none" w:sz="0" w:space="0" w:color="auto"/>
        <w:bottom w:val="none" w:sz="0" w:space="0" w:color="auto"/>
        <w:right w:val="none" w:sz="0" w:space="0" w:color="auto"/>
      </w:divBdr>
    </w:div>
    <w:div w:id="577903038">
      <w:bodyDiv w:val="1"/>
      <w:marLeft w:val="0"/>
      <w:marRight w:val="0"/>
      <w:marTop w:val="0"/>
      <w:marBottom w:val="0"/>
      <w:divBdr>
        <w:top w:val="none" w:sz="0" w:space="0" w:color="auto"/>
        <w:left w:val="none" w:sz="0" w:space="0" w:color="auto"/>
        <w:bottom w:val="none" w:sz="0" w:space="0" w:color="auto"/>
        <w:right w:val="none" w:sz="0" w:space="0" w:color="auto"/>
      </w:divBdr>
      <w:divsChild>
        <w:div w:id="1623806759">
          <w:marLeft w:val="547"/>
          <w:marRight w:val="0"/>
          <w:marTop w:val="86"/>
          <w:marBottom w:val="0"/>
          <w:divBdr>
            <w:top w:val="none" w:sz="0" w:space="0" w:color="auto"/>
            <w:left w:val="none" w:sz="0" w:space="0" w:color="auto"/>
            <w:bottom w:val="none" w:sz="0" w:space="0" w:color="auto"/>
            <w:right w:val="none" w:sz="0" w:space="0" w:color="auto"/>
          </w:divBdr>
        </w:div>
      </w:divsChild>
    </w:div>
    <w:div w:id="601835876">
      <w:bodyDiv w:val="1"/>
      <w:marLeft w:val="0"/>
      <w:marRight w:val="0"/>
      <w:marTop w:val="0"/>
      <w:marBottom w:val="0"/>
      <w:divBdr>
        <w:top w:val="none" w:sz="0" w:space="0" w:color="auto"/>
        <w:left w:val="none" w:sz="0" w:space="0" w:color="auto"/>
        <w:bottom w:val="none" w:sz="0" w:space="0" w:color="auto"/>
        <w:right w:val="none" w:sz="0" w:space="0" w:color="auto"/>
      </w:divBdr>
    </w:div>
    <w:div w:id="602080372">
      <w:bodyDiv w:val="1"/>
      <w:marLeft w:val="0"/>
      <w:marRight w:val="0"/>
      <w:marTop w:val="0"/>
      <w:marBottom w:val="0"/>
      <w:divBdr>
        <w:top w:val="none" w:sz="0" w:space="0" w:color="auto"/>
        <w:left w:val="none" w:sz="0" w:space="0" w:color="auto"/>
        <w:bottom w:val="none" w:sz="0" w:space="0" w:color="auto"/>
        <w:right w:val="none" w:sz="0" w:space="0" w:color="auto"/>
      </w:divBdr>
    </w:div>
    <w:div w:id="609749156">
      <w:bodyDiv w:val="1"/>
      <w:marLeft w:val="0"/>
      <w:marRight w:val="0"/>
      <w:marTop w:val="0"/>
      <w:marBottom w:val="0"/>
      <w:divBdr>
        <w:top w:val="none" w:sz="0" w:space="0" w:color="auto"/>
        <w:left w:val="none" w:sz="0" w:space="0" w:color="auto"/>
        <w:bottom w:val="none" w:sz="0" w:space="0" w:color="auto"/>
        <w:right w:val="none" w:sz="0" w:space="0" w:color="auto"/>
      </w:divBdr>
    </w:div>
    <w:div w:id="629628759">
      <w:bodyDiv w:val="1"/>
      <w:marLeft w:val="0"/>
      <w:marRight w:val="0"/>
      <w:marTop w:val="0"/>
      <w:marBottom w:val="0"/>
      <w:divBdr>
        <w:top w:val="none" w:sz="0" w:space="0" w:color="auto"/>
        <w:left w:val="none" w:sz="0" w:space="0" w:color="auto"/>
        <w:bottom w:val="none" w:sz="0" w:space="0" w:color="auto"/>
        <w:right w:val="none" w:sz="0" w:space="0" w:color="auto"/>
      </w:divBdr>
    </w:div>
    <w:div w:id="633220302">
      <w:bodyDiv w:val="1"/>
      <w:marLeft w:val="0"/>
      <w:marRight w:val="0"/>
      <w:marTop w:val="0"/>
      <w:marBottom w:val="0"/>
      <w:divBdr>
        <w:top w:val="none" w:sz="0" w:space="0" w:color="auto"/>
        <w:left w:val="none" w:sz="0" w:space="0" w:color="auto"/>
        <w:bottom w:val="none" w:sz="0" w:space="0" w:color="auto"/>
        <w:right w:val="none" w:sz="0" w:space="0" w:color="auto"/>
      </w:divBdr>
    </w:div>
    <w:div w:id="645933457">
      <w:bodyDiv w:val="1"/>
      <w:marLeft w:val="0"/>
      <w:marRight w:val="0"/>
      <w:marTop w:val="0"/>
      <w:marBottom w:val="0"/>
      <w:divBdr>
        <w:top w:val="none" w:sz="0" w:space="0" w:color="auto"/>
        <w:left w:val="none" w:sz="0" w:space="0" w:color="auto"/>
        <w:bottom w:val="none" w:sz="0" w:space="0" w:color="auto"/>
        <w:right w:val="none" w:sz="0" w:space="0" w:color="auto"/>
      </w:divBdr>
      <w:divsChild>
        <w:div w:id="86198770">
          <w:marLeft w:val="360"/>
          <w:marRight w:val="0"/>
          <w:marTop w:val="200"/>
          <w:marBottom w:val="0"/>
          <w:divBdr>
            <w:top w:val="none" w:sz="0" w:space="0" w:color="auto"/>
            <w:left w:val="none" w:sz="0" w:space="0" w:color="auto"/>
            <w:bottom w:val="none" w:sz="0" w:space="0" w:color="auto"/>
            <w:right w:val="none" w:sz="0" w:space="0" w:color="auto"/>
          </w:divBdr>
        </w:div>
        <w:div w:id="1895848216">
          <w:marLeft w:val="360"/>
          <w:marRight w:val="0"/>
          <w:marTop w:val="200"/>
          <w:marBottom w:val="0"/>
          <w:divBdr>
            <w:top w:val="none" w:sz="0" w:space="0" w:color="auto"/>
            <w:left w:val="none" w:sz="0" w:space="0" w:color="auto"/>
            <w:bottom w:val="none" w:sz="0" w:space="0" w:color="auto"/>
            <w:right w:val="none" w:sz="0" w:space="0" w:color="auto"/>
          </w:divBdr>
        </w:div>
        <w:div w:id="2145540680">
          <w:marLeft w:val="360"/>
          <w:marRight w:val="0"/>
          <w:marTop w:val="200"/>
          <w:marBottom w:val="0"/>
          <w:divBdr>
            <w:top w:val="none" w:sz="0" w:space="0" w:color="auto"/>
            <w:left w:val="none" w:sz="0" w:space="0" w:color="auto"/>
            <w:bottom w:val="none" w:sz="0" w:space="0" w:color="auto"/>
            <w:right w:val="none" w:sz="0" w:space="0" w:color="auto"/>
          </w:divBdr>
        </w:div>
      </w:divsChild>
    </w:div>
    <w:div w:id="667907903">
      <w:bodyDiv w:val="1"/>
      <w:marLeft w:val="0"/>
      <w:marRight w:val="0"/>
      <w:marTop w:val="0"/>
      <w:marBottom w:val="0"/>
      <w:divBdr>
        <w:top w:val="none" w:sz="0" w:space="0" w:color="auto"/>
        <w:left w:val="none" w:sz="0" w:space="0" w:color="auto"/>
        <w:bottom w:val="none" w:sz="0" w:space="0" w:color="auto"/>
        <w:right w:val="none" w:sz="0" w:space="0" w:color="auto"/>
      </w:divBdr>
    </w:div>
    <w:div w:id="673535863">
      <w:bodyDiv w:val="1"/>
      <w:marLeft w:val="0"/>
      <w:marRight w:val="0"/>
      <w:marTop w:val="0"/>
      <w:marBottom w:val="0"/>
      <w:divBdr>
        <w:top w:val="none" w:sz="0" w:space="0" w:color="auto"/>
        <w:left w:val="none" w:sz="0" w:space="0" w:color="auto"/>
        <w:bottom w:val="none" w:sz="0" w:space="0" w:color="auto"/>
        <w:right w:val="none" w:sz="0" w:space="0" w:color="auto"/>
      </w:divBdr>
    </w:div>
    <w:div w:id="696388802">
      <w:bodyDiv w:val="1"/>
      <w:marLeft w:val="0"/>
      <w:marRight w:val="0"/>
      <w:marTop w:val="0"/>
      <w:marBottom w:val="0"/>
      <w:divBdr>
        <w:top w:val="none" w:sz="0" w:space="0" w:color="auto"/>
        <w:left w:val="none" w:sz="0" w:space="0" w:color="auto"/>
        <w:bottom w:val="none" w:sz="0" w:space="0" w:color="auto"/>
        <w:right w:val="none" w:sz="0" w:space="0" w:color="auto"/>
      </w:divBdr>
    </w:div>
    <w:div w:id="730345227">
      <w:bodyDiv w:val="1"/>
      <w:marLeft w:val="0"/>
      <w:marRight w:val="0"/>
      <w:marTop w:val="0"/>
      <w:marBottom w:val="0"/>
      <w:divBdr>
        <w:top w:val="none" w:sz="0" w:space="0" w:color="auto"/>
        <w:left w:val="none" w:sz="0" w:space="0" w:color="auto"/>
        <w:bottom w:val="none" w:sz="0" w:space="0" w:color="auto"/>
        <w:right w:val="none" w:sz="0" w:space="0" w:color="auto"/>
      </w:divBdr>
    </w:div>
    <w:div w:id="750005612">
      <w:bodyDiv w:val="1"/>
      <w:marLeft w:val="0"/>
      <w:marRight w:val="0"/>
      <w:marTop w:val="0"/>
      <w:marBottom w:val="0"/>
      <w:divBdr>
        <w:top w:val="none" w:sz="0" w:space="0" w:color="auto"/>
        <w:left w:val="none" w:sz="0" w:space="0" w:color="auto"/>
        <w:bottom w:val="none" w:sz="0" w:space="0" w:color="auto"/>
        <w:right w:val="none" w:sz="0" w:space="0" w:color="auto"/>
      </w:divBdr>
    </w:div>
    <w:div w:id="751778733">
      <w:bodyDiv w:val="1"/>
      <w:marLeft w:val="0"/>
      <w:marRight w:val="0"/>
      <w:marTop w:val="0"/>
      <w:marBottom w:val="0"/>
      <w:divBdr>
        <w:top w:val="none" w:sz="0" w:space="0" w:color="auto"/>
        <w:left w:val="none" w:sz="0" w:space="0" w:color="auto"/>
        <w:bottom w:val="none" w:sz="0" w:space="0" w:color="auto"/>
        <w:right w:val="none" w:sz="0" w:space="0" w:color="auto"/>
      </w:divBdr>
      <w:divsChild>
        <w:div w:id="1256549398">
          <w:marLeft w:val="547"/>
          <w:marRight w:val="0"/>
          <w:marTop w:val="0"/>
          <w:marBottom w:val="0"/>
          <w:divBdr>
            <w:top w:val="none" w:sz="0" w:space="0" w:color="auto"/>
            <w:left w:val="none" w:sz="0" w:space="0" w:color="auto"/>
            <w:bottom w:val="none" w:sz="0" w:space="0" w:color="auto"/>
            <w:right w:val="none" w:sz="0" w:space="0" w:color="auto"/>
          </w:divBdr>
        </w:div>
      </w:divsChild>
    </w:div>
    <w:div w:id="790199745">
      <w:bodyDiv w:val="1"/>
      <w:marLeft w:val="0"/>
      <w:marRight w:val="0"/>
      <w:marTop w:val="0"/>
      <w:marBottom w:val="0"/>
      <w:divBdr>
        <w:top w:val="none" w:sz="0" w:space="0" w:color="auto"/>
        <w:left w:val="none" w:sz="0" w:space="0" w:color="auto"/>
        <w:bottom w:val="none" w:sz="0" w:space="0" w:color="auto"/>
        <w:right w:val="none" w:sz="0" w:space="0" w:color="auto"/>
      </w:divBdr>
    </w:div>
    <w:div w:id="804591636">
      <w:bodyDiv w:val="1"/>
      <w:marLeft w:val="0"/>
      <w:marRight w:val="0"/>
      <w:marTop w:val="0"/>
      <w:marBottom w:val="0"/>
      <w:divBdr>
        <w:top w:val="none" w:sz="0" w:space="0" w:color="auto"/>
        <w:left w:val="none" w:sz="0" w:space="0" w:color="auto"/>
        <w:bottom w:val="none" w:sz="0" w:space="0" w:color="auto"/>
        <w:right w:val="none" w:sz="0" w:space="0" w:color="auto"/>
      </w:divBdr>
    </w:div>
    <w:div w:id="809522081">
      <w:bodyDiv w:val="1"/>
      <w:marLeft w:val="0"/>
      <w:marRight w:val="0"/>
      <w:marTop w:val="0"/>
      <w:marBottom w:val="0"/>
      <w:divBdr>
        <w:top w:val="none" w:sz="0" w:space="0" w:color="auto"/>
        <w:left w:val="none" w:sz="0" w:space="0" w:color="auto"/>
        <w:bottom w:val="none" w:sz="0" w:space="0" w:color="auto"/>
        <w:right w:val="none" w:sz="0" w:space="0" w:color="auto"/>
      </w:divBdr>
    </w:div>
    <w:div w:id="820660625">
      <w:bodyDiv w:val="1"/>
      <w:marLeft w:val="0"/>
      <w:marRight w:val="0"/>
      <w:marTop w:val="0"/>
      <w:marBottom w:val="0"/>
      <w:divBdr>
        <w:top w:val="none" w:sz="0" w:space="0" w:color="auto"/>
        <w:left w:val="none" w:sz="0" w:space="0" w:color="auto"/>
        <w:bottom w:val="none" w:sz="0" w:space="0" w:color="auto"/>
        <w:right w:val="none" w:sz="0" w:space="0" w:color="auto"/>
      </w:divBdr>
    </w:div>
    <w:div w:id="829518740">
      <w:bodyDiv w:val="1"/>
      <w:marLeft w:val="0"/>
      <w:marRight w:val="0"/>
      <w:marTop w:val="0"/>
      <w:marBottom w:val="0"/>
      <w:divBdr>
        <w:top w:val="none" w:sz="0" w:space="0" w:color="auto"/>
        <w:left w:val="none" w:sz="0" w:space="0" w:color="auto"/>
        <w:bottom w:val="none" w:sz="0" w:space="0" w:color="auto"/>
        <w:right w:val="none" w:sz="0" w:space="0" w:color="auto"/>
      </w:divBdr>
    </w:div>
    <w:div w:id="851997416">
      <w:bodyDiv w:val="1"/>
      <w:marLeft w:val="0"/>
      <w:marRight w:val="0"/>
      <w:marTop w:val="0"/>
      <w:marBottom w:val="0"/>
      <w:divBdr>
        <w:top w:val="none" w:sz="0" w:space="0" w:color="auto"/>
        <w:left w:val="none" w:sz="0" w:space="0" w:color="auto"/>
        <w:bottom w:val="none" w:sz="0" w:space="0" w:color="auto"/>
        <w:right w:val="none" w:sz="0" w:space="0" w:color="auto"/>
      </w:divBdr>
    </w:div>
    <w:div w:id="858617432">
      <w:bodyDiv w:val="1"/>
      <w:marLeft w:val="0"/>
      <w:marRight w:val="0"/>
      <w:marTop w:val="0"/>
      <w:marBottom w:val="0"/>
      <w:divBdr>
        <w:top w:val="none" w:sz="0" w:space="0" w:color="auto"/>
        <w:left w:val="none" w:sz="0" w:space="0" w:color="auto"/>
        <w:bottom w:val="none" w:sz="0" w:space="0" w:color="auto"/>
        <w:right w:val="none" w:sz="0" w:space="0" w:color="auto"/>
      </w:divBdr>
    </w:div>
    <w:div w:id="871191237">
      <w:bodyDiv w:val="1"/>
      <w:marLeft w:val="0"/>
      <w:marRight w:val="0"/>
      <w:marTop w:val="0"/>
      <w:marBottom w:val="0"/>
      <w:divBdr>
        <w:top w:val="none" w:sz="0" w:space="0" w:color="auto"/>
        <w:left w:val="none" w:sz="0" w:space="0" w:color="auto"/>
        <w:bottom w:val="none" w:sz="0" w:space="0" w:color="auto"/>
        <w:right w:val="none" w:sz="0" w:space="0" w:color="auto"/>
      </w:divBdr>
      <w:divsChild>
        <w:div w:id="21447089">
          <w:marLeft w:val="1440"/>
          <w:marRight w:val="0"/>
          <w:marTop w:val="0"/>
          <w:marBottom w:val="0"/>
          <w:divBdr>
            <w:top w:val="none" w:sz="0" w:space="0" w:color="auto"/>
            <w:left w:val="none" w:sz="0" w:space="0" w:color="auto"/>
            <w:bottom w:val="none" w:sz="0" w:space="0" w:color="auto"/>
            <w:right w:val="none" w:sz="0" w:space="0" w:color="auto"/>
          </w:divBdr>
        </w:div>
        <w:div w:id="836534235">
          <w:marLeft w:val="1440"/>
          <w:marRight w:val="0"/>
          <w:marTop w:val="0"/>
          <w:marBottom w:val="0"/>
          <w:divBdr>
            <w:top w:val="none" w:sz="0" w:space="0" w:color="auto"/>
            <w:left w:val="none" w:sz="0" w:space="0" w:color="auto"/>
            <w:bottom w:val="none" w:sz="0" w:space="0" w:color="auto"/>
            <w:right w:val="none" w:sz="0" w:space="0" w:color="auto"/>
          </w:divBdr>
        </w:div>
        <w:div w:id="1394619757">
          <w:marLeft w:val="1440"/>
          <w:marRight w:val="0"/>
          <w:marTop w:val="0"/>
          <w:marBottom w:val="0"/>
          <w:divBdr>
            <w:top w:val="none" w:sz="0" w:space="0" w:color="auto"/>
            <w:left w:val="none" w:sz="0" w:space="0" w:color="auto"/>
            <w:bottom w:val="none" w:sz="0" w:space="0" w:color="auto"/>
            <w:right w:val="none" w:sz="0" w:space="0" w:color="auto"/>
          </w:divBdr>
        </w:div>
        <w:div w:id="1549074510">
          <w:marLeft w:val="1440"/>
          <w:marRight w:val="0"/>
          <w:marTop w:val="0"/>
          <w:marBottom w:val="0"/>
          <w:divBdr>
            <w:top w:val="none" w:sz="0" w:space="0" w:color="auto"/>
            <w:left w:val="none" w:sz="0" w:space="0" w:color="auto"/>
            <w:bottom w:val="none" w:sz="0" w:space="0" w:color="auto"/>
            <w:right w:val="none" w:sz="0" w:space="0" w:color="auto"/>
          </w:divBdr>
        </w:div>
        <w:div w:id="1564021390">
          <w:marLeft w:val="1440"/>
          <w:marRight w:val="0"/>
          <w:marTop w:val="0"/>
          <w:marBottom w:val="0"/>
          <w:divBdr>
            <w:top w:val="none" w:sz="0" w:space="0" w:color="auto"/>
            <w:left w:val="none" w:sz="0" w:space="0" w:color="auto"/>
            <w:bottom w:val="none" w:sz="0" w:space="0" w:color="auto"/>
            <w:right w:val="none" w:sz="0" w:space="0" w:color="auto"/>
          </w:divBdr>
        </w:div>
      </w:divsChild>
    </w:div>
    <w:div w:id="893588881">
      <w:bodyDiv w:val="1"/>
      <w:marLeft w:val="0"/>
      <w:marRight w:val="0"/>
      <w:marTop w:val="0"/>
      <w:marBottom w:val="0"/>
      <w:divBdr>
        <w:top w:val="none" w:sz="0" w:space="0" w:color="auto"/>
        <w:left w:val="none" w:sz="0" w:space="0" w:color="auto"/>
        <w:bottom w:val="none" w:sz="0" w:space="0" w:color="auto"/>
        <w:right w:val="none" w:sz="0" w:space="0" w:color="auto"/>
      </w:divBdr>
    </w:div>
    <w:div w:id="901525500">
      <w:bodyDiv w:val="1"/>
      <w:marLeft w:val="0"/>
      <w:marRight w:val="0"/>
      <w:marTop w:val="0"/>
      <w:marBottom w:val="0"/>
      <w:divBdr>
        <w:top w:val="none" w:sz="0" w:space="0" w:color="auto"/>
        <w:left w:val="none" w:sz="0" w:space="0" w:color="auto"/>
        <w:bottom w:val="none" w:sz="0" w:space="0" w:color="auto"/>
        <w:right w:val="none" w:sz="0" w:space="0" w:color="auto"/>
      </w:divBdr>
    </w:div>
    <w:div w:id="901601597">
      <w:bodyDiv w:val="1"/>
      <w:marLeft w:val="0"/>
      <w:marRight w:val="0"/>
      <w:marTop w:val="0"/>
      <w:marBottom w:val="0"/>
      <w:divBdr>
        <w:top w:val="none" w:sz="0" w:space="0" w:color="auto"/>
        <w:left w:val="none" w:sz="0" w:space="0" w:color="auto"/>
        <w:bottom w:val="none" w:sz="0" w:space="0" w:color="auto"/>
        <w:right w:val="none" w:sz="0" w:space="0" w:color="auto"/>
      </w:divBdr>
    </w:div>
    <w:div w:id="904150059">
      <w:bodyDiv w:val="1"/>
      <w:marLeft w:val="0"/>
      <w:marRight w:val="0"/>
      <w:marTop w:val="0"/>
      <w:marBottom w:val="0"/>
      <w:divBdr>
        <w:top w:val="none" w:sz="0" w:space="0" w:color="auto"/>
        <w:left w:val="none" w:sz="0" w:space="0" w:color="auto"/>
        <w:bottom w:val="none" w:sz="0" w:space="0" w:color="auto"/>
        <w:right w:val="none" w:sz="0" w:space="0" w:color="auto"/>
      </w:divBdr>
    </w:div>
    <w:div w:id="922907744">
      <w:bodyDiv w:val="1"/>
      <w:marLeft w:val="0"/>
      <w:marRight w:val="0"/>
      <w:marTop w:val="0"/>
      <w:marBottom w:val="0"/>
      <w:divBdr>
        <w:top w:val="none" w:sz="0" w:space="0" w:color="auto"/>
        <w:left w:val="none" w:sz="0" w:space="0" w:color="auto"/>
        <w:bottom w:val="none" w:sz="0" w:space="0" w:color="auto"/>
        <w:right w:val="none" w:sz="0" w:space="0" w:color="auto"/>
      </w:divBdr>
    </w:div>
    <w:div w:id="933634795">
      <w:bodyDiv w:val="1"/>
      <w:marLeft w:val="0"/>
      <w:marRight w:val="0"/>
      <w:marTop w:val="0"/>
      <w:marBottom w:val="0"/>
      <w:divBdr>
        <w:top w:val="none" w:sz="0" w:space="0" w:color="auto"/>
        <w:left w:val="none" w:sz="0" w:space="0" w:color="auto"/>
        <w:bottom w:val="none" w:sz="0" w:space="0" w:color="auto"/>
        <w:right w:val="none" w:sz="0" w:space="0" w:color="auto"/>
      </w:divBdr>
      <w:divsChild>
        <w:div w:id="1023441740">
          <w:marLeft w:val="0"/>
          <w:marRight w:val="0"/>
          <w:marTop w:val="0"/>
          <w:marBottom w:val="0"/>
          <w:divBdr>
            <w:top w:val="none" w:sz="0" w:space="0" w:color="auto"/>
            <w:left w:val="none" w:sz="0" w:space="0" w:color="auto"/>
            <w:bottom w:val="none" w:sz="0" w:space="0" w:color="auto"/>
            <w:right w:val="none" w:sz="0" w:space="0" w:color="auto"/>
          </w:divBdr>
          <w:divsChild>
            <w:div w:id="1248804490">
              <w:marLeft w:val="0"/>
              <w:marRight w:val="0"/>
              <w:marTop w:val="0"/>
              <w:marBottom w:val="0"/>
              <w:divBdr>
                <w:top w:val="none" w:sz="0" w:space="0" w:color="auto"/>
                <w:left w:val="none" w:sz="0" w:space="0" w:color="auto"/>
                <w:bottom w:val="none" w:sz="0" w:space="0" w:color="auto"/>
                <w:right w:val="none" w:sz="0" w:space="0" w:color="auto"/>
              </w:divBdr>
              <w:divsChild>
                <w:div w:id="1766733239">
                  <w:marLeft w:val="0"/>
                  <w:marRight w:val="0"/>
                  <w:marTop w:val="0"/>
                  <w:marBottom w:val="0"/>
                  <w:divBdr>
                    <w:top w:val="none" w:sz="0" w:space="0" w:color="auto"/>
                    <w:left w:val="none" w:sz="0" w:space="0" w:color="auto"/>
                    <w:bottom w:val="none" w:sz="0" w:space="0" w:color="auto"/>
                    <w:right w:val="none" w:sz="0" w:space="0" w:color="auto"/>
                  </w:divBdr>
                  <w:divsChild>
                    <w:div w:id="405734873">
                      <w:marLeft w:val="0"/>
                      <w:marRight w:val="0"/>
                      <w:marTop w:val="0"/>
                      <w:marBottom w:val="0"/>
                      <w:divBdr>
                        <w:top w:val="none" w:sz="0" w:space="0" w:color="auto"/>
                        <w:left w:val="none" w:sz="0" w:space="0" w:color="auto"/>
                        <w:bottom w:val="none" w:sz="0" w:space="0" w:color="auto"/>
                        <w:right w:val="none" w:sz="0" w:space="0" w:color="auto"/>
                      </w:divBdr>
                      <w:divsChild>
                        <w:div w:id="1719236473">
                          <w:marLeft w:val="0"/>
                          <w:marRight w:val="0"/>
                          <w:marTop w:val="0"/>
                          <w:marBottom w:val="0"/>
                          <w:divBdr>
                            <w:top w:val="none" w:sz="0" w:space="0" w:color="auto"/>
                            <w:left w:val="none" w:sz="0" w:space="0" w:color="auto"/>
                            <w:bottom w:val="none" w:sz="0" w:space="0" w:color="auto"/>
                            <w:right w:val="none" w:sz="0" w:space="0" w:color="auto"/>
                          </w:divBdr>
                          <w:divsChild>
                            <w:div w:id="2003121562">
                              <w:marLeft w:val="0"/>
                              <w:marRight w:val="0"/>
                              <w:marTop w:val="0"/>
                              <w:marBottom w:val="0"/>
                              <w:divBdr>
                                <w:top w:val="none" w:sz="0" w:space="0" w:color="auto"/>
                                <w:left w:val="none" w:sz="0" w:space="0" w:color="auto"/>
                                <w:bottom w:val="none" w:sz="0" w:space="0" w:color="auto"/>
                                <w:right w:val="none" w:sz="0" w:space="0" w:color="auto"/>
                              </w:divBdr>
                              <w:divsChild>
                                <w:div w:id="429786629">
                                  <w:marLeft w:val="0"/>
                                  <w:marRight w:val="0"/>
                                  <w:marTop w:val="0"/>
                                  <w:marBottom w:val="0"/>
                                  <w:divBdr>
                                    <w:top w:val="none" w:sz="0" w:space="0" w:color="auto"/>
                                    <w:left w:val="none" w:sz="0" w:space="0" w:color="auto"/>
                                    <w:bottom w:val="none" w:sz="0" w:space="0" w:color="auto"/>
                                    <w:right w:val="none" w:sz="0" w:space="0" w:color="auto"/>
                                  </w:divBdr>
                                  <w:divsChild>
                                    <w:div w:id="1008750938">
                                      <w:marLeft w:val="60"/>
                                      <w:marRight w:val="0"/>
                                      <w:marTop w:val="0"/>
                                      <w:marBottom w:val="0"/>
                                      <w:divBdr>
                                        <w:top w:val="none" w:sz="0" w:space="0" w:color="auto"/>
                                        <w:left w:val="none" w:sz="0" w:space="0" w:color="auto"/>
                                        <w:bottom w:val="none" w:sz="0" w:space="0" w:color="auto"/>
                                        <w:right w:val="none" w:sz="0" w:space="0" w:color="auto"/>
                                      </w:divBdr>
                                      <w:divsChild>
                                        <w:div w:id="2139951901">
                                          <w:marLeft w:val="0"/>
                                          <w:marRight w:val="0"/>
                                          <w:marTop w:val="0"/>
                                          <w:marBottom w:val="0"/>
                                          <w:divBdr>
                                            <w:top w:val="none" w:sz="0" w:space="0" w:color="auto"/>
                                            <w:left w:val="none" w:sz="0" w:space="0" w:color="auto"/>
                                            <w:bottom w:val="none" w:sz="0" w:space="0" w:color="auto"/>
                                            <w:right w:val="none" w:sz="0" w:space="0" w:color="auto"/>
                                          </w:divBdr>
                                          <w:divsChild>
                                            <w:div w:id="1167284687">
                                              <w:marLeft w:val="0"/>
                                              <w:marRight w:val="0"/>
                                              <w:marTop w:val="0"/>
                                              <w:marBottom w:val="120"/>
                                              <w:divBdr>
                                                <w:top w:val="single" w:sz="6" w:space="0" w:color="F5F5F5"/>
                                                <w:left w:val="single" w:sz="6" w:space="0" w:color="F5F5F5"/>
                                                <w:bottom w:val="single" w:sz="6" w:space="0" w:color="F5F5F5"/>
                                                <w:right w:val="single" w:sz="6" w:space="0" w:color="F5F5F5"/>
                                              </w:divBdr>
                                              <w:divsChild>
                                                <w:div w:id="518004096">
                                                  <w:marLeft w:val="0"/>
                                                  <w:marRight w:val="0"/>
                                                  <w:marTop w:val="0"/>
                                                  <w:marBottom w:val="0"/>
                                                  <w:divBdr>
                                                    <w:top w:val="none" w:sz="0" w:space="0" w:color="auto"/>
                                                    <w:left w:val="none" w:sz="0" w:space="0" w:color="auto"/>
                                                    <w:bottom w:val="none" w:sz="0" w:space="0" w:color="auto"/>
                                                    <w:right w:val="none" w:sz="0" w:space="0" w:color="auto"/>
                                                  </w:divBdr>
                                                  <w:divsChild>
                                                    <w:div w:id="1348213205">
                                                      <w:marLeft w:val="0"/>
                                                      <w:marRight w:val="0"/>
                                                      <w:marTop w:val="0"/>
                                                      <w:marBottom w:val="0"/>
                                                      <w:divBdr>
                                                        <w:top w:val="none" w:sz="0" w:space="0" w:color="auto"/>
                                                        <w:left w:val="none" w:sz="0" w:space="0" w:color="auto"/>
                                                        <w:bottom w:val="none" w:sz="0" w:space="0" w:color="auto"/>
                                                        <w:right w:val="none" w:sz="0" w:space="0" w:color="auto"/>
                                                      </w:divBdr>
                                                    </w:div>
                                                  </w:divsChild>
                                                </w:div>
                                                <w:div w:id="724136249">
                                                  <w:marLeft w:val="0"/>
                                                  <w:marRight w:val="0"/>
                                                  <w:marTop w:val="0"/>
                                                  <w:marBottom w:val="0"/>
                                                  <w:divBdr>
                                                    <w:top w:val="none" w:sz="0" w:space="0" w:color="auto"/>
                                                    <w:left w:val="none" w:sz="0" w:space="0" w:color="auto"/>
                                                    <w:bottom w:val="none" w:sz="0" w:space="0" w:color="auto"/>
                                                    <w:right w:val="none" w:sz="0" w:space="0" w:color="auto"/>
                                                  </w:divBdr>
                                                  <w:divsChild>
                                                    <w:div w:id="1316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8485793">
      <w:bodyDiv w:val="1"/>
      <w:marLeft w:val="0"/>
      <w:marRight w:val="0"/>
      <w:marTop w:val="0"/>
      <w:marBottom w:val="0"/>
      <w:divBdr>
        <w:top w:val="none" w:sz="0" w:space="0" w:color="auto"/>
        <w:left w:val="none" w:sz="0" w:space="0" w:color="auto"/>
        <w:bottom w:val="none" w:sz="0" w:space="0" w:color="auto"/>
        <w:right w:val="none" w:sz="0" w:space="0" w:color="auto"/>
      </w:divBdr>
    </w:div>
    <w:div w:id="938639262">
      <w:bodyDiv w:val="1"/>
      <w:marLeft w:val="0"/>
      <w:marRight w:val="0"/>
      <w:marTop w:val="0"/>
      <w:marBottom w:val="0"/>
      <w:divBdr>
        <w:top w:val="none" w:sz="0" w:space="0" w:color="auto"/>
        <w:left w:val="none" w:sz="0" w:space="0" w:color="auto"/>
        <w:bottom w:val="none" w:sz="0" w:space="0" w:color="auto"/>
        <w:right w:val="none" w:sz="0" w:space="0" w:color="auto"/>
      </w:divBdr>
      <w:divsChild>
        <w:div w:id="868907562">
          <w:marLeft w:val="547"/>
          <w:marRight w:val="0"/>
          <w:marTop w:val="86"/>
          <w:marBottom w:val="0"/>
          <w:divBdr>
            <w:top w:val="none" w:sz="0" w:space="0" w:color="auto"/>
            <w:left w:val="none" w:sz="0" w:space="0" w:color="auto"/>
            <w:bottom w:val="none" w:sz="0" w:space="0" w:color="auto"/>
            <w:right w:val="none" w:sz="0" w:space="0" w:color="auto"/>
          </w:divBdr>
        </w:div>
      </w:divsChild>
    </w:div>
    <w:div w:id="949244792">
      <w:bodyDiv w:val="1"/>
      <w:marLeft w:val="0"/>
      <w:marRight w:val="0"/>
      <w:marTop w:val="0"/>
      <w:marBottom w:val="0"/>
      <w:divBdr>
        <w:top w:val="none" w:sz="0" w:space="0" w:color="auto"/>
        <w:left w:val="none" w:sz="0" w:space="0" w:color="auto"/>
        <w:bottom w:val="none" w:sz="0" w:space="0" w:color="auto"/>
        <w:right w:val="none" w:sz="0" w:space="0" w:color="auto"/>
      </w:divBdr>
    </w:div>
    <w:div w:id="966357348">
      <w:bodyDiv w:val="1"/>
      <w:marLeft w:val="0"/>
      <w:marRight w:val="0"/>
      <w:marTop w:val="0"/>
      <w:marBottom w:val="0"/>
      <w:divBdr>
        <w:top w:val="none" w:sz="0" w:space="0" w:color="auto"/>
        <w:left w:val="none" w:sz="0" w:space="0" w:color="auto"/>
        <w:bottom w:val="none" w:sz="0" w:space="0" w:color="auto"/>
        <w:right w:val="none" w:sz="0" w:space="0" w:color="auto"/>
      </w:divBdr>
    </w:div>
    <w:div w:id="1039671287">
      <w:bodyDiv w:val="1"/>
      <w:marLeft w:val="0"/>
      <w:marRight w:val="0"/>
      <w:marTop w:val="0"/>
      <w:marBottom w:val="0"/>
      <w:divBdr>
        <w:top w:val="none" w:sz="0" w:space="0" w:color="auto"/>
        <w:left w:val="none" w:sz="0" w:space="0" w:color="auto"/>
        <w:bottom w:val="none" w:sz="0" w:space="0" w:color="auto"/>
        <w:right w:val="none" w:sz="0" w:space="0" w:color="auto"/>
      </w:divBdr>
    </w:div>
    <w:div w:id="1044333053">
      <w:bodyDiv w:val="1"/>
      <w:marLeft w:val="0"/>
      <w:marRight w:val="0"/>
      <w:marTop w:val="0"/>
      <w:marBottom w:val="0"/>
      <w:divBdr>
        <w:top w:val="none" w:sz="0" w:space="0" w:color="auto"/>
        <w:left w:val="none" w:sz="0" w:space="0" w:color="auto"/>
        <w:bottom w:val="none" w:sz="0" w:space="0" w:color="auto"/>
        <w:right w:val="none" w:sz="0" w:space="0" w:color="auto"/>
      </w:divBdr>
    </w:div>
    <w:div w:id="1066104694">
      <w:bodyDiv w:val="1"/>
      <w:marLeft w:val="0"/>
      <w:marRight w:val="0"/>
      <w:marTop w:val="0"/>
      <w:marBottom w:val="0"/>
      <w:divBdr>
        <w:top w:val="none" w:sz="0" w:space="0" w:color="auto"/>
        <w:left w:val="none" w:sz="0" w:space="0" w:color="auto"/>
        <w:bottom w:val="none" w:sz="0" w:space="0" w:color="auto"/>
        <w:right w:val="none" w:sz="0" w:space="0" w:color="auto"/>
      </w:divBdr>
    </w:div>
    <w:div w:id="1074856777">
      <w:bodyDiv w:val="1"/>
      <w:marLeft w:val="0"/>
      <w:marRight w:val="0"/>
      <w:marTop w:val="0"/>
      <w:marBottom w:val="0"/>
      <w:divBdr>
        <w:top w:val="none" w:sz="0" w:space="0" w:color="auto"/>
        <w:left w:val="none" w:sz="0" w:space="0" w:color="auto"/>
        <w:bottom w:val="none" w:sz="0" w:space="0" w:color="auto"/>
        <w:right w:val="none" w:sz="0" w:space="0" w:color="auto"/>
      </w:divBdr>
    </w:div>
    <w:div w:id="1079138236">
      <w:bodyDiv w:val="1"/>
      <w:marLeft w:val="0"/>
      <w:marRight w:val="0"/>
      <w:marTop w:val="0"/>
      <w:marBottom w:val="0"/>
      <w:divBdr>
        <w:top w:val="none" w:sz="0" w:space="0" w:color="auto"/>
        <w:left w:val="none" w:sz="0" w:space="0" w:color="auto"/>
        <w:bottom w:val="none" w:sz="0" w:space="0" w:color="auto"/>
        <w:right w:val="none" w:sz="0" w:space="0" w:color="auto"/>
      </w:divBdr>
    </w:div>
    <w:div w:id="1082683439">
      <w:bodyDiv w:val="1"/>
      <w:marLeft w:val="0"/>
      <w:marRight w:val="0"/>
      <w:marTop w:val="0"/>
      <w:marBottom w:val="0"/>
      <w:divBdr>
        <w:top w:val="none" w:sz="0" w:space="0" w:color="auto"/>
        <w:left w:val="none" w:sz="0" w:space="0" w:color="auto"/>
        <w:bottom w:val="none" w:sz="0" w:space="0" w:color="auto"/>
        <w:right w:val="none" w:sz="0" w:space="0" w:color="auto"/>
      </w:divBdr>
      <w:divsChild>
        <w:div w:id="2032684746">
          <w:marLeft w:val="547"/>
          <w:marRight w:val="0"/>
          <w:marTop w:val="86"/>
          <w:marBottom w:val="0"/>
          <w:divBdr>
            <w:top w:val="none" w:sz="0" w:space="0" w:color="auto"/>
            <w:left w:val="none" w:sz="0" w:space="0" w:color="auto"/>
            <w:bottom w:val="none" w:sz="0" w:space="0" w:color="auto"/>
            <w:right w:val="none" w:sz="0" w:space="0" w:color="auto"/>
          </w:divBdr>
        </w:div>
      </w:divsChild>
    </w:div>
    <w:div w:id="1084765109">
      <w:bodyDiv w:val="1"/>
      <w:marLeft w:val="0"/>
      <w:marRight w:val="0"/>
      <w:marTop w:val="0"/>
      <w:marBottom w:val="0"/>
      <w:divBdr>
        <w:top w:val="none" w:sz="0" w:space="0" w:color="auto"/>
        <w:left w:val="none" w:sz="0" w:space="0" w:color="auto"/>
        <w:bottom w:val="none" w:sz="0" w:space="0" w:color="auto"/>
        <w:right w:val="none" w:sz="0" w:space="0" w:color="auto"/>
      </w:divBdr>
    </w:div>
    <w:div w:id="1102602509">
      <w:bodyDiv w:val="1"/>
      <w:marLeft w:val="0"/>
      <w:marRight w:val="0"/>
      <w:marTop w:val="0"/>
      <w:marBottom w:val="0"/>
      <w:divBdr>
        <w:top w:val="none" w:sz="0" w:space="0" w:color="auto"/>
        <w:left w:val="none" w:sz="0" w:space="0" w:color="auto"/>
        <w:bottom w:val="none" w:sz="0" w:space="0" w:color="auto"/>
        <w:right w:val="none" w:sz="0" w:space="0" w:color="auto"/>
      </w:divBdr>
    </w:div>
    <w:div w:id="1123577246">
      <w:bodyDiv w:val="1"/>
      <w:marLeft w:val="0"/>
      <w:marRight w:val="0"/>
      <w:marTop w:val="0"/>
      <w:marBottom w:val="0"/>
      <w:divBdr>
        <w:top w:val="none" w:sz="0" w:space="0" w:color="auto"/>
        <w:left w:val="none" w:sz="0" w:space="0" w:color="auto"/>
        <w:bottom w:val="none" w:sz="0" w:space="0" w:color="auto"/>
        <w:right w:val="none" w:sz="0" w:space="0" w:color="auto"/>
      </w:divBdr>
    </w:div>
    <w:div w:id="1147087961">
      <w:bodyDiv w:val="1"/>
      <w:marLeft w:val="0"/>
      <w:marRight w:val="0"/>
      <w:marTop w:val="0"/>
      <w:marBottom w:val="0"/>
      <w:divBdr>
        <w:top w:val="none" w:sz="0" w:space="0" w:color="auto"/>
        <w:left w:val="none" w:sz="0" w:space="0" w:color="auto"/>
        <w:bottom w:val="none" w:sz="0" w:space="0" w:color="auto"/>
        <w:right w:val="none" w:sz="0" w:space="0" w:color="auto"/>
      </w:divBdr>
    </w:div>
    <w:div w:id="1161579754">
      <w:bodyDiv w:val="1"/>
      <w:marLeft w:val="0"/>
      <w:marRight w:val="0"/>
      <w:marTop w:val="0"/>
      <w:marBottom w:val="0"/>
      <w:divBdr>
        <w:top w:val="none" w:sz="0" w:space="0" w:color="auto"/>
        <w:left w:val="none" w:sz="0" w:space="0" w:color="auto"/>
        <w:bottom w:val="none" w:sz="0" w:space="0" w:color="auto"/>
        <w:right w:val="none" w:sz="0" w:space="0" w:color="auto"/>
      </w:divBdr>
    </w:div>
    <w:div w:id="1231580021">
      <w:bodyDiv w:val="1"/>
      <w:marLeft w:val="0"/>
      <w:marRight w:val="0"/>
      <w:marTop w:val="0"/>
      <w:marBottom w:val="0"/>
      <w:divBdr>
        <w:top w:val="none" w:sz="0" w:space="0" w:color="auto"/>
        <w:left w:val="none" w:sz="0" w:space="0" w:color="auto"/>
        <w:bottom w:val="none" w:sz="0" w:space="0" w:color="auto"/>
        <w:right w:val="none" w:sz="0" w:space="0" w:color="auto"/>
      </w:divBdr>
    </w:div>
    <w:div w:id="1237208764">
      <w:bodyDiv w:val="1"/>
      <w:marLeft w:val="0"/>
      <w:marRight w:val="0"/>
      <w:marTop w:val="0"/>
      <w:marBottom w:val="0"/>
      <w:divBdr>
        <w:top w:val="none" w:sz="0" w:space="0" w:color="auto"/>
        <w:left w:val="none" w:sz="0" w:space="0" w:color="auto"/>
        <w:bottom w:val="none" w:sz="0" w:space="0" w:color="auto"/>
        <w:right w:val="none" w:sz="0" w:space="0" w:color="auto"/>
      </w:divBdr>
    </w:div>
    <w:div w:id="1264145387">
      <w:bodyDiv w:val="1"/>
      <w:marLeft w:val="0"/>
      <w:marRight w:val="0"/>
      <w:marTop w:val="0"/>
      <w:marBottom w:val="0"/>
      <w:divBdr>
        <w:top w:val="none" w:sz="0" w:space="0" w:color="auto"/>
        <w:left w:val="none" w:sz="0" w:space="0" w:color="auto"/>
        <w:bottom w:val="none" w:sz="0" w:space="0" w:color="auto"/>
        <w:right w:val="none" w:sz="0" w:space="0" w:color="auto"/>
      </w:divBdr>
    </w:div>
    <w:div w:id="1276209789">
      <w:bodyDiv w:val="1"/>
      <w:marLeft w:val="0"/>
      <w:marRight w:val="0"/>
      <w:marTop w:val="0"/>
      <w:marBottom w:val="0"/>
      <w:divBdr>
        <w:top w:val="none" w:sz="0" w:space="0" w:color="auto"/>
        <w:left w:val="none" w:sz="0" w:space="0" w:color="auto"/>
        <w:bottom w:val="none" w:sz="0" w:space="0" w:color="auto"/>
        <w:right w:val="none" w:sz="0" w:space="0" w:color="auto"/>
      </w:divBdr>
    </w:div>
    <w:div w:id="1316685951">
      <w:bodyDiv w:val="1"/>
      <w:marLeft w:val="0"/>
      <w:marRight w:val="0"/>
      <w:marTop w:val="0"/>
      <w:marBottom w:val="0"/>
      <w:divBdr>
        <w:top w:val="none" w:sz="0" w:space="0" w:color="auto"/>
        <w:left w:val="none" w:sz="0" w:space="0" w:color="auto"/>
        <w:bottom w:val="none" w:sz="0" w:space="0" w:color="auto"/>
        <w:right w:val="none" w:sz="0" w:space="0" w:color="auto"/>
      </w:divBdr>
    </w:div>
    <w:div w:id="1320771002">
      <w:bodyDiv w:val="1"/>
      <w:marLeft w:val="0"/>
      <w:marRight w:val="0"/>
      <w:marTop w:val="0"/>
      <w:marBottom w:val="0"/>
      <w:divBdr>
        <w:top w:val="none" w:sz="0" w:space="0" w:color="auto"/>
        <w:left w:val="none" w:sz="0" w:space="0" w:color="auto"/>
        <w:bottom w:val="none" w:sz="0" w:space="0" w:color="auto"/>
        <w:right w:val="none" w:sz="0" w:space="0" w:color="auto"/>
      </w:divBdr>
    </w:div>
    <w:div w:id="1328285680">
      <w:bodyDiv w:val="1"/>
      <w:marLeft w:val="0"/>
      <w:marRight w:val="0"/>
      <w:marTop w:val="0"/>
      <w:marBottom w:val="0"/>
      <w:divBdr>
        <w:top w:val="none" w:sz="0" w:space="0" w:color="auto"/>
        <w:left w:val="none" w:sz="0" w:space="0" w:color="auto"/>
        <w:bottom w:val="none" w:sz="0" w:space="0" w:color="auto"/>
        <w:right w:val="none" w:sz="0" w:space="0" w:color="auto"/>
      </w:divBdr>
    </w:div>
    <w:div w:id="1346321658">
      <w:bodyDiv w:val="1"/>
      <w:marLeft w:val="0"/>
      <w:marRight w:val="0"/>
      <w:marTop w:val="0"/>
      <w:marBottom w:val="0"/>
      <w:divBdr>
        <w:top w:val="none" w:sz="0" w:space="0" w:color="auto"/>
        <w:left w:val="none" w:sz="0" w:space="0" w:color="auto"/>
        <w:bottom w:val="none" w:sz="0" w:space="0" w:color="auto"/>
        <w:right w:val="none" w:sz="0" w:space="0" w:color="auto"/>
      </w:divBdr>
    </w:div>
    <w:div w:id="1349060356">
      <w:bodyDiv w:val="1"/>
      <w:marLeft w:val="0"/>
      <w:marRight w:val="0"/>
      <w:marTop w:val="0"/>
      <w:marBottom w:val="0"/>
      <w:divBdr>
        <w:top w:val="none" w:sz="0" w:space="0" w:color="auto"/>
        <w:left w:val="none" w:sz="0" w:space="0" w:color="auto"/>
        <w:bottom w:val="none" w:sz="0" w:space="0" w:color="auto"/>
        <w:right w:val="none" w:sz="0" w:space="0" w:color="auto"/>
      </w:divBdr>
    </w:div>
    <w:div w:id="1349720368">
      <w:bodyDiv w:val="1"/>
      <w:marLeft w:val="0"/>
      <w:marRight w:val="0"/>
      <w:marTop w:val="0"/>
      <w:marBottom w:val="0"/>
      <w:divBdr>
        <w:top w:val="none" w:sz="0" w:space="0" w:color="auto"/>
        <w:left w:val="none" w:sz="0" w:space="0" w:color="auto"/>
        <w:bottom w:val="none" w:sz="0" w:space="0" w:color="auto"/>
        <w:right w:val="none" w:sz="0" w:space="0" w:color="auto"/>
      </w:divBdr>
    </w:div>
    <w:div w:id="1356888028">
      <w:bodyDiv w:val="1"/>
      <w:marLeft w:val="0"/>
      <w:marRight w:val="0"/>
      <w:marTop w:val="0"/>
      <w:marBottom w:val="0"/>
      <w:divBdr>
        <w:top w:val="none" w:sz="0" w:space="0" w:color="auto"/>
        <w:left w:val="none" w:sz="0" w:space="0" w:color="auto"/>
        <w:bottom w:val="none" w:sz="0" w:space="0" w:color="auto"/>
        <w:right w:val="none" w:sz="0" w:space="0" w:color="auto"/>
      </w:divBdr>
      <w:divsChild>
        <w:div w:id="211236513">
          <w:marLeft w:val="360"/>
          <w:marRight w:val="0"/>
          <w:marTop w:val="200"/>
          <w:marBottom w:val="0"/>
          <w:divBdr>
            <w:top w:val="none" w:sz="0" w:space="0" w:color="auto"/>
            <w:left w:val="none" w:sz="0" w:space="0" w:color="auto"/>
            <w:bottom w:val="none" w:sz="0" w:space="0" w:color="auto"/>
            <w:right w:val="none" w:sz="0" w:space="0" w:color="auto"/>
          </w:divBdr>
        </w:div>
        <w:div w:id="1746144562">
          <w:marLeft w:val="360"/>
          <w:marRight w:val="0"/>
          <w:marTop w:val="200"/>
          <w:marBottom w:val="0"/>
          <w:divBdr>
            <w:top w:val="none" w:sz="0" w:space="0" w:color="auto"/>
            <w:left w:val="none" w:sz="0" w:space="0" w:color="auto"/>
            <w:bottom w:val="none" w:sz="0" w:space="0" w:color="auto"/>
            <w:right w:val="none" w:sz="0" w:space="0" w:color="auto"/>
          </w:divBdr>
        </w:div>
      </w:divsChild>
    </w:div>
    <w:div w:id="1359355426">
      <w:bodyDiv w:val="1"/>
      <w:marLeft w:val="0"/>
      <w:marRight w:val="0"/>
      <w:marTop w:val="0"/>
      <w:marBottom w:val="0"/>
      <w:divBdr>
        <w:top w:val="none" w:sz="0" w:space="0" w:color="auto"/>
        <w:left w:val="none" w:sz="0" w:space="0" w:color="auto"/>
        <w:bottom w:val="none" w:sz="0" w:space="0" w:color="auto"/>
        <w:right w:val="none" w:sz="0" w:space="0" w:color="auto"/>
      </w:divBdr>
      <w:divsChild>
        <w:div w:id="1943144430">
          <w:marLeft w:val="1080"/>
          <w:marRight w:val="0"/>
          <w:marTop w:val="100"/>
          <w:marBottom w:val="0"/>
          <w:divBdr>
            <w:top w:val="none" w:sz="0" w:space="0" w:color="auto"/>
            <w:left w:val="none" w:sz="0" w:space="0" w:color="auto"/>
            <w:bottom w:val="none" w:sz="0" w:space="0" w:color="auto"/>
            <w:right w:val="none" w:sz="0" w:space="0" w:color="auto"/>
          </w:divBdr>
        </w:div>
      </w:divsChild>
    </w:div>
    <w:div w:id="1423136721">
      <w:bodyDiv w:val="1"/>
      <w:marLeft w:val="0"/>
      <w:marRight w:val="0"/>
      <w:marTop w:val="0"/>
      <w:marBottom w:val="0"/>
      <w:divBdr>
        <w:top w:val="none" w:sz="0" w:space="0" w:color="auto"/>
        <w:left w:val="none" w:sz="0" w:space="0" w:color="auto"/>
        <w:bottom w:val="none" w:sz="0" w:space="0" w:color="auto"/>
        <w:right w:val="none" w:sz="0" w:space="0" w:color="auto"/>
      </w:divBdr>
    </w:div>
    <w:div w:id="1449662969">
      <w:bodyDiv w:val="1"/>
      <w:marLeft w:val="0"/>
      <w:marRight w:val="0"/>
      <w:marTop w:val="0"/>
      <w:marBottom w:val="0"/>
      <w:divBdr>
        <w:top w:val="none" w:sz="0" w:space="0" w:color="auto"/>
        <w:left w:val="none" w:sz="0" w:space="0" w:color="auto"/>
        <w:bottom w:val="none" w:sz="0" w:space="0" w:color="auto"/>
        <w:right w:val="none" w:sz="0" w:space="0" w:color="auto"/>
      </w:divBdr>
    </w:div>
    <w:div w:id="1469737768">
      <w:bodyDiv w:val="1"/>
      <w:marLeft w:val="0"/>
      <w:marRight w:val="0"/>
      <w:marTop w:val="0"/>
      <w:marBottom w:val="0"/>
      <w:divBdr>
        <w:top w:val="none" w:sz="0" w:space="0" w:color="auto"/>
        <w:left w:val="none" w:sz="0" w:space="0" w:color="auto"/>
        <w:bottom w:val="none" w:sz="0" w:space="0" w:color="auto"/>
        <w:right w:val="none" w:sz="0" w:space="0" w:color="auto"/>
      </w:divBdr>
    </w:div>
    <w:div w:id="1493331113">
      <w:bodyDiv w:val="1"/>
      <w:marLeft w:val="0"/>
      <w:marRight w:val="0"/>
      <w:marTop w:val="0"/>
      <w:marBottom w:val="0"/>
      <w:divBdr>
        <w:top w:val="none" w:sz="0" w:space="0" w:color="auto"/>
        <w:left w:val="none" w:sz="0" w:space="0" w:color="auto"/>
        <w:bottom w:val="none" w:sz="0" w:space="0" w:color="auto"/>
        <w:right w:val="none" w:sz="0" w:space="0" w:color="auto"/>
      </w:divBdr>
    </w:div>
    <w:div w:id="1496148198">
      <w:bodyDiv w:val="1"/>
      <w:marLeft w:val="0"/>
      <w:marRight w:val="0"/>
      <w:marTop w:val="0"/>
      <w:marBottom w:val="0"/>
      <w:divBdr>
        <w:top w:val="none" w:sz="0" w:space="0" w:color="auto"/>
        <w:left w:val="none" w:sz="0" w:space="0" w:color="auto"/>
        <w:bottom w:val="none" w:sz="0" w:space="0" w:color="auto"/>
        <w:right w:val="none" w:sz="0" w:space="0" w:color="auto"/>
      </w:divBdr>
    </w:div>
    <w:div w:id="1499729980">
      <w:bodyDiv w:val="1"/>
      <w:marLeft w:val="0"/>
      <w:marRight w:val="0"/>
      <w:marTop w:val="0"/>
      <w:marBottom w:val="0"/>
      <w:divBdr>
        <w:top w:val="none" w:sz="0" w:space="0" w:color="auto"/>
        <w:left w:val="none" w:sz="0" w:space="0" w:color="auto"/>
        <w:bottom w:val="none" w:sz="0" w:space="0" w:color="auto"/>
        <w:right w:val="none" w:sz="0" w:space="0" w:color="auto"/>
      </w:divBdr>
    </w:div>
    <w:div w:id="1506675114">
      <w:bodyDiv w:val="1"/>
      <w:marLeft w:val="0"/>
      <w:marRight w:val="0"/>
      <w:marTop w:val="0"/>
      <w:marBottom w:val="0"/>
      <w:divBdr>
        <w:top w:val="none" w:sz="0" w:space="0" w:color="auto"/>
        <w:left w:val="none" w:sz="0" w:space="0" w:color="auto"/>
        <w:bottom w:val="none" w:sz="0" w:space="0" w:color="auto"/>
        <w:right w:val="none" w:sz="0" w:space="0" w:color="auto"/>
      </w:divBdr>
    </w:div>
    <w:div w:id="1543514939">
      <w:bodyDiv w:val="1"/>
      <w:marLeft w:val="0"/>
      <w:marRight w:val="0"/>
      <w:marTop w:val="0"/>
      <w:marBottom w:val="0"/>
      <w:divBdr>
        <w:top w:val="none" w:sz="0" w:space="0" w:color="auto"/>
        <w:left w:val="none" w:sz="0" w:space="0" w:color="auto"/>
        <w:bottom w:val="none" w:sz="0" w:space="0" w:color="auto"/>
        <w:right w:val="none" w:sz="0" w:space="0" w:color="auto"/>
      </w:divBdr>
    </w:div>
    <w:div w:id="1553269071">
      <w:bodyDiv w:val="1"/>
      <w:marLeft w:val="0"/>
      <w:marRight w:val="0"/>
      <w:marTop w:val="0"/>
      <w:marBottom w:val="0"/>
      <w:divBdr>
        <w:top w:val="none" w:sz="0" w:space="0" w:color="auto"/>
        <w:left w:val="none" w:sz="0" w:space="0" w:color="auto"/>
        <w:bottom w:val="none" w:sz="0" w:space="0" w:color="auto"/>
        <w:right w:val="none" w:sz="0" w:space="0" w:color="auto"/>
      </w:divBdr>
    </w:div>
    <w:div w:id="1564024517">
      <w:bodyDiv w:val="1"/>
      <w:marLeft w:val="0"/>
      <w:marRight w:val="0"/>
      <w:marTop w:val="0"/>
      <w:marBottom w:val="0"/>
      <w:divBdr>
        <w:top w:val="none" w:sz="0" w:space="0" w:color="auto"/>
        <w:left w:val="none" w:sz="0" w:space="0" w:color="auto"/>
        <w:bottom w:val="none" w:sz="0" w:space="0" w:color="auto"/>
        <w:right w:val="none" w:sz="0" w:space="0" w:color="auto"/>
      </w:divBdr>
    </w:div>
    <w:div w:id="1566604601">
      <w:bodyDiv w:val="1"/>
      <w:marLeft w:val="0"/>
      <w:marRight w:val="0"/>
      <w:marTop w:val="0"/>
      <w:marBottom w:val="0"/>
      <w:divBdr>
        <w:top w:val="none" w:sz="0" w:space="0" w:color="auto"/>
        <w:left w:val="none" w:sz="0" w:space="0" w:color="auto"/>
        <w:bottom w:val="none" w:sz="0" w:space="0" w:color="auto"/>
        <w:right w:val="none" w:sz="0" w:space="0" w:color="auto"/>
      </w:divBdr>
    </w:div>
    <w:div w:id="1593198024">
      <w:bodyDiv w:val="1"/>
      <w:marLeft w:val="0"/>
      <w:marRight w:val="0"/>
      <w:marTop w:val="0"/>
      <w:marBottom w:val="0"/>
      <w:divBdr>
        <w:top w:val="none" w:sz="0" w:space="0" w:color="auto"/>
        <w:left w:val="none" w:sz="0" w:space="0" w:color="auto"/>
        <w:bottom w:val="none" w:sz="0" w:space="0" w:color="auto"/>
        <w:right w:val="none" w:sz="0" w:space="0" w:color="auto"/>
      </w:divBdr>
    </w:div>
    <w:div w:id="1607543436">
      <w:bodyDiv w:val="1"/>
      <w:marLeft w:val="0"/>
      <w:marRight w:val="0"/>
      <w:marTop w:val="0"/>
      <w:marBottom w:val="0"/>
      <w:divBdr>
        <w:top w:val="none" w:sz="0" w:space="0" w:color="auto"/>
        <w:left w:val="none" w:sz="0" w:space="0" w:color="auto"/>
        <w:bottom w:val="none" w:sz="0" w:space="0" w:color="auto"/>
        <w:right w:val="none" w:sz="0" w:space="0" w:color="auto"/>
      </w:divBdr>
    </w:div>
    <w:div w:id="1696735766">
      <w:bodyDiv w:val="1"/>
      <w:marLeft w:val="0"/>
      <w:marRight w:val="0"/>
      <w:marTop w:val="0"/>
      <w:marBottom w:val="0"/>
      <w:divBdr>
        <w:top w:val="none" w:sz="0" w:space="0" w:color="auto"/>
        <w:left w:val="none" w:sz="0" w:space="0" w:color="auto"/>
        <w:bottom w:val="none" w:sz="0" w:space="0" w:color="auto"/>
        <w:right w:val="none" w:sz="0" w:space="0" w:color="auto"/>
      </w:divBdr>
    </w:div>
    <w:div w:id="1711302736">
      <w:bodyDiv w:val="1"/>
      <w:marLeft w:val="0"/>
      <w:marRight w:val="0"/>
      <w:marTop w:val="0"/>
      <w:marBottom w:val="0"/>
      <w:divBdr>
        <w:top w:val="none" w:sz="0" w:space="0" w:color="auto"/>
        <w:left w:val="none" w:sz="0" w:space="0" w:color="auto"/>
        <w:bottom w:val="none" w:sz="0" w:space="0" w:color="auto"/>
        <w:right w:val="none" w:sz="0" w:space="0" w:color="auto"/>
      </w:divBdr>
    </w:div>
    <w:div w:id="1724213260">
      <w:bodyDiv w:val="1"/>
      <w:marLeft w:val="0"/>
      <w:marRight w:val="0"/>
      <w:marTop w:val="0"/>
      <w:marBottom w:val="0"/>
      <w:divBdr>
        <w:top w:val="none" w:sz="0" w:space="0" w:color="auto"/>
        <w:left w:val="none" w:sz="0" w:space="0" w:color="auto"/>
        <w:bottom w:val="none" w:sz="0" w:space="0" w:color="auto"/>
        <w:right w:val="none" w:sz="0" w:space="0" w:color="auto"/>
      </w:divBdr>
    </w:div>
    <w:div w:id="1736736066">
      <w:bodyDiv w:val="1"/>
      <w:marLeft w:val="0"/>
      <w:marRight w:val="0"/>
      <w:marTop w:val="0"/>
      <w:marBottom w:val="0"/>
      <w:divBdr>
        <w:top w:val="none" w:sz="0" w:space="0" w:color="auto"/>
        <w:left w:val="none" w:sz="0" w:space="0" w:color="auto"/>
        <w:bottom w:val="none" w:sz="0" w:space="0" w:color="auto"/>
        <w:right w:val="none" w:sz="0" w:space="0" w:color="auto"/>
      </w:divBdr>
    </w:div>
    <w:div w:id="1752501417">
      <w:bodyDiv w:val="1"/>
      <w:marLeft w:val="0"/>
      <w:marRight w:val="0"/>
      <w:marTop w:val="0"/>
      <w:marBottom w:val="0"/>
      <w:divBdr>
        <w:top w:val="none" w:sz="0" w:space="0" w:color="auto"/>
        <w:left w:val="none" w:sz="0" w:space="0" w:color="auto"/>
        <w:bottom w:val="none" w:sz="0" w:space="0" w:color="auto"/>
        <w:right w:val="none" w:sz="0" w:space="0" w:color="auto"/>
      </w:divBdr>
    </w:div>
    <w:div w:id="1781800409">
      <w:bodyDiv w:val="1"/>
      <w:marLeft w:val="0"/>
      <w:marRight w:val="0"/>
      <w:marTop w:val="0"/>
      <w:marBottom w:val="0"/>
      <w:divBdr>
        <w:top w:val="none" w:sz="0" w:space="0" w:color="auto"/>
        <w:left w:val="none" w:sz="0" w:space="0" w:color="auto"/>
        <w:bottom w:val="none" w:sz="0" w:space="0" w:color="auto"/>
        <w:right w:val="none" w:sz="0" w:space="0" w:color="auto"/>
      </w:divBdr>
    </w:div>
    <w:div w:id="1790733759">
      <w:bodyDiv w:val="1"/>
      <w:marLeft w:val="0"/>
      <w:marRight w:val="0"/>
      <w:marTop w:val="0"/>
      <w:marBottom w:val="0"/>
      <w:divBdr>
        <w:top w:val="none" w:sz="0" w:space="0" w:color="auto"/>
        <w:left w:val="none" w:sz="0" w:space="0" w:color="auto"/>
        <w:bottom w:val="none" w:sz="0" w:space="0" w:color="auto"/>
        <w:right w:val="none" w:sz="0" w:space="0" w:color="auto"/>
      </w:divBdr>
    </w:div>
    <w:div w:id="1800495402">
      <w:bodyDiv w:val="1"/>
      <w:marLeft w:val="0"/>
      <w:marRight w:val="0"/>
      <w:marTop w:val="0"/>
      <w:marBottom w:val="0"/>
      <w:divBdr>
        <w:top w:val="none" w:sz="0" w:space="0" w:color="auto"/>
        <w:left w:val="none" w:sz="0" w:space="0" w:color="auto"/>
        <w:bottom w:val="none" w:sz="0" w:space="0" w:color="auto"/>
        <w:right w:val="none" w:sz="0" w:space="0" w:color="auto"/>
      </w:divBdr>
    </w:div>
    <w:div w:id="1812401408">
      <w:bodyDiv w:val="1"/>
      <w:marLeft w:val="0"/>
      <w:marRight w:val="0"/>
      <w:marTop w:val="0"/>
      <w:marBottom w:val="0"/>
      <w:divBdr>
        <w:top w:val="none" w:sz="0" w:space="0" w:color="auto"/>
        <w:left w:val="none" w:sz="0" w:space="0" w:color="auto"/>
        <w:bottom w:val="none" w:sz="0" w:space="0" w:color="auto"/>
        <w:right w:val="none" w:sz="0" w:space="0" w:color="auto"/>
      </w:divBdr>
    </w:div>
    <w:div w:id="1837066349">
      <w:bodyDiv w:val="1"/>
      <w:marLeft w:val="0"/>
      <w:marRight w:val="0"/>
      <w:marTop w:val="0"/>
      <w:marBottom w:val="0"/>
      <w:divBdr>
        <w:top w:val="none" w:sz="0" w:space="0" w:color="auto"/>
        <w:left w:val="none" w:sz="0" w:space="0" w:color="auto"/>
        <w:bottom w:val="none" w:sz="0" w:space="0" w:color="auto"/>
        <w:right w:val="none" w:sz="0" w:space="0" w:color="auto"/>
      </w:divBdr>
    </w:div>
    <w:div w:id="1845897349">
      <w:bodyDiv w:val="1"/>
      <w:marLeft w:val="0"/>
      <w:marRight w:val="0"/>
      <w:marTop w:val="0"/>
      <w:marBottom w:val="0"/>
      <w:divBdr>
        <w:top w:val="none" w:sz="0" w:space="0" w:color="auto"/>
        <w:left w:val="none" w:sz="0" w:space="0" w:color="auto"/>
        <w:bottom w:val="none" w:sz="0" w:space="0" w:color="auto"/>
        <w:right w:val="none" w:sz="0" w:space="0" w:color="auto"/>
      </w:divBdr>
    </w:div>
    <w:div w:id="1856729247">
      <w:bodyDiv w:val="1"/>
      <w:marLeft w:val="0"/>
      <w:marRight w:val="0"/>
      <w:marTop w:val="0"/>
      <w:marBottom w:val="0"/>
      <w:divBdr>
        <w:top w:val="none" w:sz="0" w:space="0" w:color="auto"/>
        <w:left w:val="none" w:sz="0" w:space="0" w:color="auto"/>
        <w:bottom w:val="none" w:sz="0" w:space="0" w:color="auto"/>
        <w:right w:val="none" w:sz="0" w:space="0" w:color="auto"/>
      </w:divBdr>
      <w:divsChild>
        <w:div w:id="1034770765">
          <w:marLeft w:val="547"/>
          <w:marRight w:val="0"/>
          <w:marTop w:val="0"/>
          <w:marBottom w:val="0"/>
          <w:divBdr>
            <w:top w:val="none" w:sz="0" w:space="0" w:color="auto"/>
            <w:left w:val="none" w:sz="0" w:space="0" w:color="auto"/>
            <w:bottom w:val="none" w:sz="0" w:space="0" w:color="auto"/>
            <w:right w:val="none" w:sz="0" w:space="0" w:color="auto"/>
          </w:divBdr>
        </w:div>
      </w:divsChild>
    </w:div>
    <w:div w:id="1913540686">
      <w:bodyDiv w:val="1"/>
      <w:marLeft w:val="0"/>
      <w:marRight w:val="0"/>
      <w:marTop w:val="0"/>
      <w:marBottom w:val="0"/>
      <w:divBdr>
        <w:top w:val="none" w:sz="0" w:space="0" w:color="auto"/>
        <w:left w:val="none" w:sz="0" w:space="0" w:color="auto"/>
        <w:bottom w:val="none" w:sz="0" w:space="0" w:color="auto"/>
        <w:right w:val="none" w:sz="0" w:space="0" w:color="auto"/>
      </w:divBdr>
    </w:div>
    <w:div w:id="1925140997">
      <w:bodyDiv w:val="1"/>
      <w:marLeft w:val="0"/>
      <w:marRight w:val="0"/>
      <w:marTop w:val="0"/>
      <w:marBottom w:val="0"/>
      <w:divBdr>
        <w:top w:val="none" w:sz="0" w:space="0" w:color="auto"/>
        <w:left w:val="none" w:sz="0" w:space="0" w:color="auto"/>
        <w:bottom w:val="none" w:sz="0" w:space="0" w:color="auto"/>
        <w:right w:val="none" w:sz="0" w:space="0" w:color="auto"/>
      </w:divBdr>
    </w:div>
    <w:div w:id="1941600492">
      <w:bodyDiv w:val="1"/>
      <w:marLeft w:val="0"/>
      <w:marRight w:val="0"/>
      <w:marTop w:val="0"/>
      <w:marBottom w:val="0"/>
      <w:divBdr>
        <w:top w:val="none" w:sz="0" w:space="0" w:color="auto"/>
        <w:left w:val="none" w:sz="0" w:space="0" w:color="auto"/>
        <w:bottom w:val="none" w:sz="0" w:space="0" w:color="auto"/>
        <w:right w:val="none" w:sz="0" w:space="0" w:color="auto"/>
      </w:divBdr>
    </w:div>
    <w:div w:id="1943225032">
      <w:bodyDiv w:val="1"/>
      <w:marLeft w:val="0"/>
      <w:marRight w:val="0"/>
      <w:marTop w:val="0"/>
      <w:marBottom w:val="0"/>
      <w:divBdr>
        <w:top w:val="none" w:sz="0" w:space="0" w:color="auto"/>
        <w:left w:val="none" w:sz="0" w:space="0" w:color="auto"/>
        <w:bottom w:val="none" w:sz="0" w:space="0" w:color="auto"/>
        <w:right w:val="none" w:sz="0" w:space="0" w:color="auto"/>
      </w:divBdr>
    </w:div>
    <w:div w:id="1951357779">
      <w:bodyDiv w:val="1"/>
      <w:marLeft w:val="0"/>
      <w:marRight w:val="0"/>
      <w:marTop w:val="0"/>
      <w:marBottom w:val="0"/>
      <w:divBdr>
        <w:top w:val="none" w:sz="0" w:space="0" w:color="auto"/>
        <w:left w:val="none" w:sz="0" w:space="0" w:color="auto"/>
        <w:bottom w:val="none" w:sz="0" w:space="0" w:color="auto"/>
        <w:right w:val="none" w:sz="0" w:space="0" w:color="auto"/>
      </w:divBdr>
      <w:divsChild>
        <w:div w:id="1059593721">
          <w:marLeft w:val="547"/>
          <w:marRight w:val="0"/>
          <w:marTop w:val="0"/>
          <w:marBottom w:val="0"/>
          <w:divBdr>
            <w:top w:val="none" w:sz="0" w:space="0" w:color="auto"/>
            <w:left w:val="none" w:sz="0" w:space="0" w:color="auto"/>
            <w:bottom w:val="none" w:sz="0" w:space="0" w:color="auto"/>
            <w:right w:val="none" w:sz="0" w:space="0" w:color="auto"/>
          </w:divBdr>
        </w:div>
      </w:divsChild>
    </w:div>
    <w:div w:id="1998414971">
      <w:bodyDiv w:val="1"/>
      <w:marLeft w:val="0"/>
      <w:marRight w:val="0"/>
      <w:marTop w:val="0"/>
      <w:marBottom w:val="0"/>
      <w:divBdr>
        <w:top w:val="none" w:sz="0" w:space="0" w:color="auto"/>
        <w:left w:val="none" w:sz="0" w:space="0" w:color="auto"/>
        <w:bottom w:val="none" w:sz="0" w:space="0" w:color="auto"/>
        <w:right w:val="none" w:sz="0" w:space="0" w:color="auto"/>
      </w:divBdr>
    </w:div>
    <w:div w:id="2003659688">
      <w:bodyDiv w:val="1"/>
      <w:marLeft w:val="0"/>
      <w:marRight w:val="0"/>
      <w:marTop w:val="0"/>
      <w:marBottom w:val="0"/>
      <w:divBdr>
        <w:top w:val="none" w:sz="0" w:space="0" w:color="auto"/>
        <w:left w:val="none" w:sz="0" w:space="0" w:color="auto"/>
        <w:bottom w:val="none" w:sz="0" w:space="0" w:color="auto"/>
        <w:right w:val="none" w:sz="0" w:space="0" w:color="auto"/>
      </w:divBdr>
    </w:div>
    <w:div w:id="2012751081">
      <w:bodyDiv w:val="1"/>
      <w:marLeft w:val="0"/>
      <w:marRight w:val="0"/>
      <w:marTop w:val="0"/>
      <w:marBottom w:val="0"/>
      <w:divBdr>
        <w:top w:val="none" w:sz="0" w:space="0" w:color="auto"/>
        <w:left w:val="none" w:sz="0" w:space="0" w:color="auto"/>
        <w:bottom w:val="none" w:sz="0" w:space="0" w:color="auto"/>
        <w:right w:val="none" w:sz="0" w:space="0" w:color="auto"/>
      </w:divBdr>
    </w:div>
    <w:div w:id="2042590244">
      <w:bodyDiv w:val="1"/>
      <w:marLeft w:val="0"/>
      <w:marRight w:val="0"/>
      <w:marTop w:val="0"/>
      <w:marBottom w:val="0"/>
      <w:divBdr>
        <w:top w:val="none" w:sz="0" w:space="0" w:color="auto"/>
        <w:left w:val="none" w:sz="0" w:space="0" w:color="auto"/>
        <w:bottom w:val="none" w:sz="0" w:space="0" w:color="auto"/>
        <w:right w:val="none" w:sz="0" w:space="0" w:color="auto"/>
      </w:divBdr>
    </w:div>
    <w:div w:id="2052608748">
      <w:bodyDiv w:val="1"/>
      <w:marLeft w:val="0"/>
      <w:marRight w:val="0"/>
      <w:marTop w:val="0"/>
      <w:marBottom w:val="0"/>
      <w:divBdr>
        <w:top w:val="none" w:sz="0" w:space="0" w:color="auto"/>
        <w:left w:val="none" w:sz="0" w:space="0" w:color="auto"/>
        <w:bottom w:val="none" w:sz="0" w:space="0" w:color="auto"/>
        <w:right w:val="none" w:sz="0" w:space="0" w:color="auto"/>
      </w:divBdr>
      <w:divsChild>
        <w:div w:id="41373671">
          <w:marLeft w:val="1080"/>
          <w:marRight w:val="0"/>
          <w:marTop w:val="100"/>
          <w:marBottom w:val="0"/>
          <w:divBdr>
            <w:top w:val="none" w:sz="0" w:space="0" w:color="auto"/>
            <w:left w:val="none" w:sz="0" w:space="0" w:color="auto"/>
            <w:bottom w:val="none" w:sz="0" w:space="0" w:color="auto"/>
            <w:right w:val="none" w:sz="0" w:space="0" w:color="auto"/>
          </w:divBdr>
        </w:div>
      </w:divsChild>
    </w:div>
    <w:div w:id="2088265300">
      <w:bodyDiv w:val="1"/>
      <w:marLeft w:val="0"/>
      <w:marRight w:val="0"/>
      <w:marTop w:val="0"/>
      <w:marBottom w:val="0"/>
      <w:divBdr>
        <w:top w:val="none" w:sz="0" w:space="0" w:color="auto"/>
        <w:left w:val="none" w:sz="0" w:space="0" w:color="auto"/>
        <w:bottom w:val="none" w:sz="0" w:space="0" w:color="auto"/>
        <w:right w:val="none" w:sz="0" w:space="0" w:color="auto"/>
      </w:divBdr>
    </w:div>
    <w:div w:id="2119909033">
      <w:bodyDiv w:val="1"/>
      <w:marLeft w:val="0"/>
      <w:marRight w:val="0"/>
      <w:marTop w:val="0"/>
      <w:marBottom w:val="0"/>
      <w:divBdr>
        <w:top w:val="none" w:sz="0" w:space="0" w:color="auto"/>
        <w:left w:val="none" w:sz="0" w:space="0" w:color="auto"/>
        <w:bottom w:val="none" w:sz="0" w:space="0" w:color="auto"/>
        <w:right w:val="none" w:sz="0" w:space="0" w:color="auto"/>
      </w:divBdr>
    </w:div>
    <w:div w:id="2126610370">
      <w:bodyDiv w:val="1"/>
      <w:marLeft w:val="0"/>
      <w:marRight w:val="0"/>
      <w:marTop w:val="0"/>
      <w:marBottom w:val="0"/>
      <w:divBdr>
        <w:top w:val="none" w:sz="0" w:space="0" w:color="auto"/>
        <w:left w:val="none" w:sz="0" w:space="0" w:color="auto"/>
        <w:bottom w:val="none" w:sz="0" w:space="0" w:color="auto"/>
        <w:right w:val="none" w:sz="0" w:space="0" w:color="auto"/>
      </w:divBdr>
    </w:div>
    <w:div w:id="214291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hart" Target="charts/chart12.xml"/><Relationship Id="rId21" Type="http://schemas.openxmlformats.org/officeDocument/2006/relationships/image" Target="media/image9.png"/><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hyperlink" Target="http://www.mem.gob.gt/wp-content/uploads/2019/03/2018-Revista-Hidrocarburos-04T.pdf" TargetMode="External"/><Relationship Id="rId50" Type="http://schemas.openxmlformats.org/officeDocument/2006/relationships/chart" Target="charts/chart2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chart" Target="charts/chart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18.png"/><Relationship Id="rId53"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9.xml"/><Relationship Id="rId49" Type="http://schemas.openxmlformats.org/officeDocument/2006/relationships/chart" Target="charts/chart20.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19.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https://nexoslocales.com/wp-content/uploads/2016/04/23-DX-PFM-San-Miguel-Ix.pdf" TargetMode="External"/><Relationship Id="rId1" Type="http://schemas.openxmlformats.org/officeDocument/2006/relationships/hyperlink" Target="http://www.minfin.gob.gt/images/archivos/proypres2018/PROY%20PRES%202017/documentos/08-28-2017%20Separata%20de%20Riesgos%20Fiscales.pdf%20-%20Adobe%20Acrobat%20Pro.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fbramirez\Downloads\finalidad_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bramirez\Downloads\finalidad_1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efoper18\Desktop\Riesgo%20de%20Recursos%20Naturales\Cuadros%20separata%20riesgos%20fiscales%20presupuesto%202020%20al%200708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eefoper18\Desktop\Riesgo%20de%20Recursos%20Naturales\Cuadros%20separata%20riesgos%20fiscales%20presupuesto%202020.xls%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eefoper18\Desktop\Riesgo%20de%20Recursos%20Naturales\Cuadros%20separata%20riesgos%20fiscales%20presupuesto%202020.xls%201.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deefoper18\Desktop\Riesgo%20de%20Recursos%20Naturales\Cuadros%20separata%20riesgos%20fiscales%20presupuesto%202020%20al%200108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Cuadros%20separata%20riesgos%20fiscales%20presupuesto%202020%20al%20070819.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psantizo\Desktop\Econom&#237;a%20Mundial\GRAFICOS.txt"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eefoper18\Desktop\Riesgo%20de%20Recursos%20Naturales\cuadros%20separata%200708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Cuadros%20separata%20riesgos%20fiscales%20presupuesto%202020%20al%2007081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eefoper18\Desktop\Incendios%20Forestales\Incendios%20forestales%202001-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rive%20-%20nuevo\Drive\Consultorias\minfin\Datos%20de%20emdatbe\190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garcia\Documents\CONRED_e_INSIVUME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garcia\Documents\CONRED_e_INSIVUME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agarcia\Documents\CONRED_e_INSIVUME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agarcia\Documents\CONRED_e_INSIVUME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Separatas\Presupuesto%202020\Copia%20de%20Calculos%20costo%20de%20financiamiento%20por%20capas%2024052019%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bramirez\Downloads\finalidad_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174967924927746E-2"/>
          <c:y val="1.9564685742235265E-2"/>
          <c:w val="0.90382503207507225"/>
          <c:h val="0.72654808464422516"/>
        </c:manualLayout>
      </c:layout>
      <c:barChart>
        <c:barDir val="col"/>
        <c:grouping val="clustered"/>
        <c:varyColors val="0"/>
        <c:ser>
          <c:idx val="2"/>
          <c:order val="2"/>
          <c:tx>
            <c:strRef>
              <c:f>Hoja1!$A$4</c:f>
              <c:strCache>
                <c:ptCount val="1"/>
                <c:pt idx="0">
                  <c:v>Guatemala</c:v>
                </c:pt>
              </c:strCache>
            </c:strRef>
          </c:tx>
          <c:spPr>
            <a:solidFill>
              <a:schemeClr val="accent3"/>
            </a:solidFill>
            <a:ln>
              <a:noFill/>
            </a:ln>
            <a:effectLst/>
          </c:spPr>
          <c:invertIfNegative val="0"/>
          <c:cat>
            <c:strRef>
              <c:f>Hoja1!$B$1:$I$1</c:f>
              <c:strCache>
                <c:ptCount val="8"/>
                <c:pt idx="0">
                  <c:v>2017</c:v>
                </c:pt>
                <c:pt idx="1">
                  <c:v>2018</c:v>
                </c:pt>
                <c:pt idx="2">
                  <c:v>2019p</c:v>
                </c:pt>
                <c:pt idx="3">
                  <c:v>2020p</c:v>
                </c:pt>
                <c:pt idx="4">
                  <c:v>2021p</c:v>
                </c:pt>
                <c:pt idx="5">
                  <c:v>2022p</c:v>
                </c:pt>
                <c:pt idx="6">
                  <c:v>2023p</c:v>
                </c:pt>
                <c:pt idx="7">
                  <c:v>2024p</c:v>
                </c:pt>
              </c:strCache>
            </c:strRef>
          </c:cat>
          <c:val>
            <c:numRef>
              <c:f>Hoja1!$B$4:$I$4</c:f>
              <c:numCache>
                <c:formatCode>General</c:formatCode>
                <c:ptCount val="8"/>
                <c:pt idx="0">
                  <c:v>2.8</c:v>
                </c:pt>
                <c:pt idx="1">
                  <c:v>3.1</c:v>
                </c:pt>
                <c:pt idx="2">
                  <c:v>3</c:v>
                </c:pt>
                <c:pt idx="3">
                  <c:v>3</c:v>
                </c:pt>
                <c:pt idx="4">
                  <c:v>3.1</c:v>
                </c:pt>
                <c:pt idx="5">
                  <c:v>3.2</c:v>
                </c:pt>
                <c:pt idx="6">
                  <c:v>3.3</c:v>
                </c:pt>
                <c:pt idx="7">
                  <c:v>3.4</c:v>
                </c:pt>
              </c:numCache>
            </c:numRef>
          </c:val>
          <c:extLst>
            <c:ext xmlns:c16="http://schemas.microsoft.com/office/drawing/2014/chart" uri="{C3380CC4-5D6E-409C-BE32-E72D297353CC}">
              <c16:uniqueId val="{00000000-EE59-4FC8-BD67-5E6391C28D18}"/>
            </c:ext>
          </c:extLst>
        </c:ser>
        <c:dLbls>
          <c:showLegendKey val="0"/>
          <c:showVal val="0"/>
          <c:showCatName val="0"/>
          <c:showSerName val="0"/>
          <c:showPercent val="0"/>
          <c:showBubbleSize val="0"/>
        </c:dLbls>
        <c:gapWidth val="150"/>
        <c:axId val="110500096"/>
        <c:axId val="110514176"/>
      </c:barChart>
      <c:lineChart>
        <c:grouping val="standard"/>
        <c:varyColors val="0"/>
        <c:ser>
          <c:idx val="0"/>
          <c:order val="0"/>
          <c:tx>
            <c:strRef>
              <c:f>Hoja1!$A$2</c:f>
              <c:strCache>
                <c:ptCount val="1"/>
                <c:pt idx="0">
                  <c:v>Costa Rica</c:v>
                </c:pt>
              </c:strCache>
            </c:strRef>
          </c:tx>
          <c:spPr>
            <a:ln w="28575" cap="rnd">
              <a:solidFill>
                <a:srgbClr val="00B0F0"/>
              </a:solidFill>
              <a:prstDash val="dash"/>
              <a:round/>
            </a:ln>
            <a:effectLst/>
          </c:spPr>
          <c:marker>
            <c:symbol val="none"/>
          </c:marker>
          <c:cat>
            <c:strRef>
              <c:f>Hoja1!$B$1:$I$1</c:f>
              <c:strCache>
                <c:ptCount val="8"/>
                <c:pt idx="0">
                  <c:v>2017</c:v>
                </c:pt>
                <c:pt idx="1">
                  <c:v>2018</c:v>
                </c:pt>
                <c:pt idx="2">
                  <c:v>2019p</c:v>
                </c:pt>
                <c:pt idx="3">
                  <c:v>2020p</c:v>
                </c:pt>
                <c:pt idx="4">
                  <c:v>2021p</c:v>
                </c:pt>
                <c:pt idx="5">
                  <c:v>2022p</c:v>
                </c:pt>
                <c:pt idx="6">
                  <c:v>2023p</c:v>
                </c:pt>
                <c:pt idx="7">
                  <c:v>2024p</c:v>
                </c:pt>
              </c:strCache>
            </c:strRef>
          </c:cat>
          <c:val>
            <c:numRef>
              <c:f>Hoja1!$B$2:$I$2</c:f>
              <c:numCache>
                <c:formatCode>General</c:formatCode>
                <c:ptCount val="8"/>
                <c:pt idx="0">
                  <c:v>3.4</c:v>
                </c:pt>
                <c:pt idx="1">
                  <c:v>2.7</c:v>
                </c:pt>
                <c:pt idx="2">
                  <c:v>2.9</c:v>
                </c:pt>
                <c:pt idx="3">
                  <c:v>2.8</c:v>
                </c:pt>
                <c:pt idx="4">
                  <c:v>3</c:v>
                </c:pt>
                <c:pt idx="5">
                  <c:v>3.1</c:v>
                </c:pt>
                <c:pt idx="6">
                  <c:v>3.3</c:v>
                </c:pt>
                <c:pt idx="7">
                  <c:v>3.5</c:v>
                </c:pt>
              </c:numCache>
            </c:numRef>
          </c:val>
          <c:smooth val="0"/>
          <c:extLst>
            <c:ext xmlns:c16="http://schemas.microsoft.com/office/drawing/2014/chart" uri="{C3380CC4-5D6E-409C-BE32-E72D297353CC}">
              <c16:uniqueId val="{00000001-EE59-4FC8-BD67-5E6391C28D18}"/>
            </c:ext>
          </c:extLst>
        </c:ser>
        <c:ser>
          <c:idx val="1"/>
          <c:order val="1"/>
          <c:tx>
            <c:strRef>
              <c:f>Hoja1!$A$3</c:f>
              <c:strCache>
                <c:ptCount val="1"/>
                <c:pt idx="0">
                  <c:v>El Salvador</c:v>
                </c:pt>
              </c:strCache>
            </c:strRef>
          </c:tx>
          <c:spPr>
            <a:ln w="28575" cap="rnd">
              <a:solidFill>
                <a:schemeClr val="accent2"/>
              </a:solidFill>
              <a:prstDash val="dashDot"/>
              <a:round/>
            </a:ln>
            <a:effectLst/>
          </c:spPr>
          <c:marker>
            <c:symbol val="none"/>
          </c:marker>
          <c:cat>
            <c:strRef>
              <c:f>Hoja1!$B$1:$I$1</c:f>
              <c:strCache>
                <c:ptCount val="8"/>
                <c:pt idx="0">
                  <c:v>2017</c:v>
                </c:pt>
                <c:pt idx="1">
                  <c:v>2018</c:v>
                </c:pt>
                <c:pt idx="2">
                  <c:v>2019p</c:v>
                </c:pt>
                <c:pt idx="3">
                  <c:v>2020p</c:v>
                </c:pt>
                <c:pt idx="4">
                  <c:v>2021p</c:v>
                </c:pt>
                <c:pt idx="5">
                  <c:v>2022p</c:v>
                </c:pt>
                <c:pt idx="6">
                  <c:v>2023p</c:v>
                </c:pt>
                <c:pt idx="7">
                  <c:v>2024p</c:v>
                </c:pt>
              </c:strCache>
            </c:strRef>
          </c:cat>
          <c:val>
            <c:numRef>
              <c:f>Hoja1!$B$3:$I$3</c:f>
              <c:numCache>
                <c:formatCode>General</c:formatCode>
                <c:ptCount val="8"/>
                <c:pt idx="0">
                  <c:v>2.2999999999999998</c:v>
                </c:pt>
                <c:pt idx="1">
                  <c:v>2.5</c:v>
                </c:pt>
                <c:pt idx="2">
                  <c:v>2.5</c:v>
                </c:pt>
                <c:pt idx="3">
                  <c:v>2.2999999999999998</c:v>
                </c:pt>
                <c:pt idx="4">
                  <c:v>2.2000000000000002</c:v>
                </c:pt>
                <c:pt idx="5">
                  <c:v>2.2000000000000002</c:v>
                </c:pt>
                <c:pt idx="6">
                  <c:v>2.2000000000000002</c:v>
                </c:pt>
                <c:pt idx="7">
                  <c:v>2.2000000000000002</c:v>
                </c:pt>
              </c:numCache>
            </c:numRef>
          </c:val>
          <c:smooth val="0"/>
          <c:extLst>
            <c:ext xmlns:c16="http://schemas.microsoft.com/office/drawing/2014/chart" uri="{C3380CC4-5D6E-409C-BE32-E72D297353CC}">
              <c16:uniqueId val="{00000002-EE59-4FC8-BD67-5E6391C28D18}"/>
            </c:ext>
          </c:extLst>
        </c:ser>
        <c:ser>
          <c:idx val="3"/>
          <c:order val="3"/>
          <c:tx>
            <c:strRef>
              <c:f>Hoja1!$A$5</c:f>
              <c:strCache>
                <c:ptCount val="1"/>
                <c:pt idx="0">
                  <c:v>Honduras</c:v>
                </c:pt>
              </c:strCache>
            </c:strRef>
          </c:tx>
          <c:spPr>
            <a:ln w="28575" cap="rnd">
              <a:solidFill>
                <a:schemeClr val="accent4"/>
              </a:solidFill>
              <a:prstDash val="sysDot"/>
              <a:round/>
            </a:ln>
            <a:effectLst/>
          </c:spPr>
          <c:marker>
            <c:symbol val="none"/>
          </c:marker>
          <c:cat>
            <c:strRef>
              <c:f>Hoja1!$B$1:$I$1</c:f>
              <c:strCache>
                <c:ptCount val="8"/>
                <c:pt idx="0">
                  <c:v>2017</c:v>
                </c:pt>
                <c:pt idx="1">
                  <c:v>2018</c:v>
                </c:pt>
                <c:pt idx="2">
                  <c:v>2019p</c:v>
                </c:pt>
                <c:pt idx="3">
                  <c:v>2020p</c:v>
                </c:pt>
                <c:pt idx="4">
                  <c:v>2021p</c:v>
                </c:pt>
                <c:pt idx="5">
                  <c:v>2022p</c:v>
                </c:pt>
                <c:pt idx="6">
                  <c:v>2023p</c:v>
                </c:pt>
                <c:pt idx="7">
                  <c:v>2024p</c:v>
                </c:pt>
              </c:strCache>
            </c:strRef>
          </c:cat>
          <c:val>
            <c:numRef>
              <c:f>Hoja1!$B$5:$I$5</c:f>
              <c:numCache>
                <c:formatCode>General</c:formatCode>
                <c:ptCount val="8"/>
                <c:pt idx="0">
                  <c:v>4.9000000000000004</c:v>
                </c:pt>
                <c:pt idx="1">
                  <c:v>3.7</c:v>
                </c:pt>
                <c:pt idx="2">
                  <c:v>3.4</c:v>
                </c:pt>
                <c:pt idx="3">
                  <c:v>3.4</c:v>
                </c:pt>
                <c:pt idx="4">
                  <c:v>3.5</c:v>
                </c:pt>
                <c:pt idx="5">
                  <c:v>3.6</c:v>
                </c:pt>
                <c:pt idx="6">
                  <c:v>3.6</c:v>
                </c:pt>
                <c:pt idx="7">
                  <c:v>3.7</c:v>
                </c:pt>
              </c:numCache>
            </c:numRef>
          </c:val>
          <c:smooth val="0"/>
          <c:extLst>
            <c:ext xmlns:c16="http://schemas.microsoft.com/office/drawing/2014/chart" uri="{C3380CC4-5D6E-409C-BE32-E72D297353CC}">
              <c16:uniqueId val="{00000003-EE59-4FC8-BD67-5E6391C28D18}"/>
            </c:ext>
          </c:extLst>
        </c:ser>
        <c:ser>
          <c:idx val="4"/>
          <c:order val="4"/>
          <c:tx>
            <c:strRef>
              <c:f>Hoja1!$A$6</c:f>
              <c:strCache>
                <c:ptCount val="1"/>
                <c:pt idx="0">
                  <c:v>Nicaragua</c:v>
                </c:pt>
              </c:strCache>
            </c:strRef>
          </c:tx>
          <c:spPr>
            <a:ln w="28575" cap="rnd">
              <a:solidFill>
                <a:schemeClr val="accent5"/>
              </a:solidFill>
              <a:round/>
            </a:ln>
            <a:effectLst/>
          </c:spPr>
          <c:marker>
            <c:symbol val="none"/>
          </c:marker>
          <c:cat>
            <c:strRef>
              <c:f>Hoja1!$B$1:$I$1</c:f>
              <c:strCache>
                <c:ptCount val="8"/>
                <c:pt idx="0">
                  <c:v>2017</c:v>
                </c:pt>
                <c:pt idx="1">
                  <c:v>2018</c:v>
                </c:pt>
                <c:pt idx="2">
                  <c:v>2019p</c:v>
                </c:pt>
                <c:pt idx="3">
                  <c:v>2020p</c:v>
                </c:pt>
                <c:pt idx="4">
                  <c:v>2021p</c:v>
                </c:pt>
                <c:pt idx="5">
                  <c:v>2022p</c:v>
                </c:pt>
                <c:pt idx="6">
                  <c:v>2023p</c:v>
                </c:pt>
                <c:pt idx="7">
                  <c:v>2024p</c:v>
                </c:pt>
              </c:strCache>
            </c:strRef>
          </c:cat>
          <c:val>
            <c:numRef>
              <c:f>Hoja1!$B$6:$I$6</c:f>
              <c:numCache>
                <c:formatCode>General</c:formatCode>
                <c:ptCount val="8"/>
                <c:pt idx="0">
                  <c:v>4.9000000000000004</c:v>
                </c:pt>
                <c:pt idx="1">
                  <c:v>-4</c:v>
                </c:pt>
                <c:pt idx="2">
                  <c:v>-5</c:v>
                </c:pt>
                <c:pt idx="3">
                  <c:v>-0.2</c:v>
                </c:pt>
                <c:pt idx="4">
                  <c:v>1.1000000000000001</c:v>
                </c:pt>
                <c:pt idx="5">
                  <c:v>1.7</c:v>
                </c:pt>
                <c:pt idx="6">
                  <c:v>2</c:v>
                </c:pt>
                <c:pt idx="7">
                  <c:v>3</c:v>
                </c:pt>
              </c:numCache>
            </c:numRef>
          </c:val>
          <c:smooth val="0"/>
          <c:extLst>
            <c:ext xmlns:c16="http://schemas.microsoft.com/office/drawing/2014/chart" uri="{C3380CC4-5D6E-409C-BE32-E72D297353CC}">
              <c16:uniqueId val="{00000004-EE59-4FC8-BD67-5E6391C28D18}"/>
            </c:ext>
          </c:extLst>
        </c:ser>
        <c:dLbls>
          <c:showLegendKey val="0"/>
          <c:showVal val="0"/>
          <c:showCatName val="0"/>
          <c:showSerName val="0"/>
          <c:showPercent val="0"/>
          <c:showBubbleSize val="0"/>
        </c:dLbls>
        <c:marker val="1"/>
        <c:smooth val="0"/>
        <c:axId val="110500096"/>
        <c:axId val="110514176"/>
      </c:lineChart>
      <c:catAx>
        <c:axId val="110500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514176"/>
        <c:crosses val="autoZero"/>
        <c:auto val="1"/>
        <c:lblAlgn val="ctr"/>
        <c:lblOffset val="100"/>
        <c:noMultiLvlLbl val="0"/>
      </c:catAx>
      <c:valAx>
        <c:axId val="11051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500096"/>
        <c:crosses val="autoZero"/>
        <c:crossBetween val="between"/>
      </c:valAx>
      <c:spPr>
        <a:noFill/>
        <a:ln>
          <a:noFill/>
        </a:ln>
        <a:effectLst/>
      </c:spPr>
    </c:plotArea>
    <c:legend>
      <c:legendPos val="b"/>
      <c:layout>
        <c:manualLayout>
          <c:xMode val="edge"/>
          <c:yMode val="edge"/>
          <c:x val="5.6112883848702583E-2"/>
          <c:y val="0.82676009959503416"/>
          <c:w val="0.9396042331443264"/>
          <c:h val="9.498115743602482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'[finalidad_11.xlsx]ingresos tributarios'!$N$4</c:f>
              <c:strCache>
                <c:ptCount val="1"/>
                <c:pt idx="0">
                  <c:v>% respecto a los ingresos tributarios</c:v>
                </c:pt>
              </c:strCache>
            </c:strRef>
          </c:tx>
          <c:marker>
            <c:symbol val="none"/>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AC-4203-96B7-50A0CEB22407}"/>
                </c:ext>
              </c:extLst>
            </c:dLbl>
            <c:dLbl>
              <c:idx val="13"/>
              <c:layout>
                <c:manualLayout>
                  <c:x val="-5.5395888013998251E-2"/>
                  <c:y val="5.0451297754447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AC-4203-96B7-50A0CEB22407}"/>
                </c:ext>
              </c:extLst>
            </c:dLbl>
            <c:dLbl>
              <c:idx val="18"/>
              <c:layout>
                <c:manualLayout>
                  <c:x val="-5.2618110236220469E-2"/>
                  <c:y val="4.5821668124817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AC-4203-96B7-50A0CEB22407}"/>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AC-4203-96B7-50A0CEB22407}"/>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'[finalidad_11.xlsx]ingresos tributarios'!$M$5:$M$25</c:f>
              <c:numCache>
                <c:formatCode>0000</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'[finalidad_11.xlsx]ingresos tributarios'!$N$5:$N$25</c:f>
              <c:numCache>
                <c:formatCode>0.00%</c:formatCode>
                <c:ptCount val="21"/>
                <c:pt idx="0">
                  <c:v>6.4054214846284735E-2</c:v>
                </c:pt>
                <c:pt idx="1">
                  <c:v>5.2758019103101621E-2</c:v>
                </c:pt>
                <c:pt idx="2">
                  <c:v>6.9475817121225969E-2</c:v>
                </c:pt>
                <c:pt idx="3">
                  <c:v>5.6094710065797498E-2</c:v>
                </c:pt>
                <c:pt idx="4">
                  <c:v>5.148566633885867E-2</c:v>
                </c:pt>
                <c:pt idx="5">
                  <c:v>5.4366868808845344E-2</c:v>
                </c:pt>
                <c:pt idx="6">
                  <c:v>5.4978704444893001E-2</c:v>
                </c:pt>
                <c:pt idx="7">
                  <c:v>5.5313727263496613E-2</c:v>
                </c:pt>
                <c:pt idx="8">
                  <c:v>5.2453294476071236E-2</c:v>
                </c:pt>
                <c:pt idx="9">
                  <c:v>4.8269431128411457E-2</c:v>
                </c:pt>
                <c:pt idx="10">
                  <c:v>5.1131142112630187E-2</c:v>
                </c:pt>
                <c:pt idx="11">
                  <c:v>5.3073713600241469E-2</c:v>
                </c:pt>
                <c:pt idx="12">
                  <c:v>4.8811691865655996E-2</c:v>
                </c:pt>
                <c:pt idx="13">
                  <c:v>4.0669629217615466E-2</c:v>
                </c:pt>
                <c:pt idx="14">
                  <c:v>4.2403506677803647E-2</c:v>
                </c:pt>
                <c:pt idx="15">
                  <c:v>4.2103879434356534E-2</c:v>
                </c:pt>
                <c:pt idx="16">
                  <c:v>3.9504188558090153E-2</c:v>
                </c:pt>
                <c:pt idx="17">
                  <c:v>4.0877772641319962E-2</c:v>
                </c:pt>
                <c:pt idx="18">
                  <c:v>3.8660246933754056E-2</c:v>
                </c:pt>
                <c:pt idx="19">
                  <c:v>4.8171485089691934E-2</c:v>
                </c:pt>
                <c:pt idx="20">
                  <c:v>5.0561095981217587E-2</c:v>
                </c:pt>
              </c:numCache>
            </c:numRef>
          </c:val>
          <c:smooth val="0"/>
          <c:extLst>
            <c:ext xmlns:c16="http://schemas.microsoft.com/office/drawing/2014/chart" uri="{C3380CC4-5D6E-409C-BE32-E72D297353CC}">
              <c16:uniqueId val="{00000004-BDAC-4203-96B7-50A0CEB22407}"/>
            </c:ext>
          </c:extLst>
        </c:ser>
        <c:dLbls>
          <c:showLegendKey val="0"/>
          <c:showVal val="0"/>
          <c:showCatName val="0"/>
          <c:showSerName val="0"/>
          <c:showPercent val="0"/>
          <c:showBubbleSize val="0"/>
        </c:dLbls>
        <c:smooth val="0"/>
        <c:axId val="150204800"/>
        <c:axId val="150206336"/>
      </c:lineChart>
      <c:catAx>
        <c:axId val="150204800"/>
        <c:scaling>
          <c:orientation val="minMax"/>
        </c:scaling>
        <c:delete val="0"/>
        <c:axPos val="b"/>
        <c:numFmt formatCode="0000" sourceLinked="1"/>
        <c:majorTickMark val="out"/>
        <c:minorTickMark val="none"/>
        <c:tickLblPos val="nextTo"/>
        <c:txPr>
          <a:bodyPr rot="-5400000" vert="horz"/>
          <a:lstStyle/>
          <a:p>
            <a:pPr>
              <a:defRPr/>
            </a:pPr>
            <a:endParaRPr lang="es-GT"/>
          </a:p>
        </c:txPr>
        <c:crossAx val="150206336"/>
        <c:crosses val="autoZero"/>
        <c:auto val="1"/>
        <c:lblAlgn val="ctr"/>
        <c:lblOffset val="100"/>
        <c:noMultiLvlLbl val="0"/>
      </c:catAx>
      <c:valAx>
        <c:axId val="150206336"/>
        <c:scaling>
          <c:orientation val="minMax"/>
        </c:scaling>
        <c:delete val="1"/>
        <c:axPos val="l"/>
        <c:numFmt formatCode="0.00%" sourceLinked="1"/>
        <c:majorTickMark val="out"/>
        <c:minorTickMark val="none"/>
        <c:tickLblPos val="nextTo"/>
        <c:crossAx val="15020480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[finalidad_11.xlsx]PIB!$D$1</c:f>
              <c:strCache>
                <c:ptCount val="1"/>
                <c:pt idx="0">
                  <c:v>% respecto del PIB</c:v>
                </c:pt>
              </c:strCache>
            </c:strRef>
          </c:tx>
          <c:marker>
            <c:symbol val="none"/>
          </c:marker>
          <c:dLbls>
            <c:dLbl>
              <c:idx val="0"/>
              <c:layout>
                <c:manualLayout>
                  <c:x val="-4.722222222222222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3E-45EE-AF82-FB8DCDA09D4A}"/>
                </c:ext>
              </c:extLst>
            </c:dLbl>
            <c:dLbl>
              <c:idx val="1"/>
              <c:delete val="1"/>
              <c:extLst>
                <c:ext xmlns:c15="http://schemas.microsoft.com/office/drawing/2012/chart" uri="{CE6537A1-D6FC-4f65-9D91-7224C49458BB}"/>
                <c:ext xmlns:c16="http://schemas.microsoft.com/office/drawing/2014/chart" uri="{C3380CC4-5D6E-409C-BE32-E72D297353CC}">
                  <c16:uniqueId val="{00000001-2C3E-45EE-AF82-FB8DCDA09D4A}"/>
                </c:ext>
              </c:extLst>
            </c:dLbl>
            <c:dLbl>
              <c:idx val="2"/>
              <c:layout>
                <c:manualLayout>
                  <c:x val="-3.0555555555555555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3E-45EE-AF82-FB8DCDA09D4A}"/>
                </c:ext>
              </c:extLst>
            </c:dLbl>
            <c:dLbl>
              <c:idx val="3"/>
              <c:delete val="1"/>
              <c:extLst>
                <c:ext xmlns:c15="http://schemas.microsoft.com/office/drawing/2012/chart" uri="{CE6537A1-D6FC-4f65-9D91-7224C49458BB}"/>
                <c:ext xmlns:c16="http://schemas.microsoft.com/office/drawing/2014/chart" uri="{C3380CC4-5D6E-409C-BE32-E72D297353CC}">
                  <c16:uniqueId val="{00000003-2C3E-45EE-AF82-FB8DCDA09D4A}"/>
                </c:ext>
              </c:extLst>
            </c:dLbl>
            <c:dLbl>
              <c:idx val="4"/>
              <c:layout>
                <c:manualLayout>
                  <c:x val="-0.05"/>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3E-45EE-AF82-FB8DCDA09D4A}"/>
                </c:ext>
              </c:extLst>
            </c:dLbl>
            <c:dLbl>
              <c:idx val="5"/>
              <c:delete val="1"/>
              <c:extLst>
                <c:ext xmlns:c15="http://schemas.microsoft.com/office/drawing/2012/chart" uri="{CE6537A1-D6FC-4f65-9D91-7224C49458BB}"/>
                <c:ext xmlns:c16="http://schemas.microsoft.com/office/drawing/2014/chart" uri="{C3380CC4-5D6E-409C-BE32-E72D297353CC}">
                  <c16:uniqueId val="{00000005-2C3E-45EE-AF82-FB8DCDA09D4A}"/>
                </c:ext>
              </c:extLst>
            </c:dLbl>
            <c:dLbl>
              <c:idx val="7"/>
              <c:delete val="1"/>
              <c:extLst>
                <c:ext xmlns:c15="http://schemas.microsoft.com/office/drawing/2012/chart" uri="{CE6537A1-D6FC-4f65-9D91-7224C49458BB}"/>
                <c:ext xmlns:c16="http://schemas.microsoft.com/office/drawing/2014/chart" uri="{C3380CC4-5D6E-409C-BE32-E72D297353CC}">
                  <c16:uniqueId val="{00000006-2C3E-45EE-AF82-FB8DCDA09D4A}"/>
                </c:ext>
              </c:extLst>
            </c:dLbl>
            <c:dLbl>
              <c:idx val="8"/>
              <c:delete val="1"/>
              <c:extLst>
                <c:ext xmlns:c15="http://schemas.microsoft.com/office/drawing/2012/chart" uri="{CE6537A1-D6FC-4f65-9D91-7224C49458BB}"/>
                <c:ext xmlns:c16="http://schemas.microsoft.com/office/drawing/2014/chart" uri="{C3380CC4-5D6E-409C-BE32-E72D297353CC}">
                  <c16:uniqueId val="{00000007-2C3E-45EE-AF82-FB8DCDA09D4A}"/>
                </c:ext>
              </c:extLst>
            </c:dLbl>
            <c:dLbl>
              <c:idx val="9"/>
              <c:layout>
                <c:manualLayout>
                  <c:x val="-2.4999999999999897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3E-45EE-AF82-FB8DCDA09D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[finalidad_11.xlsx]PIB!$A$2:$A$11</c:f>
              <c:strCache>
                <c:ptCount val="10"/>
                <c:pt idx="0">
                  <c:v>2009</c:v>
                </c:pt>
                <c:pt idx="1">
                  <c:v>2010</c:v>
                </c:pt>
                <c:pt idx="2">
                  <c:v>2011</c:v>
                </c:pt>
                <c:pt idx="3">
                  <c:v>2012</c:v>
                </c:pt>
                <c:pt idx="4">
                  <c:v>2013 1/</c:v>
                </c:pt>
                <c:pt idx="5">
                  <c:v>2014 1/</c:v>
                </c:pt>
                <c:pt idx="6">
                  <c:v>2015 1/</c:v>
                </c:pt>
                <c:pt idx="7">
                  <c:v>2016 1/</c:v>
                </c:pt>
                <c:pt idx="8">
                  <c:v>2017 1/</c:v>
                </c:pt>
                <c:pt idx="9">
                  <c:v>2018 1/</c:v>
                </c:pt>
              </c:strCache>
            </c:strRef>
          </c:cat>
          <c:val>
            <c:numRef>
              <c:f>[finalidad_11.xlsx]PIB!$D$2:$D$11</c:f>
              <c:numCache>
                <c:formatCode>0.00%</c:formatCode>
                <c:ptCount val="10"/>
                <c:pt idx="0">
                  <c:v>8.5934634911793394E-3</c:v>
                </c:pt>
                <c:pt idx="1">
                  <c:v>8.4294674548087648E-3</c:v>
                </c:pt>
                <c:pt idx="2">
                  <c:v>7.7895142997679873E-3</c:v>
                </c:pt>
                <c:pt idx="3">
                  <c:v>7.9453177704280047E-3</c:v>
                </c:pt>
                <c:pt idx="4">
                  <c:v>8.104511028271812E-3</c:v>
                </c:pt>
                <c:pt idx="5">
                  <c:v>7.9437906194128969E-3</c:v>
                </c:pt>
                <c:pt idx="6">
                  <c:v>7.6596680483139393E-3</c:v>
                </c:pt>
                <c:pt idx="7">
                  <c:v>7.999243135119986E-3</c:v>
                </c:pt>
                <c:pt idx="8">
                  <c:v>8.4342840102289412E-3</c:v>
                </c:pt>
                <c:pt idx="9">
                  <c:v>8.4946471603419196E-3</c:v>
                </c:pt>
              </c:numCache>
            </c:numRef>
          </c:val>
          <c:smooth val="0"/>
          <c:extLst>
            <c:ext xmlns:c16="http://schemas.microsoft.com/office/drawing/2014/chart" uri="{C3380CC4-5D6E-409C-BE32-E72D297353CC}">
              <c16:uniqueId val="{00000009-2C3E-45EE-AF82-FB8DCDA09D4A}"/>
            </c:ext>
          </c:extLst>
        </c:ser>
        <c:dLbls>
          <c:showLegendKey val="0"/>
          <c:showVal val="1"/>
          <c:showCatName val="0"/>
          <c:showSerName val="0"/>
          <c:showPercent val="0"/>
          <c:showBubbleSize val="0"/>
        </c:dLbls>
        <c:smooth val="0"/>
        <c:axId val="150302080"/>
        <c:axId val="150317312"/>
      </c:lineChart>
      <c:catAx>
        <c:axId val="150302080"/>
        <c:scaling>
          <c:orientation val="minMax"/>
        </c:scaling>
        <c:delete val="0"/>
        <c:axPos val="b"/>
        <c:numFmt formatCode="General" sourceLinked="0"/>
        <c:majorTickMark val="none"/>
        <c:minorTickMark val="none"/>
        <c:tickLblPos val="nextTo"/>
        <c:txPr>
          <a:bodyPr rot="5400000" vert="horz"/>
          <a:lstStyle/>
          <a:p>
            <a:pPr>
              <a:defRPr/>
            </a:pPr>
            <a:endParaRPr lang="es-GT"/>
          </a:p>
        </c:txPr>
        <c:crossAx val="150317312"/>
        <c:crosses val="autoZero"/>
        <c:auto val="1"/>
        <c:lblAlgn val="ctr"/>
        <c:lblOffset val="100"/>
        <c:noMultiLvlLbl val="0"/>
      </c:catAx>
      <c:valAx>
        <c:axId val="150317312"/>
        <c:scaling>
          <c:orientation val="minMax"/>
        </c:scaling>
        <c:delete val="1"/>
        <c:axPos val="l"/>
        <c:numFmt formatCode="0.00%" sourceLinked="1"/>
        <c:majorTickMark val="out"/>
        <c:minorTickMark val="none"/>
        <c:tickLblPos val="nextTo"/>
        <c:crossAx val="15030208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335033875993223E-2"/>
          <c:y val="4.1069295101553167E-2"/>
          <c:w val="0.82475505092181844"/>
          <c:h val="0.7518434800579088"/>
        </c:manualLayout>
      </c:layout>
      <c:barChart>
        <c:barDir val="col"/>
        <c:grouping val="clustered"/>
        <c:varyColors val="0"/>
        <c:ser>
          <c:idx val="1"/>
          <c:order val="1"/>
          <c:tx>
            <c:strRef>
              <c:f>'PIB Minas y canteras'!$D$8</c:f>
              <c:strCache>
                <c:ptCount val="1"/>
                <c:pt idx="0">
                  <c:v>Explotación de minas y canteras</c:v>
                </c:pt>
              </c:strCache>
            </c:strRef>
          </c:tx>
          <c:invertIfNegative val="0"/>
          <c:dLbls>
            <c:dLbl>
              <c:idx val="0"/>
              <c:layout>
                <c:manualLayout>
                  <c:x val="4.52701756162001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3B-4625-B080-436CD6199859}"/>
                </c:ext>
              </c:extLst>
            </c:dLbl>
            <c:dLbl>
              <c:idx val="10"/>
              <c:layout>
                <c:manualLayout>
                  <c:x val="4.9797193177820179E-2"/>
                  <c:y val="2.6135005973715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3B-4625-B080-436CD6199859}"/>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3B-4625-B080-436CD61998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'PIB Minas y canteras'!$E$8:$V$8</c:f>
              <c:numCache>
                <c:formatCode>#,##0.0</c:formatCode>
                <c:ptCount val="18"/>
                <c:pt idx="0">
                  <c:v>1042.0922260910181</c:v>
                </c:pt>
                <c:pt idx="1">
                  <c:v>1491.694487946397</c:v>
                </c:pt>
                <c:pt idx="2">
                  <c:v>1831.4364915126805</c:v>
                </c:pt>
                <c:pt idx="3">
                  <c:v>1942.5598171670617</c:v>
                </c:pt>
                <c:pt idx="4">
                  <c:v>2397.3008612908739</c:v>
                </c:pt>
                <c:pt idx="5">
                  <c:v>3269.0625479912119</c:v>
                </c:pt>
                <c:pt idx="6">
                  <c:v>4120.8955817680035</c:v>
                </c:pt>
                <c:pt idx="7">
                  <c:v>5370.7408586705051</c:v>
                </c:pt>
                <c:pt idx="8">
                  <c:v>5008.3294325392781</c:v>
                </c:pt>
                <c:pt idx="9">
                  <c:v>6615.9810021929125</c:v>
                </c:pt>
                <c:pt idx="10">
                  <c:v>10512.195138446081</c:v>
                </c:pt>
                <c:pt idx="11">
                  <c:v>8604.1856097455729</c:v>
                </c:pt>
                <c:pt idx="12">
                  <c:v>7813.2489999999998</c:v>
                </c:pt>
                <c:pt idx="13">
                  <c:v>10069.174999999999</c:v>
                </c:pt>
                <c:pt idx="14">
                  <c:v>8620.0740000000005</c:v>
                </c:pt>
                <c:pt idx="15">
                  <c:v>7590.6689999999999</c:v>
                </c:pt>
                <c:pt idx="16">
                  <c:v>6487.0019999999995</c:v>
                </c:pt>
                <c:pt idx="17">
                  <c:v>4200.6730000000007</c:v>
                </c:pt>
              </c:numCache>
            </c:numRef>
          </c:val>
          <c:extLst>
            <c:ext xmlns:c16="http://schemas.microsoft.com/office/drawing/2014/chart" uri="{C3380CC4-5D6E-409C-BE32-E72D297353CC}">
              <c16:uniqueId val="{00000003-B73B-4625-B080-436CD6199859}"/>
            </c:ext>
          </c:extLst>
        </c:ser>
        <c:dLbls>
          <c:showLegendKey val="0"/>
          <c:showVal val="0"/>
          <c:showCatName val="0"/>
          <c:showSerName val="0"/>
          <c:showPercent val="0"/>
          <c:showBubbleSize val="0"/>
        </c:dLbls>
        <c:gapWidth val="150"/>
        <c:axId val="150364928"/>
        <c:axId val="150366464"/>
      </c:barChart>
      <c:lineChart>
        <c:grouping val="standard"/>
        <c:varyColors val="0"/>
        <c:ser>
          <c:idx val="0"/>
          <c:order val="0"/>
          <c:tx>
            <c:strRef>
              <c:f>'PIB Minas y canteras'!$D$9</c:f>
              <c:strCache>
                <c:ptCount val="1"/>
                <c:pt idx="0">
                  <c:v>Participación en el PIB explotación de minas y canteras</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3B-4625-B080-436CD6199859}"/>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3B-4625-B080-436CD6199859}"/>
                </c:ext>
              </c:extLst>
            </c:dLbl>
            <c:dLbl>
              <c:idx val="10"/>
              <c:layout>
                <c:manualLayout>
                  <c:x val="-1.5028177833437696E-2"/>
                  <c:y val="-2.5960539979231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3B-4625-B080-436CD6199859}"/>
                </c:ext>
              </c:extLst>
            </c:dLbl>
            <c:dLbl>
              <c:idx val="12"/>
              <c:layout>
                <c:manualLayout>
                  <c:x val="-4.3730222513669918E-2"/>
                  <c:y val="-7.1579954374862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3B-4625-B080-436CD6199859}"/>
                </c:ext>
              </c:extLst>
            </c:dLbl>
            <c:dLbl>
              <c:idx val="13"/>
              <c:layout>
                <c:manualLayout>
                  <c:x val="0"/>
                  <c:y val="-2.2401433691756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3B-4625-B080-436CD6199859}"/>
                </c:ext>
              </c:extLst>
            </c:dLbl>
            <c:dLbl>
              <c:idx val="17"/>
              <c:layout>
                <c:manualLayout>
                  <c:x val="6.7905263424300243E-3"/>
                  <c:y val="3.7335722819593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3B-4625-B080-436CD61998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'PIB Minas y canteras'!$E$6:$V$6</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'PIB Minas y canteras'!$E$9:$V$9</c:f>
              <c:numCache>
                <c:formatCode>0.0%</c:formatCode>
                <c:ptCount val="18"/>
                <c:pt idx="0">
                  <c:v>7.090131446336502E-3</c:v>
                </c:pt>
                <c:pt idx="1">
                  <c:v>9.1792743858402394E-3</c:v>
                </c:pt>
                <c:pt idx="2">
                  <c:v>1.052282865448988E-2</c:v>
                </c:pt>
                <c:pt idx="3">
                  <c:v>1.0200373591076818E-2</c:v>
                </c:pt>
                <c:pt idx="4">
                  <c:v>1.154052462381603E-2</c:v>
                </c:pt>
                <c:pt idx="5">
                  <c:v>1.4223451403760868E-2</c:v>
                </c:pt>
                <c:pt idx="6">
                  <c:v>1.5743023896424291E-2</c:v>
                </c:pt>
                <c:pt idx="7">
                  <c:v>1.8152277520953213E-2</c:v>
                </c:pt>
                <c:pt idx="8">
                  <c:v>1.626257175419521E-2</c:v>
                </c:pt>
                <c:pt idx="9">
                  <c:v>1.9862239498883653E-2</c:v>
                </c:pt>
                <c:pt idx="10">
                  <c:v>2.8333875373167044E-2</c:v>
                </c:pt>
                <c:pt idx="11">
                  <c:v>2.1798031974616158E-2</c:v>
                </c:pt>
                <c:pt idx="12">
                  <c:v>1.8466774183056492E-2</c:v>
                </c:pt>
                <c:pt idx="13">
                  <c:v>2.2176222770308802E-2</c:v>
                </c:pt>
                <c:pt idx="14">
                  <c:v>1.7659446733504971E-2</c:v>
                </c:pt>
                <c:pt idx="15">
                  <c:v>1.4546057276481823E-2</c:v>
                </c:pt>
                <c:pt idx="16">
                  <c:v>1.1674643602458802E-2</c:v>
                </c:pt>
                <c:pt idx="17">
                  <c:v>7.1202703723386171E-3</c:v>
                </c:pt>
              </c:numCache>
            </c:numRef>
          </c:val>
          <c:smooth val="0"/>
          <c:extLst>
            <c:ext xmlns:c16="http://schemas.microsoft.com/office/drawing/2014/chart" uri="{C3380CC4-5D6E-409C-BE32-E72D297353CC}">
              <c16:uniqueId val="{0000000A-B73B-4625-B080-436CD6199859}"/>
            </c:ext>
          </c:extLst>
        </c:ser>
        <c:dLbls>
          <c:showLegendKey val="0"/>
          <c:showVal val="0"/>
          <c:showCatName val="0"/>
          <c:showSerName val="0"/>
          <c:showPercent val="0"/>
          <c:showBubbleSize val="0"/>
        </c:dLbls>
        <c:marker val="1"/>
        <c:smooth val="0"/>
        <c:axId val="149964288"/>
        <c:axId val="149965824"/>
      </c:lineChart>
      <c:catAx>
        <c:axId val="149964288"/>
        <c:scaling>
          <c:orientation val="minMax"/>
        </c:scaling>
        <c:delete val="0"/>
        <c:axPos val="b"/>
        <c:numFmt formatCode="General" sourceLinked="1"/>
        <c:majorTickMark val="out"/>
        <c:minorTickMark val="none"/>
        <c:tickLblPos val="nextTo"/>
        <c:txPr>
          <a:bodyPr rot="-5400000" vert="horz"/>
          <a:lstStyle/>
          <a:p>
            <a:pPr>
              <a:defRPr/>
            </a:pPr>
            <a:endParaRPr lang="es-GT"/>
          </a:p>
        </c:txPr>
        <c:crossAx val="149965824"/>
        <c:crosses val="autoZero"/>
        <c:auto val="1"/>
        <c:lblAlgn val="ctr"/>
        <c:lblOffset val="100"/>
        <c:noMultiLvlLbl val="0"/>
      </c:catAx>
      <c:valAx>
        <c:axId val="149965824"/>
        <c:scaling>
          <c:orientation val="minMax"/>
        </c:scaling>
        <c:delete val="0"/>
        <c:axPos val="l"/>
        <c:numFmt formatCode="0.0%" sourceLinked="1"/>
        <c:majorTickMark val="out"/>
        <c:minorTickMark val="none"/>
        <c:tickLblPos val="nextTo"/>
        <c:crossAx val="149964288"/>
        <c:crosses val="autoZero"/>
        <c:crossBetween val="between"/>
      </c:valAx>
      <c:catAx>
        <c:axId val="150364928"/>
        <c:scaling>
          <c:orientation val="minMax"/>
        </c:scaling>
        <c:delete val="1"/>
        <c:axPos val="b"/>
        <c:majorTickMark val="out"/>
        <c:minorTickMark val="none"/>
        <c:tickLblPos val="nextTo"/>
        <c:crossAx val="150366464"/>
        <c:crosses val="autoZero"/>
        <c:auto val="1"/>
        <c:lblAlgn val="ctr"/>
        <c:lblOffset val="100"/>
        <c:noMultiLvlLbl val="0"/>
      </c:catAx>
      <c:valAx>
        <c:axId val="150366464"/>
        <c:scaling>
          <c:orientation val="minMax"/>
        </c:scaling>
        <c:delete val="0"/>
        <c:axPos val="r"/>
        <c:numFmt formatCode="#,##0.0" sourceLinked="1"/>
        <c:majorTickMark val="out"/>
        <c:minorTickMark val="none"/>
        <c:tickLblPos val="nextTo"/>
        <c:crossAx val="150364928"/>
        <c:crosses val="max"/>
        <c:crossBetween val="between"/>
      </c:valAx>
    </c:plotArea>
    <c:legend>
      <c:legendPos val="b"/>
      <c:overlay val="0"/>
    </c:legend>
    <c:plotVisOnly val="1"/>
    <c:dispBlanksAs val="gap"/>
    <c:showDLblsOverMax val="0"/>
  </c:chart>
  <c:spPr>
    <a:ln>
      <a:noFill/>
    </a:ln>
  </c:spPr>
  <c:txPr>
    <a:bodyPr/>
    <a:lstStyle/>
    <a:p>
      <a:pPr>
        <a:defRPr sz="700">
          <a:latin typeface="Arial" pitchFamily="34" charset="0"/>
          <a:cs typeface="Arial" pitchFamily="34" charset="0"/>
        </a:defRPr>
      </a:pPr>
      <a:endParaRPr lang="es-G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'Flujo IED 2007-2018_trim (2)'!$C$53</c:f>
              <c:strCache>
                <c:ptCount val="1"/>
                <c:pt idx="0">
                  <c:v>Agricultura, petróleo, minas y canteras</c:v>
                </c:pt>
              </c:strCache>
            </c:strRef>
          </c:tx>
          <c:spPr>
            <a:solidFill>
              <a:schemeClr val="accent1"/>
            </a:solidFill>
            <a:ln>
              <a:noFill/>
            </a:ln>
            <a:effectLst/>
          </c:spPr>
          <c:invertIfNegative val="0"/>
          <c:dLbls>
            <c:dLbl>
              <c:idx val="4"/>
              <c:layout>
                <c:manualLayout>
                  <c:x val="-4.3006666835390159E-2"/>
                  <c:y val="-7.82032224653842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B0-478C-9DFC-8062580573E5}"/>
                </c:ext>
              </c:extLst>
            </c:dLbl>
            <c:dLbl>
              <c:idx val="8"/>
              <c:layout>
                <c:manualLayout>
                  <c:x val="9.0540351232401162E-3"/>
                  <c:y val="-7.82032224653842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B0-478C-9DFC-8062580573E5}"/>
                </c:ext>
              </c:extLst>
            </c:dLbl>
            <c:dLbl>
              <c:idx val="11"/>
              <c:layout>
                <c:manualLayout>
                  <c:x val="-1.4946286342130616E-3"/>
                  <c:y val="-2.5814776337322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B0-478C-9DFC-8062580573E5}"/>
                </c:ext>
              </c:extLst>
            </c:dLbl>
            <c:spPr>
              <a:noFill/>
              <a:ln>
                <a:noFill/>
              </a:ln>
              <a:effectLst/>
            </c:spPr>
            <c:txPr>
              <a:bodyPr rot="0" vert="horz"/>
              <a:lstStyle/>
              <a:p>
                <a:pPr>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'Flujo IED 2007-2018_trim (2)'!$E$36:$P$36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'Flujo IED 2007-2018_trim (2)'!$E$53:$P$53</c:f>
              <c:numCache>
                <c:formatCode>_(* #,##0.00_);_(* \(#,##0.00\);_(* "-"??_);_(@_)</c:formatCode>
                <c:ptCount val="12"/>
                <c:pt idx="0">
                  <c:v>69.5</c:v>
                </c:pt>
                <c:pt idx="1">
                  <c:v>174.1</c:v>
                </c:pt>
                <c:pt idx="2">
                  <c:v>138.72</c:v>
                </c:pt>
                <c:pt idx="3">
                  <c:v>120.00101834719999</c:v>
                </c:pt>
                <c:pt idx="4">
                  <c:v>325.2</c:v>
                </c:pt>
                <c:pt idx="5">
                  <c:v>417.79999999999995</c:v>
                </c:pt>
                <c:pt idx="6">
                  <c:v>334.7</c:v>
                </c:pt>
                <c:pt idx="7">
                  <c:v>201.2</c:v>
                </c:pt>
                <c:pt idx="8">
                  <c:v>155.69999999999999</c:v>
                </c:pt>
                <c:pt idx="9">
                  <c:v>27.5</c:v>
                </c:pt>
                <c:pt idx="10">
                  <c:v>63.949999999999989</c:v>
                </c:pt>
                <c:pt idx="11">
                  <c:v>-2.1</c:v>
                </c:pt>
              </c:numCache>
            </c:numRef>
          </c:val>
          <c:extLst>
            <c:ext xmlns:c16="http://schemas.microsoft.com/office/drawing/2014/chart" uri="{C3380CC4-5D6E-409C-BE32-E72D297353CC}">
              <c16:uniqueId val="{00000003-27B0-478C-9DFC-8062580573E5}"/>
            </c:ext>
          </c:extLst>
        </c:ser>
        <c:dLbls>
          <c:showLegendKey val="0"/>
          <c:showVal val="0"/>
          <c:showCatName val="0"/>
          <c:showSerName val="0"/>
          <c:showPercent val="0"/>
          <c:showBubbleSize val="0"/>
        </c:dLbls>
        <c:gapWidth val="150"/>
        <c:axId val="150434176"/>
        <c:axId val="150435712"/>
      </c:barChart>
      <c:lineChart>
        <c:grouping val="standard"/>
        <c:varyColors val="0"/>
        <c:ser>
          <c:idx val="1"/>
          <c:order val="1"/>
          <c:tx>
            <c:strRef>
              <c:f>'Flujo IED 2007-2018_trim (2)'!$C$54</c:f>
              <c:strCache>
                <c:ptCount val="1"/>
                <c:pt idx="0">
                  <c:v>Participacion porcentual en la IED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425614150530105E-2"/>
                  <c:y val="-3.1281288986153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B0-478C-9DFC-8062580573E5}"/>
                </c:ext>
              </c:extLst>
            </c:dLbl>
            <c:dLbl>
              <c:idx val="4"/>
              <c:layout>
                <c:manualLayout>
                  <c:x val="-1.1317543904050041E-2"/>
                  <c:y val="-4.6921919032595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B0-478C-9DFC-8062580573E5}"/>
                </c:ext>
              </c:extLst>
            </c:dLbl>
            <c:dLbl>
              <c:idx val="7"/>
              <c:delete val="1"/>
              <c:extLst>
                <c:ext xmlns:c15="http://schemas.microsoft.com/office/drawing/2012/chart" uri="{CE6537A1-D6FC-4f65-9D91-7224C49458BB}"/>
                <c:ext xmlns:c16="http://schemas.microsoft.com/office/drawing/2014/chart" uri="{C3380CC4-5D6E-409C-BE32-E72D297353CC}">
                  <c16:uniqueId val="{00000006-27B0-478C-9DFC-8062580573E5}"/>
                </c:ext>
              </c:extLst>
            </c:dLbl>
            <c:spPr>
              <a:noFill/>
              <a:ln>
                <a:noFill/>
              </a:ln>
              <a:effectLst/>
            </c:spPr>
            <c:txPr>
              <a:bodyPr rot="0" vert="horz"/>
              <a:lstStyle/>
              <a:p>
                <a:pPr>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'Flujo IED 2007-2018_trim (2)'!$E$54:$P$54</c:f>
              <c:numCache>
                <c:formatCode>0.0%</c:formatCode>
                <c:ptCount val="12"/>
                <c:pt idx="0">
                  <c:v>9.3276070326130722E-2</c:v>
                </c:pt>
                <c:pt idx="1">
                  <c:v>0.23093248441437855</c:v>
                </c:pt>
                <c:pt idx="2">
                  <c:v>0.23120000000000004</c:v>
                </c:pt>
                <c:pt idx="3">
                  <c:v>0.14892114892114891</c:v>
                </c:pt>
                <c:pt idx="4">
                  <c:v>0.31692817464184769</c:v>
                </c:pt>
                <c:pt idx="5">
                  <c:v>0.33571334423825944</c:v>
                </c:pt>
                <c:pt idx="6">
                  <c:v>0.25837579126138649</c:v>
                </c:pt>
                <c:pt idx="7">
                  <c:v>0.14488370418376897</c:v>
                </c:pt>
                <c:pt idx="8">
                  <c:v>0.12753931847968544</c:v>
                </c:pt>
                <c:pt idx="9">
                  <c:v>2.3214587202431199E-2</c:v>
                </c:pt>
                <c:pt idx="10">
                  <c:v>5.4681955382260623E-2</c:v>
                </c:pt>
                <c:pt idx="11">
                  <c:v>-2.0359096139336416E-3</c:v>
                </c:pt>
              </c:numCache>
            </c:numRef>
          </c:val>
          <c:smooth val="0"/>
          <c:extLst>
            <c:ext xmlns:c16="http://schemas.microsoft.com/office/drawing/2014/chart" uri="{C3380CC4-5D6E-409C-BE32-E72D297353CC}">
              <c16:uniqueId val="{00000007-27B0-478C-9DFC-8062580573E5}"/>
            </c:ext>
          </c:extLst>
        </c:ser>
        <c:dLbls>
          <c:showLegendKey val="0"/>
          <c:showVal val="0"/>
          <c:showCatName val="0"/>
          <c:showSerName val="0"/>
          <c:showPercent val="0"/>
          <c:showBubbleSize val="0"/>
        </c:dLbls>
        <c:marker val="1"/>
        <c:smooth val="0"/>
        <c:axId val="150448000"/>
        <c:axId val="150446080"/>
      </c:lineChart>
      <c:catAx>
        <c:axId val="1504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GT"/>
          </a:p>
        </c:txPr>
        <c:crossAx val="150435712"/>
        <c:crosses val="autoZero"/>
        <c:auto val="1"/>
        <c:lblAlgn val="ctr"/>
        <c:lblOffset val="100"/>
        <c:noMultiLvlLbl val="0"/>
      </c:catAx>
      <c:valAx>
        <c:axId val="150435712"/>
        <c:scaling>
          <c:orientation val="minMax"/>
        </c:scaling>
        <c:delete val="0"/>
        <c:axPos val="l"/>
        <c:title>
          <c:tx>
            <c:rich>
              <a:bodyPr rot="-5400000" vert="horz"/>
              <a:lstStyle/>
              <a:p>
                <a:pPr>
                  <a:defRPr/>
                </a:pPr>
                <a:r>
                  <a:rPr lang="en-US"/>
                  <a:t>Millones de U. S. Dólares</a:t>
                </a:r>
              </a:p>
            </c:rich>
          </c:tx>
          <c:layout>
            <c:manualLayout>
              <c:xMode val="edge"/>
              <c:yMode val="edge"/>
              <c:x val="1.0462400439491431E-2"/>
              <c:y val="0.32995105559059634"/>
            </c:manualLayout>
          </c:layout>
          <c:overlay val="0"/>
          <c:spPr>
            <a:noFill/>
            <a:ln>
              <a:noFill/>
            </a:ln>
            <a:effectLst/>
          </c:spPr>
        </c:title>
        <c:numFmt formatCode="_(* #,##0.00_);_(* \(#,##0.00\);_(* &quot;-&quot;??_);_(@_)" sourceLinked="1"/>
        <c:majorTickMark val="none"/>
        <c:minorTickMark val="none"/>
        <c:tickLblPos val="nextTo"/>
        <c:spPr>
          <a:noFill/>
          <a:ln>
            <a:noFill/>
          </a:ln>
          <a:effectLst/>
        </c:spPr>
        <c:txPr>
          <a:bodyPr rot="-60000000" vert="horz"/>
          <a:lstStyle/>
          <a:p>
            <a:pPr>
              <a:defRPr sz="100">
                <a:solidFill>
                  <a:schemeClr val="bg1"/>
                </a:solidFill>
              </a:defRPr>
            </a:pPr>
            <a:endParaRPr lang="es-GT"/>
          </a:p>
        </c:txPr>
        <c:crossAx val="150434176"/>
        <c:crosses val="autoZero"/>
        <c:crossBetween val="between"/>
      </c:valAx>
      <c:valAx>
        <c:axId val="150446080"/>
        <c:scaling>
          <c:orientation val="minMax"/>
        </c:scaling>
        <c:delete val="0"/>
        <c:axPos val="r"/>
        <c:title>
          <c:tx>
            <c:rich>
              <a:bodyPr rot="-5400000" vert="horz"/>
              <a:lstStyle/>
              <a:p>
                <a:pPr>
                  <a:defRPr/>
                </a:pPr>
                <a:r>
                  <a:rPr lang="en-US"/>
                  <a:t>participación en el IED total</a:t>
                </a:r>
              </a:p>
            </c:rich>
          </c:tx>
          <c:layout>
            <c:manualLayout>
              <c:xMode val="edge"/>
              <c:yMode val="edge"/>
              <c:x val="0.97085474163284524"/>
              <c:y val="0.31777949018052659"/>
            </c:manualLayout>
          </c:layout>
          <c:overlay val="0"/>
          <c:spPr>
            <a:noFill/>
            <a:ln>
              <a:noFill/>
            </a:ln>
            <a:effectLst/>
          </c:spPr>
        </c:title>
        <c:numFmt formatCode="0.0%" sourceLinked="1"/>
        <c:majorTickMark val="out"/>
        <c:minorTickMark val="none"/>
        <c:tickLblPos val="nextTo"/>
        <c:spPr>
          <a:noFill/>
          <a:ln>
            <a:noFill/>
          </a:ln>
          <a:effectLst/>
        </c:spPr>
        <c:txPr>
          <a:bodyPr rot="-60000000" vert="horz"/>
          <a:lstStyle/>
          <a:p>
            <a:pPr>
              <a:defRPr sz="100">
                <a:solidFill>
                  <a:schemeClr val="bg1"/>
                </a:solidFill>
              </a:defRPr>
            </a:pPr>
            <a:endParaRPr lang="es-GT"/>
          </a:p>
        </c:txPr>
        <c:crossAx val="150448000"/>
        <c:crosses val="max"/>
        <c:crossBetween val="between"/>
      </c:valAx>
      <c:catAx>
        <c:axId val="150448000"/>
        <c:scaling>
          <c:orientation val="minMax"/>
        </c:scaling>
        <c:delete val="1"/>
        <c:axPos val="b"/>
        <c:majorTickMark val="out"/>
        <c:minorTickMark val="none"/>
        <c:tickLblPos val="nextTo"/>
        <c:crossAx val="150446080"/>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itchFamily="34" charset="0"/>
          <a:cs typeface="Arial" pitchFamily="34" charset="0"/>
        </a:defRPr>
      </a:pPr>
      <a:endParaRPr lang="es-G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9450164883236"/>
          <c:y val="3.4920626191569507E-2"/>
          <c:w val="0.76535971465105324"/>
          <c:h val="0.82642224061436309"/>
        </c:manualLayout>
      </c:layout>
      <c:barChart>
        <c:barDir val="col"/>
        <c:grouping val="clustered"/>
        <c:varyColors val="0"/>
        <c:ser>
          <c:idx val="0"/>
          <c:order val="0"/>
          <c:tx>
            <c:strRef>
              <c:f>'Produccion Petrolera 1990-2018'!$B$11</c:f>
              <c:strCache>
                <c:ptCount val="1"/>
                <c:pt idx="0">
                  <c:v>Millones de barriles</c:v>
                </c:pt>
              </c:strCache>
            </c:strRef>
          </c:tx>
          <c:spPr>
            <a:solidFill>
              <a:schemeClr val="accent1"/>
            </a:solidFill>
            <a:ln>
              <a:noFill/>
            </a:ln>
            <a:effectLst/>
            <a:scene3d>
              <a:camera prst="orthographicFront"/>
              <a:lightRig rig="threePt" dir="t">
                <a:rot lat="0" lon="0" rev="1200000"/>
              </a:lightRig>
            </a:scene3d>
            <a:sp3d prstMaterial="dkEdge">
              <a:bevelT/>
              <a:bevelB w="139700" h="12700"/>
            </a:sp3d>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16-49A4-A093-5B80282C0B1E}"/>
                </c:ext>
              </c:extLst>
            </c:dLbl>
            <c:spPr>
              <a:noFill/>
              <a:ln>
                <a:noFill/>
              </a:ln>
              <a:effectLst/>
            </c:spPr>
            <c:txPr>
              <a:bodyPr/>
              <a:lstStyle/>
              <a:p>
                <a:pPr>
                  <a:defRPr sz="700">
                    <a:latin typeface="Arial" pitchFamily="34" charset="0"/>
                    <a:cs typeface="Arial" pitchFamily="34"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'Produccion Petrolera 1990-2018'!$O$6:$AE$6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'Produccion Petrolera 1990-2018'!$O$11:$AE$11</c:f>
              <c:numCache>
                <c:formatCode>#,##0.00</c:formatCode>
                <c:ptCount val="17"/>
                <c:pt idx="0">
                  <c:v>9.0049520600000008</c:v>
                </c:pt>
                <c:pt idx="1">
                  <c:v>9.0276677100000011</c:v>
                </c:pt>
                <c:pt idx="2">
                  <c:v>7.3841244800000005</c:v>
                </c:pt>
                <c:pt idx="3">
                  <c:v>6.7276409299999997</c:v>
                </c:pt>
                <c:pt idx="4">
                  <c:v>5.8928669899999999</c:v>
                </c:pt>
                <c:pt idx="5">
                  <c:v>5.5840121500000004</c:v>
                </c:pt>
                <c:pt idx="6">
                  <c:v>5.1582839400000005</c:v>
                </c:pt>
                <c:pt idx="7">
                  <c:v>4.9332772999999994</c:v>
                </c:pt>
                <c:pt idx="8">
                  <c:v>4.3628792800000005</c:v>
                </c:pt>
                <c:pt idx="9">
                  <c:v>3.99591977</c:v>
                </c:pt>
                <c:pt idx="10">
                  <c:v>3.8762362299999999</c:v>
                </c:pt>
                <c:pt idx="11">
                  <c:v>3.6451809700000002</c:v>
                </c:pt>
                <c:pt idx="12">
                  <c:v>3.66889464</c:v>
                </c:pt>
                <c:pt idx="13">
                  <c:v>3.5428023099999999</c:v>
                </c:pt>
                <c:pt idx="14">
                  <c:v>3.2854420099999997</c:v>
                </c:pt>
                <c:pt idx="15">
                  <c:v>3.5189666800000001</c:v>
                </c:pt>
                <c:pt idx="16">
                  <c:v>3.36343367</c:v>
                </c:pt>
              </c:numCache>
            </c:numRef>
          </c:val>
          <c:extLst>
            <c:ext xmlns:c16="http://schemas.microsoft.com/office/drawing/2014/chart" uri="{C3380CC4-5D6E-409C-BE32-E72D297353CC}">
              <c16:uniqueId val="{00000001-3816-49A4-A093-5B80282C0B1E}"/>
            </c:ext>
          </c:extLst>
        </c:ser>
        <c:dLbls>
          <c:showLegendKey val="0"/>
          <c:showVal val="0"/>
          <c:showCatName val="0"/>
          <c:showSerName val="0"/>
          <c:showPercent val="0"/>
          <c:showBubbleSize val="0"/>
        </c:dLbls>
        <c:gapWidth val="150"/>
        <c:axId val="150469248"/>
        <c:axId val="256582016"/>
      </c:barChart>
      <c:lineChart>
        <c:grouping val="standard"/>
        <c:varyColors val="0"/>
        <c:ser>
          <c:idx val="1"/>
          <c:order val="1"/>
          <c:tx>
            <c:strRef>
              <c:f>'Produccion Petrolera 1990-2018'!$B$8</c:f>
              <c:strCache>
                <c:ptCount val="1"/>
                <c:pt idx="0">
                  <c:v>Barriles / día </c:v>
                </c:pt>
              </c:strCache>
            </c:strRef>
          </c:tx>
          <c:spPr>
            <a:ln w="28575" cap="rnd">
              <a:solidFill>
                <a:schemeClr val="accent2"/>
              </a:solidFill>
              <a:round/>
            </a:ln>
            <a:effectLst/>
          </c:spPr>
          <c:marker>
            <c:symbol val="diamond"/>
            <c:size val="6"/>
            <c:spPr>
              <a:solidFill>
                <a:schemeClr val="accent2"/>
              </a:solidFill>
              <a:ln w="12700">
                <a:solidFill>
                  <a:schemeClr val="accent2"/>
                </a:solidFill>
              </a:ln>
              <a:effectLst/>
            </c:spPr>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16-49A4-A093-5B80282C0B1E}"/>
                </c:ext>
              </c:extLst>
            </c:dLbl>
            <c:spPr>
              <a:noFill/>
              <a:ln>
                <a:noFill/>
              </a:ln>
              <a:effectLst/>
            </c:spPr>
            <c:txPr>
              <a:bodyPr/>
              <a:lstStyle/>
              <a:p>
                <a:pPr>
                  <a:defRPr sz="600">
                    <a:latin typeface="Arial" pitchFamily="34" charset="0"/>
                    <a:cs typeface="Arial" pitchFamily="34"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'Produccion Petrolera 1990-2018'!$O$8:$AE$8</c:f>
              <c:numCache>
                <c:formatCode>#,##0</c:formatCode>
                <c:ptCount val="17"/>
                <c:pt idx="0">
                  <c:v>24671.101534246576</c:v>
                </c:pt>
                <c:pt idx="1">
                  <c:v>24733.336191780825</c:v>
                </c:pt>
                <c:pt idx="2">
                  <c:v>20230.478027397261</c:v>
                </c:pt>
                <c:pt idx="3">
                  <c:v>18431.892958904107</c:v>
                </c:pt>
                <c:pt idx="4">
                  <c:v>16144.841068493151</c:v>
                </c:pt>
                <c:pt idx="5">
                  <c:v>15298.663424657536</c:v>
                </c:pt>
                <c:pt idx="6">
                  <c:v>14132.284767123288</c:v>
                </c:pt>
                <c:pt idx="7">
                  <c:v>13515.828219178082</c:v>
                </c:pt>
                <c:pt idx="8">
                  <c:v>11953.093917808221</c:v>
                </c:pt>
                <c:pt idx="9">
                  <c:v>10947.725397260274</c:v>
                </c:pt>
                <c:pt idx="10">
                  <c:v>10619.825287671232</c:v>
                </c:pt>
                <c:pt idx="11">
                  <c:v>9986.7971780821917</c:v>
                </c:pt>
                <c:pt idx="12">
                  <c:v>10051.766136986302</c:v>
                </c:pt>
                <c:pt idx="13">
                  <c:v>9706.3076986301367</c:v>
                </c:pt>
                <c:pt idx="14">
                  <c:v>9001.2109863013684</c:v>
                </c:pt>
                <c:pt idx="15">
                  <c:v>9641.0046027397257</c:v>
                </c:pt>
                <c:pt idx="16">
                  <c:v>9214.8867671232874</c:v>
                </c:pt>
              </c:numCache>
            </c:numRef>
          </c:val>
          <c:smooth val="1"/>
          <c:extLst>
            <c:ext xmlns:c16="http://schemas.microsoft.com/office/drawing/2014/chart" uri="{C3380CC4-5D6E-409C-BE32-E72D297353CC}">
              <c16:uniqueId val="{00000003-3816-49A4-A093-5B80282C0B1E}"/>
            </c:ext>
          </c:extLst>
        </c:ser>
        <c:dLbls>
          <c:showLegendKey val="0"/>
          <c:showVal val="0"/>
          <c:showCatName val="0"/>
          <c:showSerName val="0"/>
          <c:showPercent val="0"/>
          <c:showBubbleSize val="0"/>
        </c:dLbls>
        <c:marker val="1"/>
        <c:smooth val="0"/>
        <c:axId val="256590208"/>
        <c:axId val="256583936"/>
      </c:lineChart>
      <c:catAx>
        <c:axId val="1504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itchFamily="34" charset="0"/>
                <a:ea typeface="+mn-ea"/>
                <a:cs typeface="Arial" pitchFamily="34" charset="0"/>
              </a:defRPr>
            </a:pPr>
            <a:endParaRPr lang="es-GT"/>
          </a:p>
        </c:txPr>
        <c:crossAx val="256582016"/>
        <c:crosses val="autoZero"/>
        <c:auto val="1"/>
        <c:lblAlgn val="ctr"/>
        <c:lblOffset val="100"/>
        <c:noMultiLvlLbl val="0"/>
      </c:catAx>
      <c:valAx>
        <c:axId val="256582016"/>
        <c:scaling>
          <c:orientation val="minMax"/>
        </c:scaling>
        <c:delete val="0"/>
        <c:axPos val="l"/>
        <c:title>
          <c:tx>
            <c:rich>
              <a:bodyPr rot="-5400000" spcFirstLastPara="1" vertOverflow="ellipsis" vert="horz" wrap="square" anchor="ctr" anchorCtr="1"/>
              <a:lstStyle/>
              <a:p>
                <a:pPr algn="r">
                  <a:defRPr sz="700" b="0" i="0" u="none" strike="noStrike" kern="1200" baseline="0">
                    <a:solidFill>
                      <a:sysClr val="windowText" lastClr="000000"/>
                    </a:solidFill>
                    <a:latin typeface="Arial" pitchFamily="34" charset="0"/>
                    <a:ea typeface="+mn-ea"/>
                    <a:cs typeface="Arial" pitchFamily="34" charset="0"/>
                  </a:defRPr>
                </a:pPr>
                <a:r>
                  <a:rPr lang="en-US" sz="700">
                    <a:latin typeface="Arial" pitchFamily="34" charset="0"/>
                    <a:cs typeface="Arial" pitchFamily="34" charset="0"/>
                  </a:rPr>
                  <a:t>Producción anual millones de barriles </a:t>
                </a:r>
              </a:p>
            </c:rich>
          </c:tx>
          <c:layout>
            <c:manualLayout>
              <c:xMode val="edge"/>
              <c:yMode val="edge"/>
              <c:x val="1.3220012159362441E-2"/>
              <c:y val="0.1973646932707155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itchFamily="34" charset="0"/>
                <a:ea typeface="+mn-ea"/>
                <a:cs typeface="Arial" pitchFamily="34" charset="0"/>
              </a:defRPr>
            </a:pPr>
            <a:endParaRPr lang="es-GT"/>
          </a:p>
        </c:txPr>
        <c:crossAx val="150469248"/>
        <c:crosses val="autoZero"/>
        <c:crossBetween val="between"/>
      </c:valAx>
      <c:valAx>
        <c:axId val="256583936"/>
        <c:scaling>
          <c:orientation val="minMax"/>
        </c:scaling>
        <c:delete val="0"/>
        <c:axPos val="r"/>
        <c:title>
          <c:tx>
            <c:rich>
              <a:bodyPr rot="5400000" spcFirstLastPara="1" vertOverflow="ellipsis" wrap="square" anchor="ctr" anchorCtr="1"/>
              <a:lstStyle/>
              <a:p>
                <a:pPr>
                  <a:defRPr sz="700" b="0" i="0" u="none" strike="noStrike" kern="1200" baseline="0">
                    <a:solidFill>
                      <a:sysClr val="windowText" lastClr="000000"/>
                    </a:solidFill>
                    <a:latin typeface="Arial" pitchFamily="34" charset="0"/>
                    <a:ea typeface="+mn-ea"/>
                    <a:cs typeface="Arial" pitchFamily="34" charset="0"/>
                  </a:defRPr>
                </a:pPr>
                <a:r>
                  <a:rPr lang="en-US" sz="700">
                    <a:latin typeface="Arial" pitchFamily="34" charset="0"/>
                    <a:cs typeface="Arial" pitchFamily="34" charset="0"/>
                  </a:rPr>
                  <a:t>Barriles</a:t>
                </a:r>
                <a:r>
                  <a:rPr lang="en-US" sz="700" baseline="0">
                    <a:latin typeface="Arial" pitchFamily="34" charset="0"/>
                    <a:cs typeface="Arial" pitchFamily="34" charset="0"/>
                  </a:rPr>
                  <a:t> diarios promedio</a:t>
                </a:r>
                <a:endParaRPr lang="en-US" sz="700">
                  <a:latin typeface="Arial" pitchFamily="34" charset="0"/>
                  <a:cs typeface="Arial" pitchFamily="34" charset="0"/>
                </a:endParaRPr>
              </a:p>
            </c:rich>
          </c:tx>
          <c:layout>
            <c:manualLayout>
              <c:xMode val="edge"/>
              <c:yMode val="edge"/>
              <c:x val="0.94981321084864401"/>
              <c:y val="0.36454434082131215"/>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itchFamily="34" charset="0"/>
                <a:ea typeface="+mn-ea"/>
                <a:cs typeface="Arial" pitchFamily="34" charset="0"/>
              </a:defRPr>
            </a:pPr>
            <a:endParaRPr lang="es-GT"/>
          </a:p>
        </c:txPr>
        <c:crossAx val="256590208"/>
        <c:crosses val="max"/>
        <c:crossBetween val="between"/>
      </c:valAx>
      <c:catAx>
        <c:axId val="256590208"/>
        <c:scaling>
          <c:orientation val="minMax"/>
        </c:scaling>
        <c:delete val="1"/>
        <c:axPos val="b"/>
        <c:majorTickMark val="out"/>
        <c:minorTickMark val="none"/>
        <c:tickLblPos val="nextTo"/>
        <c:crossAx val="25658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itchFamily="34" charset="0"/>
              <a:ea typeface="+mn-ea"/>
              <a:cs typeface="Arial" pitchFamily="34"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93663635910272"/>
          <c:y val="9.9182808511790718E-2"/>
          <c:w val="0.76712102891062983"/>
          <c:h val="0.74137345041672043"/>
        </c:manualLayout>
      </c:layout>
      <c:pie3DChart>
        <c:varyColors val="1"/>
        <c:ser>
          <c:idx val="0"/>
          <c:order val="0"/>
          <c:explosion val="4"/>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066-445D-BFB5-4A727C4F3C1E}"/>
              </c:ext>
            </c:extLst>
          </c:dPt>
          <c:dPt>
            <c:idx val="1"/>
            <c:bubble3D val="0"/>
            <c:explosion val="1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066-445D-BFB5-4A727C4F3C1E}"/>
              </c:ext>
            </c:extLst>
          </c:dPt>
          <c:dPt>
            <c:idx val="2"/>
            <c:bubble3D val="0"/>
            <c:explosion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066-445D-BFB5-4A727C4F3C1E}"/>
              </c:ext>
            </c:extLst>
          </c:dPt>
          <c:dPt>
            <c:idx val="3"/>
            <c:bubble3D val="0"/>
            <c:explosion val="2"/>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066-445D-BFB5-4A727C4F3C1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066-445D-BFB5-4A727C4F3C1E}"/>
              </c:ext>
            </c:extLst>
          </c:dPt>
          <c:dLbls>
            <c:dLbl>
              <c:idx val="0"/>
              <c:layout>
                <c:manualLayout>
                  <c:x val="-3.7801514989139993E-2"/>
                  <c:y val="-0.18943958105996811"/>
                </c:manualLayout>
              </c:layout>
              <c:tx>
                <c:rich>
                  <a:bodyPr/>
                  <a:lstStyle/>
                  <a:p>
                    <a:r>
                      <a:rPr lang="en-US"/>
                      <a:t>Petro Energy Contrato 1-91
0.5%</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9066-445D-BFB5-4A727C4F3C1E}"/>
                </c:ext>
              </c:extLst>
            </c:dLbl>
            <c:dLbl>
              <c:idx val="1"/>
              <c:layout>
                <c:manualLayout>
                  <c:x val="8.5456083034731855E-3"/>
                  <c:y val="-6.2726828823608513E-2"/>
                </c:manualLayout>
              </c:layout>
              <c:tx>
                <c:rich>
                  <a:bodyPr/>
                  <a:lstStyle/>
                  <a:p>
                    <a:r>
                      <a:rPr lang="en-US"/>
                      <a:t>Perenco</a:t>
                    </a:r>
                  </a:p>
                  <a:p>
                    <a:r>
                      <a:rPr lang="en-US"/>
                      <a:t> Contrato 2-85
83.5%</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7462713139878491"/>
                      <c:h val="0.21639589169000933"/>
                    </c:manualLayout>
                  </c15:layout>
                  <c15:showDataLabelsRange val="0"/>
                </c:ext>
                <c:ext xmlns:c16="http://schemas.microsoft.com/office/drawing/2014/chart" uri="{C3380CC4-5D6E-409C-BE32-E72D297353CC}">
                  <c16:uniqueId val="{00000003-9066-445D-BFB5-4A727C4F3C1E}"/>
                </c:ext>
              </c:extLst>
            </c:dLbl>
            <c:dLbl>
              <c:idx val="2"/>
              <c:layout>
                <c:manualLayout>
                  <c:x val="0.20391151139212838"/>
                  <c:y val="0.12035861180083018"/>
                </c:manualLayout>
              </c:layout>
              <c:tx>
                <c:rich>
                  <a:bodyPr/>
                  <a:lstStyle/>
                  <a:p>
                    <a:r>
                      <a:rPr lang="en-US"/>
                      <a:t>Latin American Resources</a:t>
                    </a:r>
                  </a:p>
                  <a:p>
                    <a:r>
                      <a:rPr lang="en-US"/>
                      <a:t> Contrato 1-2005
2.4%</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9066-445D-BFB5-4A727C4F3C1E}"/>
                </c:ext>
              </c:extLst>
            </c:dLbl>
            <c:dLbl>
              <c:idx val="3"/>
              <c:layout>
                <c:manualLayout>
                  <c:x val="-5.0271367469221145E-2"/>
                  <c:y val="0.12035861180083018"/>
                </c:manualLayout>
              </c:layout>
              <c:tx>
                <c:rich>
                  <a:bodyPr/>
                  <a:lstStyle/>
                  <a:p>
                    <a:r>
                      <a:rPr lang="en-US"/>
                      <a:t>City Peten </a:t>
                    </a:r>
                  </a:p>
                  <a:p>
                    <a:r>
                      <a:rPr lang="en-US"/>
                      <a:t>Contrato 1-2006
8.9%</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9066-445D-BFB5-4A727C4F3C1E}"/>
                </c:ext>
              </c:extLst>
            </c:dLbl>
            <c:dLbl>
              <c:idx val="4"/>
              <c:layout>
                <c:manualLayout>
                  <c:x val="-3.0783588229985611E-2"/>
                  <c:y val="-6.3038517216747053E-2"/>
                </c:manualLayout>
              </c:layout>
              <c:tx>
                <c:rich>
                  <a:bodyPr/>
                  <a:lstStyle/>
                  <a:p>
                    <a:r>
                      <a:rPr lang="en-US"/>
                      <a:t>Empresa Petrolera de Istmo </a:t>
                    </a:r>
                  </a:p>
                  <a:p>
                    <a:r>
                      <a:rPr lang="en-US"/>
                      <a:t>Contratos 1-2007 / </a:t>
                    </a:r>
                  </a:p>
                  <a:p>
                    <a:r>
                      <a:rPr lang="en-US"/>
                      <a:t>2-2009
4.6%</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27615384615384614"/>
                      <c:h val="0.17531279178338002"/>
                    </c:manualLayout>
                  </c15:layout>
                  <c15:showDataLabelsRange val="0"/>
                </c:ext>
                <c:ext xmlns:c16="http://schemas.microsoft.com/office/drawing/2014/chart" uri="{C3380CC4-5D6E-409C-BE32-E72D297353CC}">
                  <c16:uniqueId val="{00000009-9066-445D-BFB5-4A727C4F3C1E}"/>
                </c:ext>
              </c:extLst>
            </c:dLbl>
            <c:numFmt formatCode="0.00%" sourceLinked="0"/>
            <c:spPr>
              <a:noFill/>
              <a:ln>
                <a:noFill/>
              </a:ln>
              <a:effectLst/>
            </c:spPr>
            <c:txPr>
              <a:bodyPr rot="0" vert="horz"/>
              <a:lstStyle/>
              <a:p>
                <a:pPr>
                  <a:defRPr/>
                </a:pPr>
                <a:endParaRPr lang="es-GT"/>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'Prod petrolera x contrato 05-18'!$S$17:$S$21</c:f>
              <c:strCache>
                <c:ptCount val="5"/>
                <c:pt idx="0">
                  <c:v>Petro Energy Contrato 1-91</c:v>
                </c:pt>
                <c:pt idx="1">
                  <c:v>Perenco Contrato 2-85</c:v>
                </c:pt>
                <c:pt idx="2">
                  <c:v>Latin American R. Contrato 1-2005</c:v>
                </c:pt>
                <c:pt idx="3">
                  <c:v>City Peten Contrato 1-2006</c:v>
                </c:pt>
                <c:pt idx="4">
                  <c:v>Emp Petrolera de Istmo Contratos 1-2007 / 2-2009</c:v>
                </c:pt>
              </c:strCache>
            </c:strRef>
          </c:cat>
          <c:val>
            <c:numRef>
              <c:f>'Prod petrolera x contrato 05-18'!$W$17:$W$21</c:f>
              <c:numCache>
                <c:formatCode>#,##0</c:formatCode>
                <c:ptCount val="5"/>
                <c:pt idx="0">
                  <c:v>17811.86</c:v>
                </c:pt>
                <c:pt idx="1">
                  <c:v>2808669.9</c:v>
                </c:pt>
                <c:pt idx="2">
                  <c:v>80874.69</c:v>
                </c:pt>
                <c:pt idx="3">
                  <c:v>301311.05</c:v>
                </c:pt>
                <c:pt idx="4">
                  <c:v>154766.17000000001</c:v>
                </c:pt>
              </c:numCache>
            </c:numRef>
          </c:val>
          <c:extLst>
            <c:ext xmlns:c16="http://schemas.microsoft.com/office/drawing/2014/chart" uri="{C3380CC4-5D6E-409C-BE32-E72D297353CC}">
              <c16:uniqueId val="{0000000A-9066-445D-BFB5-4A727C4F3C1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'export hasta 2018 (2)'!$A$17</c:f>
              <c:strCache>
                <c:ptCount val="1"/>
                <c:pt idx="0">
                  <c:v>millones US$</c:v>
                </c:pt>
              </c:strCache>
            </c:strRef>
          </c:tx>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2D-40BC-8F78-579C4B6CF27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2D-40BC-8F78-579C4B6CF27A}"/>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2D-40BC-8F78-579C4B6CF27A}"/>
                </c:ext>
              </c:extLst>
            </c:dLbl>
            <c:dLbl>
              <c:idx val="16"/>
              <c:layout>
                <c:manualLayout>
                  <c:x val="0"/>
                  <c:y val="1.554157493670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2D-40BC-8F78-579C4B6CF27A}"/>
                </c:ext>
              </c:extLst>
            </c:dLbl>
            <c:numFmt formatCode="#,##0.0" sourceLinked="0"/>
            <c:spPr>
              <a:noFill/>
              <a:ln>
                <a:noFill/>
              </a:ln>
              <a:effectLst/>
            </c:spPr>
            <c:txPr>
              <a:bodyPr/>
              <a:lstStyle/>
              <a:p>
                <a:pPr>
                  <a:defRPr sz="600" b="1">
                    <a:latin typeface="Arial" pitchFamily="34" charset="0"/>
                    <a:cs typeface="Arial" pitchFamily="34"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'export hasta 2018 (2)'!$D$7:$T$7</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'export hasta 2018 (2)'!$D$18:$T$18</c:f>
              <c:numCache>
                <c:formatCode>0.00</c:formatCode>
                <c:ptCount val="17"/>
                <c:pt idx="0">
                  <c:v>149.37903800000001</c:v>
                </c:pt>
                <c:pt idx="1">
                  <c:v>173.402804</c:v>
                </c:pt>
                <c:pt idx="2">
                  <c:v>178.73981599999999</c:v>
                </c:pt>
                <c:pt idx="3">
                  <c:v>225.11379700000001</c:v>
                </c:pt>
                <c:pt idx="4">
                  <c:v>233.197318</c:v>
                </c:pt>
                <c:pt idx="5">
                  <c:v>249.14566600000001</c:v>
                </c:pt>
                <c:pt idx="6">
                  <c:v>373.70706999999999</c:v>
                </c:pt>
                <c:pt idx="7">
                  <c:v>191.69211999999999</c:v>
                </c:pt>
                <c:pt idx="8">
                  <c:v>247.181196</c:v>
                </c:pt>
                <c:pt idx="9">
                  <c:v>335.39850000000001</c:v>
                </c:pt>
                <c:pt idx="10">
                  <c:v>291.675591</c:v>
                </c:pt>
                <c:pt idx="11">
                  <c:v>277.34544</c:v>
                </c:pt>
                <c:pt idx="12">
                  <c:v>276.96849099999997</c:v>
                </c:pt>
                <c:pt idx="13">
                  <c:v>126.890187</c:v>
                </c:pt>
                <c:pt idx="14">
                  <c:v>84.483176</c:v>
                </c:pt>
                <c:pt idx="15">
                  <c:v>118.566892</c:v>
                </c:pt>
                <c:pt idx="16">
                  <c:v>124.928687</c:v>
                </c:pt>
              </c:numCache>
            </c:numRef>
          </c:val>
          <c:extLst>
            <c:ext xmlns:c16="http://schemas.microsoft.com/office/drawing/2014/chart" uri="{C3380CC4-5D6E-409C-BE32-E72D297353CC}">
              <c16:uniqueId val="{00000004-0A2D-40BC-8F78-579C4B6CF27A}"/>
            </c:ext>
          </c:extLst>
        </c:ser>
        <c:dLbls>
          <c:showLegendKey val="0"/>
          <c:showVal val="0"/>
          <c:showCatName val="0"/>
          <c:showSerName val="0"/>
          <c:showPercent val="0"/>
          <c:showBubbleSize val="0"/>
        </c:dLbls>
        <c:gapWidth val="42"/>
        <c:axId val="150405504"/>
        <c:axId val="150407040"/>
      </c:barChart>
      <c:lineChart>
        <c:grouping val="standard"/>
        <c:varyColors val="0"/>
        <c:ser>
          <c:idx val="1"/>
          <c:order val="1"/>
          <c:tx>
            <c:strRef>
              <c:f>'export hasta 2018 (2)'!$A$13</c:f>
              <c:strCache>
                <c:ptCount val="1"/>
                <c:pt idx="0">
                  <c:v>Porcentaje de las exportaciones totales</c:v>
                </c:pt>
              </c:strCache>
            </c:strRef>
          </c:tx>
          <c:spPr>
            <a:ln w="28575"/>
          </c:spPr>
          <c:marker>
            <c:symbol val="square"/>
            <c:size val="3"/>
          </c:marker>
          <c:dLbls>
            <c:dLbl>
              <c:idx val="3"/>
              <c:layout>
                <c:manualLayout>
                  <c:x val="-3.166278034827634E-2"/>
                  <c:y val="-4.144419983120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2D-40BC-8F78-579C4B6CF27A}"/>
                </c:ext>
              </c:extLst>
            </c:dLbl>
            <c:dLbl>
              <c:idx val="6"/>
              <c:layout>
                <c:manualLayout>
                  <c:x val="-2.9401153180542313E-2"/>
                  <c:y val="-3.1083149873403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2D-40BC-8F78-579C4B6CF27A}"/>
                </c:ext>
              </c:extLst>
            </c:dLbl>
            <c:dLbl>
              <c:idx val="9"/>
              <c:layout>
                <c:manualLayout>
                  <c:x val="-2.9401153180542313E-2"/>
                  <c:y val="-3.6263674852304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2D-40BC-8F78-579C4B6CF27A}"/>
                </c:ext>
              </c:extLst>
            </c:dLbl>
            <c:dLbl>
              <c:idx val="14"/>
              <c:layout>
                <c:manualLayout>
                  <c:x val="-2.9401153180542313E-2"/>
                  <c:y val="4.144377501029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2D-40BC-8F78-579C4B6CF27A}"/>
                </c:ext>
              </c:extLst>
            </c:dLbl>
            <c:dLbl>
              <c:idx val="16"/>
              <c:layout>
                <c:manualLayout>
                  <c:x val="-2.713952601280829E-2"/>
                  <c:y val="4.6624724810105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2D-40BC-8F78-579C4B6CF27A}"/>
                </c:ext>
              </c:extLst>
            </c:dLbl>
            <c:spPr>
              <a:noFill/>
              <a:ln>
                <a:noFill/>
              </a:ln>
              <a:effectLst/>
            </c:spPr>
            <c:txPr>
              <a:bodyPr/>
              <a:lstStyle/>
              <a:p>
                <a:pPr>
                  <a:defRPr sz="500" b="1" i="1">
                    <a:solidFill>
                      <a:sysClr val="windowText" lastClr="000000"/>
                    </a:solidFill>
                    <a:latin typeface="Arial" pitchFamily="34" charset="0"/>
                    <a:cs typeface="Arial" pitchFamily="34"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'export hasta 2018 (2)'!$D$7:$T$7</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'export hasta 2018 (2)'!$D$13:$T$13</c:f>
              <c:numCache>
                <c:formatCode>0.0%</c:formatCode>
                <c:ptCount val="17"/>
                <c:pt idx="0">
                  <c:v>3.5890704839117375E-2</c:v>
                </c:pt>
                <c:pt idx="1">
                  <c:v>3.8884677336062545E-2</c:v>
                </c:pt>
                <c:pt idx="2">
                  <c:v>3.5509400423542038E-2</c:v>
                </c:pt>
                <c:pt idx="3">
                  <c:v>4.1835471958948753E-2</c:v>
                </c:pt>
                <c:pt idx="4">
                  <c:v>3.8783222426568745E-2</c:v>
                </c:pt>
                <c:pt idx="5">
                  <c:v>3.6120078729229503E-2</c:v>
                </c:pt>
                <c:pt idx="6">
                  <c:v>4.8298729997767964E-2</c:v>
                </c:pt>
                <c:pt idx="7">
                  <c:v>2.6573434852186089E-2</c:v>
                </c:pt>
                <c:pt idx="8">
                  <c:v>2.9208978068355155E-2</c:v>
                </c:pt>
                <c:pt idx="9">
                  <c:v>3.2247087793939755E-2</c:v>
                </c:pt>
                <c:pt idx="10">
                  <c:v>2.9229809114186121E-2</c:v>
                </c:pt>
                <c:pt idx="11">
                  <c:v>2.7665948240087838E-2</c:v>
                </c:pt>
                <c:pt idx="12">
                  <c:v>2.5636998648236733E-2</c:v>
                </c:pt>
                <c:pt idx="13">
                  <c:v>1.1886913695735137E-2</c:v>
                </c:pt>
                <c:pt idx="14">
                  <c:v>8.0850468025108566E-3</c:v>
                </c:pt>
                <c:pt idx="15">
                  <c:v>1.0796116160202988E-2</c:v>
                </c:pt>
                <c:pt idx="16">
                  <c:v>1.1388680393913863E-2</c:v>
                </c:pt>
              </c:numCache>
            </c:numRef>
          </c:val>
          <c:smooth val="0"/>
          <c:extLst>
            <c:ext xmlns:c16="http://schemas.microsoft.com/office/drawing/2014/chart" uri="{C3380CC4-5D6E-409C-BE32-E72D297353CC}">
              <c16:uniqueId val="{0000000A-0A2D-40BC-8F78-579C4B6CF27A}"/>
            </c:ext>
          </c:extLst>
        </c:ser>
        <c:dLbls>
          <c:showLegendKey val="0"/>
          <c:showVal val="0"/>
          <c:showCatName val="0"/>
          <c:showSerName val="0"/>
          <c:showPercent val="0"/>
          <c:showBubbleSize val="0"/>
        </c:dLbls>
        <c:marker val="1"/>
        <c:smooth val="0"/>
        <c:axId val="150423424"/>
        <c:axId val="150421504"/>
      </c:lineChart>
      <c:catAx>
        <c:axId val="150405504"/>
        <c:scaling>
          <c:orientation val="minMax"/>
        </c:scaling>
        <c:delete val="0"/>
        <c:axPos val="b"/>
        <c:numFmt formatCode="General" sourceLinked="1"/>
        <c:majorTickMark val="none"/>
        <c:minorTickMark val="none"/>
        <c:tickLblPos val="nextTo"/>
        <c:txPr>
          <a:bodyPr/>
          <a:lstStyle/>
          <a:p>
            <a:pPr>
              <a:defRPr sz="600">
                <a:latin typeface="Arial" pitchFamily="34" charset="0"/>
                <a:cs typeface="Arial" pitchFamily="34" charset="0"/>
              </a:defRPr>
            </a:pPr>
            <a:endParaRPr lang="es-GT"/>
          </a:p>
        </c:txPr>
        <c:crossAx val="150407040"/>
        <c:crosses val="autoZero"/>
        <c:auto val="1"/>
        <c:lblAlgn val="ctr"/>
        <c:lblOffset val="100"/>
        <c:noMultiLvlLbl val="0"/>
      </c:catAx>
      <c:valAx>
        <c:axId val="150407040"/>
        <c:scaling>
          <c:orientation val="minMax"/>
        </c:scaling>
        <c:delete val="0"/>
        <c:axPos val="l"/>
        <c:title>
          <c:tx>
            <c:rich>
              <a:bodyPr rot="-5400000" vert="horz"/>
              <a:lstStyle/>
              <a:p>
                <a:pPr>
                  <a:defRPr sz="700">
                    <a:latin typeface="Arial" pitchFamily="34" charset="0"/>
                    <a:cs typeface="Arial" pitchFamily="34" charset="0"/>
                  </a:defRPr>
                </a:pPr>
                <a:r>
                  <a:rPr lang="en-US" sz="700">
                    <a:latin typeface="Arial" pitchFamily="34" charset="0"/>
                    <a:cs typeface="Arial" pitchFamily="34" charset="0"/>
                  </a:rPr>
                  <a:t>Exportaciones de petroleo</a:t>
                </a:r>
              </a:p>
            </c:rich>
          </c:tx>
          <c:layout>
            <c:manualLayout>
              <c:xMode val="edge"/>
              <c:yMode val="edge"/>
              <c:x val="1.3569763006404145E-2"/>
              <c:y val="0.23121626113752097"/>
            </c:manualLayout>
          </c:layout>
          <c:overlay val="0"/>
        </c:title>
        <c:numFmt formatCode="0.00" sourceLinked="1"/>
        <c:majorTickMark val="out"/>
        <c:minorTickMark val="none"/>
        <c:tickLblPos val="nextTo"/>
        <c:txPr>
          <a:bodyPr/>
          <a:lstStyle/>
          <a:p>
            <a:pPr>
              <a:defRPr sz="600">
                <a:latin typeface="Arial" pitchFamily="34" charset="0"/>
                <a:cs typeface="Arial" pitchFamily="34" charset="0"/>
              </a:defRPr>
            </a:pPr>
            <a:endParaRPr lang="es-GT"/>
          </a:p>
        </c:txPr>
        <c:crossAx val="150405504"/>
        <c:crosses val="autoZero"/>
        <c:crossBetween val="between"/>
      </c:valAx>
      <c:valAx>
        <c:axId val="150421504"/>
        <c:scaling>
          <c:orientation val="minMax"/>
        </c:scaling>
        <c:delete val="0"/>
        <c:axPos val="r"/>
        <c:title>
          <c:tx>
            <c:rich>
              <a:bodyPr rot="-5400000" vert="horz"/>
              <a:lstStyle/>
              <a:p>
                <a:pPr>
                  <a:defRPr sz="700">
                    <a:latin typeface="Arial" pitchFamily="34" charset="0"/>
                    <a:cs typeface="Arial" pitchFamily="34" charset="0"/>
                  </a:defRPr>
                </a:pPr>
                <a:r>
                  <a:rPr lang="en-US" sz="700">
                    <a:latin typeface="Arial" pitchFamily="34" charset="0"/>
                    <a:cs typeface="Arial" pitchFamily="34" charset="0"/>
                  </a:rPr>
                  <a:t>Participación</a:t>
                </a:r>
                <a:r>
                  <a:rPr lang="en-US" sz="700" baseline="0">
                    <a:latin typeface="Arial" pitchFamily="34" charset="0"/>
                    <a:cs typeface="Arial" pitchFamily="34" charset="0"/>
                  </a:rPr>
                  <a:t> en </a:t>
                </a:r>
                <a:r>
                  <a:rPr lang="en-US" sz="700">
                    <a:latin typeface="Arial" pitchFamily="34" charset="0"/>
                    <a:cs typeface="Arial" pitchFamily="34" charset="0"/>
                  </a:rPr>
                  <a:t> las exportaciones totales</a:t>
                </a:r>
              </a:p>
            </c:rich>
          </c:tx>
          <c:layout>
            <c:manualLayout>
              <c:xMode val="edge"/>
              <c:yMode val="edge"/>
              <c:x val="0.95917762962240083"/>
              <c:y val="9.1297387360379498E-2"/>
            </c:manualLayout>
          </c:layout>
          <c:overlay val="0"/>
        </c:title>
        <c:numFmt formatCode="0.0%" sourceLinked="1"/>
        <c:majorTickMark val="out"/>
        <c:minorTickMark val="none"/>
        <c:tickLblPos val="nextTo"/>
        <c:txPr>
          <a:bodyPr/>
          <a:lstStyle/>
          <a:p>
            <a:pPr>
              <a:defRPr sz="600">
                <a:latin typeface="Arial" pitchFamily="34" charset="0"/>
                <a:cs typeface="Arial" pitchFamily="34" charset="0"/>
              </a:defRPr>
            </a:pPr>
            <a:endParaRPr lang="es-GT"/>
          </a:p>
        </c:txPr>
        <c:crossAx val="150423424"/>
        <c:crosses val="max"/>
        <c:crossBetween val="between"/>
      </c:valAx>
      <c:catAx>
        <c:axId val="150423424"/>
        <c:scaling>
          <c:orientation val="minMax"/>
        </c:scaling>
        <c:delete val="1"/>
        <c:axPos val="b"/>
        <c:numFmt formatCode="General" sourceLinked="1"/>
        <c:majorTickMark val="out"/>
        <c:minorTickMark val="none"/>
        <c:tickLblPos val="nextTo"/>
        <c:crossAx val="150421504"/>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0839542708168196E-2"/>
          <c:y val="4.8522276135862373E-2"/>
          <c:w val="0.87249343832020998"/>
          <c:h val="0.76083380512592524"/>
        </c:manualLayout>
      </c:layout>
      <c:barChart>
        <c:barDir val="col"/>
        <c:grouping val="clustered"/>
        <c:varyColors val="0"/>
        <c:ser>
          <c:idx val="0"/>
          <c:order val="0"/>
          <c:tx>
            <c:strRef>
              <c:f>'Ing fiscales petroleo 98-2018'!$B$9</c:f>
              <c:strCache>
                <c:ptCount val="1"/>
                <c:pt idx="0">
                  <c:v>     Regalías explotación petrolera</c:v>
                </c:pt>
              </c:strCache>
            </c:strRef>
          </c:tx>
          <c:spPr>
            <a:scene3d>
              <a:camera prst="orthographicFront"/>
              <a:lightRig rig="threePt" dir="t"/>
            </a:scene3d>
            <a:sp3d>
              <a:bevelT/>
            </a:sp3d>
          </c:spPr>
          <c:invertIfNegative val="0"/>
          <c:dLbls>
            <c:dLbl>
              <c:idx val="4"/>
              <c:layout>
                <c:manualLayout>
                  <c:x val="-1.3954714935573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70-487A-9F34-055EC84FE0F7}"/>
                </c:ext>
              </c:extLst>
            </c:dLbl>
            <c:dLbl>
              <c:idx val="7"/>
              <c:layout>
                <c:manualLayout>
                  <c:x val="-1.3954714935573901E-2"/>
                  <c:y val="7.07799082034749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70-487A-9F34-055EC84FE0F7}"/>
                </c:ext>
              </c:extLst>
            </c:dLbl>
            <c:dLbl>
              <c:idx val="8"/>
              <c:layout>
                <c:manualLayout>
                  <c:x val="-7.8522151284362712E-3"/>
                  <c:y val="8.11749271742648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70-487A-9F34-055EC84FE0F7}"/>
                </c:ext>
              </c:extLst>
            </c:dLbl>
            <c:dLbl>
              <c:idx val="11"/>
              <c:layout>
                <c:manualLayout>
                  <c:x val="-9.4645532982237535E-3"/>
                  <c:y val="-2.4823337299138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70-487A-9F34-055EC84FE0F7}"/>
                </c:ext>
              </c:extLst>
            </c:dLbl>
            <c:spPr>
              <a:noFill/>
              <a:ln>
                <a:noFill/>
              </a:ln>
              <a:effectLst/>
            </c:spPr>
            <c:txPr>
              <a:bodyPr/>
              <a:lstStyle/>
              <a:p>
                <a:pPr>
                  <a:defRPr sz="6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'Ing fiscales petroleo 98-2018'!$C$7:$Q$7</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'Ing fiscales petroleo 98-2018'!$C$9:$Q$9</c:f>
              <c:numCache>
                <c:formatCode>#,##0.0</c:formatCode>
                <c:ptCount val="15"/>
                <c:pt idx="0">
                  <c:v>96.5</c:v>
                </c:pt>
                <c:pt idx="1">
                  <c:v>109.4</c:v>
                </c:pt>
                <c:pt idx="2">
                  <c:v>105.1</c:v>
                </c:pt>
                <c:pt idx="3">
                  <c:v>115.2</c:v>
                </c:pt>
                <c:pt idx="4">
                  <c:v>168.1</c:v>
                </c:pt>
                <c:pt idx="5">
                  <c:v>91.2</c:v>
                </c:pt>
                <c:pt idx="6">
                  <c:v>103.9</c:v>
                </c:pt>
                <c:pt idx="7">
                  <c:v>209.7</c:v>
                </c:pt>
                <c:pt idx="8">
                  <c:v>198</c:v>
                </c:pt>
                <c:pt idx="9">
                  <c:v>174.2</c:v>
                </c:pt>
                <c:pt idx="10">
                  <c:v>148.30000000000001</c:v>
                </c:pt>
                <c:pt idx="11">
                  <c:v>45</c:v>
                </c:pt>
                <c:pt idx="12">
                  <c:v>71.4529505</c:v>
                </c:pt>
                <c:pt idx="13">
                  <c:v>57.9</c:v>
                </c:pt>
                <c:pt idx="14">
                  <c:v>69.826571310000006</c:v>
                </c:pt>
              </c:numCache>
            </c:numRef>
          </c:val>
          <c:extLst>
            <c:ext xmlns:c16="http://schemas.microsoft.com/office/drawing/2014/chart" uri="{C3380CC4-5D6E-409C-BE32-E72D297353CC}">
              <c16:uniqueId val="{00000004-4370-487A-9F34-055EC84FE0F7}"/>
            </c:ext>
          </c:extLst>
        </c:ser>
        <c:ser>
          <c:idx val="1"/>
          <c:order val="1"/>
          <c:tx>
            <c:strRef>
              <c:f>'Ing fiscales petroleo 98-2018'!$B$10</c:f>
              <c:strCache>
                <c:ptCount val="1"/>
                <c:pt idx="0">
                  <c:v>     Participación estatal en la producción de hidrocarburos compartibles</c:v>
                </c:pt>
              </c:strCache>
            </c:strRef>
          </c:tx>
          <c:spPr>
            <a:scene3d>
              <a:camera prst="orthographicFront"/>
              <a:lightRig rig="threePt" dir="t"/>
            </a:scene3d>
            <a:sp3d prstMaterial="metal">
              <a:bevelT/>
            </a:sp3d>
          </c:spPr>
          <c:invertIfNegative val="0"/>
          <c:dLbls>
            <c:dLbl>
              <c:idx val="4"/>
              <c:layout>
                <c:manualLayout>
                  <c:x val="3.7212573161530448E-2"/>
                  <c:y val="7.07799279270844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70-487A-9F34-055EC84FE0F7}"/>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70-487A-9F34-055EC84FE0F7}"/>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70-487A-9F34-055EC84FE0F7}"/>
                </c:ext>
              </c:extLst>
            </c:dLbl>
            <c:spPr>
              <a:noFill/>
              <a:ln>
                <a:noFill/>
              </a:ln>
              <a:effectLst/>
            </c:spPr>
            <c:txPr>
              <a:bodyPr/>
              <a:lstStyle/>
              <a:p>
                <a:pPr>
                  <a:defRPr sz="700" b="1"/>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'Ing fiscales petroleo 98-2018'!$C$7:$Q$7</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'Ing fiscales petroleo 98-2018'!$C$10:$Q$10</c:f>
              <c:numCache>
                <c:formatCode>#,##0.0</c:formatCode>
                <c:ptCount val="15"/>
                <c:pt idx="0">
                  <c:v>397.6</c:v>
                </c:pt>
                <c:pt idx="1">
                  <c:v>481.9</c:v>
                </c:pt>
                <c:pt idx="2">
                  <c:v>566.5</c:v>
                </c:pt>
                <c:pt idx="3">
                  <c:v>685.4</c:v>
                </c:pt>
                <c:pt idx="4">
                  <c:v>1059</c:v>
                </c:pt>
                <c:pt idx="5">
                  <c:v>484.8</c:v>
                </c:pt>
                <c:pt idx="6">
                  <c:v>557.6</c:v>
                </c:pt>
                <c:pt idx="7">
                  <c:v>898.7</c:v>
                </c:pt>
                <c:pt idx="8">
                  <c:v>833</c:v>
                </c:pt>
                <c:pt idx="9">
                  <c:v>676.1</c:v>
                </c:pt>
                <c:pt idx="10">
                  <c:v>449</c:v>
                </c:pt>
                <c:pt idx="11">
                  <c:v>161.9</c:v>
                </c:pt>
                <c:pt idx="12">
                  <c:v>30.19853354</c:v>
                </c:pt>
                <c:pt idx="13">
                  <c:v>132.69999999999999</c:v>
                </c:pt>
                <c:pt idx="14">
                  <c:v>242.52808786000003</c:v>
                </c:pt>
              </c:numCache>
            </c:numRef>
          </c:val>
          <c:extLst>
            <c:ext xmlns:c16="http://schemas.microsoft.com/office/drawing/2014/chart" uri="{C3380CC4-5D6E-409C-BE32-E72D297353CC}">
              <c16:uniqueId val="{00000008-4370-487A-9F34-055EC84FE0F7}"/>
            </c:ext>
          </c:extLst>
        </c:ser>
        <c:dLbls>
          <c:showLegendKey val="0"/>
          <c:showVal val="0"/>
          <c:showCatName val="0"/>
          <c:showSerName val="0"/>
          <c:showPercent val="0"/>
          <c:showBubbleSize val="0"/>
        </c:dLbls>
        <c:gapWidth val="150"/>
        <c:axId val="352113408"/>
        <c:axId val="352114944"/>
      </c:barChart>
      <c:lineChart>
        <c:grouping val="standard"/>
        <c:varyColors val="0"/>
        <c:ser>
          <c:idx val="2"/>
          <c:order val="2"/>
          <c:tx>
            <c:strRef>
              <c:f>'Ing fiscales petroleo 98-2018'!$B$13</c:f>
              <c:strCache>
                <c:ptCount val="1"/>
                <c:pt idx="0">
                  <c:v>Participación en la recaudacion neta</c:v>
                </c:pt>
              </c:strCache>
            </c:strRef>
          </c:tx>
          <c:spPr>
            <a:ln>
              <a:solidFill>
                <a:schemeClr val="accent3">
                  <a:shade val="95000"/>
                  <a:satMod val="105000"/>
                </a:schemeClr>
              </a:solidFill>
            </a:ln>
          </c:spPr>
          <c:marker>
            <c:symbol val="diamond"/>
            <c:size val="4"/>
            <c:spPr>
              <a:solidFill>
                <a:schemeClr val="tx1"/>
              </a:solidFill>
            </c:spPr>
          </c:marker>
          <c:dPt>
            <c:idx val="4"/>
            <c:bubble3D val="0"/>
            <c:spPr>
              <a:ln w="38100">
                <a:solidFill>
                  <a:schemeClr val="accent3">
                    <a:shade val="95000"/>
                    <a:satMod val="105000"/>
                  </a:schemeClr>
                </a:solidFill>
              </a:ln>
            </c:spPr>
            <c:extLst>
              <c:ext xmlns:c16="http://schemas.microsoft.com/office/drawing/2014/chart" uri="{C3380CC4-5D6E-409C-BE32-E72D297353CC}">
                <c16:uniqueId val="{0000000A-4370-487A-9F34-055EC84FE0F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70-487A-9F34-055EC84FE0F7}"/>
                </c:ext>
              </c:extLst>
            </c:dLbl>
            <c:dLbl>
              <c:idx val="4"/>
              <c:layout>
                <c:manualLayout>
                  <c:x val="-6.51220030326782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70-487A-9F34-055EC84FE0F7}"/>
                </c:ext>
              </c:extLst>
            </c:dLbl>
            <c:dLbl>
              <c:idx val="5"/>
              <c:layout>
                <c:manualLayout>
                  <c:x val="-4.6515716451913007E-3"/>
                  <c:y val="1.4155981640694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70-487A-9F34-055EC84FE0F7}"/>
                </c:ext>
              </c:extLst>
            </c:dLbl>
            <c:dLbl>
              <c:idx val="7"/>
              <c:layout>
                <c:manualLayout>
                  <c:x val="-6.7307692307692304E-2"/>
                  <c:y val="-1.3965098817390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370-487A-9F34-055EC84FE0F7}"/>
                </c:ext>
              </c:extLst>
            </c:dLbl>
            <c:dLbl>
              <c:idx val="12"/>
              <c:layout>
                <c:manualLayout>
                  <c:x val="-3.1675037629695292E-2"/>
                  <c:y val="-3.2084570774127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370-487A-9F34-055EC84FE0F7}"/>
                </c:ext>
              </c:extLst>
            </c:dLbl>
            <c:spPr>
              <a:noFill/>
              <a:ln>
                <a:noFill/>
              </a:ln>
              <a:effectLst/>
            </c:spPr>
            <c:txPr>
              <a:bodyPr/>
              <a:lstStyle/>
              <a:p>
                <a:pPr>
                  <a:defRPr sz="700" b="1" i="1"/>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'Ing fiscales petroleo 98-2018'!$C$13:$R$13</c:f>
              <c:numCache>
                <c:formatCode>0.0%</c:formatCode>
                <c:ptCount val="16"/>
                <c:pt idx="0">
                  <c:v>2.248570305953285E-2</c:v>
                </c:pt>
                <c:pt idx="1">
                  <c:v>2.5366745125600616E-2</c:v>
                </c:pt>
                <c:pt idx="2">
                  <c:v>2.465662511271029E-2</c:v>
                </c:pt>
                <c:pt idx="3">
                  <c:v>2.5380957231848602E-2</c:v>
                </c:pt>
                <c:pt idx="4">
                  <c:v>3.6785615829609104E-2</c:v>
                </c:pt>
                <c:pt idx="5">
                  <c:v>1.8106527751156003E-2</c:v>
                </c:pt>
                <c:pt idx="6">
                  <c:v>1.9023950913227984E-2</c:v>
                </c:pt>
                <c:pt idx="7">
                  <c:v>2.7509077861808524E-2</c:v>
                </c:pt>
                <c:pt idx="8">
                  <c:v>2.4077630657668939E-2</c:v>
                </c:pt>
                <c:pt idx="9">
                  <c:v>1.8350921561315382E-2</c:v>
                </c:pt>
                <c:pt idx="10">
                  <c:v>1.2165735402609974E-2</c:v>
                </c:pt>
                <c:pt idx="11">
                  <c:v>4.1604051965319095E-3</c:v>
                </c:pt>
                <c:pt idx="12">
                  <c:v>1.8786269686251996E-3</c:v>
                </c:pt>
                <c:pt idx="13">
                  <c:v>3.3624965146252421E-3</c:v>
                </c:pt>
                <c:pt idx="14">
                  <c:v>5.3089405360335299E-3</c:v>
                </c:pt>
                <c:pt idx="15">
                  <c:v>0</c:v>
                </c:pt>
              </c:numCache>
            </c:numRef>
          </c:val>
          <c:smooth val="0"/>
          <c:extLst>
            <c:ext xmlns:c16="http://schemas.microsoft.com/office/drawing/2014/chart" uri="{C3380CC4-5D6E-409C-BE32-E72D297353CC}">
              <c16:uniqueId val="{0000000F-4370-487A-9F34-055EC84FE0F7}"/>
            </c:ext>
          </c:extLst>
        </c:ser>
        <c:dLbls>
          <c:showLegendKey val="0"/>
          <c:showVal val="0"/>
          <c:showCatName val="0"/>
          <c:showSerName val="0"/>
          <c:showPercent val="0"/>
          <c:showBubbleSize val="0"/>
        </c:dLbls>
        <c:marker val="1"/>
        <c:smooth val="0"/>
        <c:axId val="352122368"/>
        <c:axId val="352120832"/>
      </c:lineChart>
      <c:catAx>
        <c:axId val="352113408"/>
        <c:scaling>
          <c:orientation val="minMax"/>
        </c:scaling>
        <c:delete val="0"/>
        <c:axPos val="b"/>
        <c:numFmt formatCode="General" sourceLinked="1"/>
        <c:majorTickMark val="out"/>
        <c:minorTickMark val="none"/>
        <c:tickLblPos val="nextTo"/>
        <c:crossAx val="352114944"/>
        <c:crosses val="autoZero"/>
        <c:auto val="1"/>
        <c:lblAlgn val="ctr"/>
        <c:lblOffset val="100"/>
        <c:noMultiLvlLbl val="0"/>
      </c:catAx>
      <c:valAx>
        <c:axId val="352114944"/>
        <c:scaling>
          <c:orientation val="minMax"/>
        </c:scaling>
        <c:delete val="0"/>
        <c:axPos val="l"/>
        <c:numFmt formatCode="#,##0.0" sourceLinked="1"/>
        <c:majorTickMark val="out"/>
        <c:minorTickMark val="none"/>
        <c:tickLblPos val="nextTo"/>
        <c:crossAx val="352113408"/>
        <c:crosses val="autoZero"/>
        <c:crossBetween val="between"/>
      </c:valAx>
      <c:valAx>
        <c:axId val="352120832"/>
        <c:scaling>
          <c:orientation val="minMax"/>
        </c:scaling>
        <c:delete val="0"/>
        <c:axPos val="r"/>
        <c:numFmt formatCode="0.0%" sourceLinked="1"/>
        <c:majorTickMark val="out"/>
        <c:minorTickMark val="none"/>
        <c:tickLblPos val="nextTo"/>
        <c:crossAx val="352122368"/>
        <c:crosses val="max"/>
        <c:crossBetween val="between"/>
      </c:valAx>
      <c:catAx>
        <c:axId val="352122368"/>
        <c:scaling>
          <c:orientation val="minMax"/>
        </c:scaling>
        <c:delete val="1"/>
        <c:axPos val="b"/>
        <c:majorTickMark val="out"/>
        <c:minorTickMark val="none"/>
        <c:tickLblPos val="nextTo"/>
        <c:crossAx val="352120832"/>
        <c:crosses val="autoZero"/>
        <c:auto val="1"/>
        <c:lblAlgn val="ctr"/>
        <c:lblOffset val="100"/>
        <c:noMultiLvlLbl val="0"/>
      </c:catAx>
    </c:plotArea>
    <c:legend>
      <c:legendPos val="b"/>
      <c:layout>
        <c:manualLayout>
          <c:xMode val="edge"/>
          <c:yMode val="edge"/>
          <c:x val="0"/>
          <c:y val="0.89146649525952115"/>
          <c:w val="0.9974900787657317"/>
          <c:h val="8.4358339037629071E-2"/>
        </c:manualLayout>
      </c:layout>
      <c:overlay val="0"/>
    </c:legend>
    <c:plotVisOnly val="1"/>
    <c:dispBlanksAs val="gap"/>
    <c:showDLblsOverMax val="0"/>
  </c:chart>
  <c:spPr>
    <a:ln>
      <a:noFill/>
    </a:ln>
  </c:spPr>
  <c:txPr>
    <a:bodyPr/>
    <a:lstStyle/>
    <a:p>
      <a:pPr>
        <a:defRPr sz="600">
          <a:latin typeface="Arial" pitchFamily="34" charset="0"/>
          <a:cs typeface="Arial" pitchFamily="34" charset="0"/>
        </a:defRPr>
      </a:pPr>
      <a:endParaRPr lang="es-G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26015892674723"/>
          <c:y val="1.0584999744987033E-2"/>
          <c:w val="0.73527251688257678"/>
          <c:h val="0.92256550890779909"/>
        </c:manualLayout>
      </c:layout>
      <c:barChart>
        <c:barDir val="bar"/>
        <c:grouping val="clustered"/>
        <c:varyColors val="0"/>
        <c:ser>
          <c:idx val="0"/>
          <c:order val="0"/>
          <c:spPr>
            <a:scene3d>
              <a:camera prst="orthographicFront"/>
              <a:lightRig rig="threePt" dir="t"/>
            </a:scene3d>
            <a:sp3d prstMaterial="dkEdge">
              <a:bevelT/>
            </a:sp3d>
          </c:spPr>
          <c:invertIfNegative val="0"/>
          <c:dPt>
            <c:idx val="21"/>
            <c:invertIfNegative val="0"/>
            <c:bubble3D val="0"/>
            <c:spPr>
              <a:solidFill>
                <a:schemeClr val="tx2"/>
              </a:solidFill>
              <a:scene3d>
                <a:camera prst="orthographicFront"/>
                <a:lightRig rig="threePt" dir="t"/>
              </a:scene3d>
              <a:sp3d prstMaterial="dkEdge">
                <a:bevelT/>
              </a:sp3d>
            </c:spPr>
            <c:extLst>
              <c:ext xmlns:c16="http://schemas.microsoft.com/office/drawing/2014/chart" uri="{C3380CC4-5D6E-409C-BE32-E72D297353CC}">
                <c16:uniqueId val="{00000001-15EC-4324-85FF-F0FC7DCB9962}"/>
              </c:ext>
            </c:extLst>
          </c:dPt>
          <c:dLbls>
            <c:numFmt formatCode="#,##0.00" sourceLinked="0"/>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'fonpetrol consolidado 2010-2018'!$P$70:$P$91</c:f>
              <c:strCache>
                <c:ptCount val="22"/>
                <c:pt idx="0">
                  <c:v>EL PROGRESO</c:v>
                </c:pt>
                <c:pt idx="1">
                  <c:v>ZACAPA</c:v>
                </c:pt>
                <c:pt idx="2">
                  <c:v>BAJA VERAPAZ</c:v>
                </c:pt>
                <c:pt idx="3">
                  <c:v>RETALHULEU</c:v>
                </c:pt>
                <c:pt idx="4">
                  <c:v>JALAPA</c:v>
                </c:pt>
                <c:pt idx="5">
                  <c:v>SACATEPÉQUEZ</c:v>
                </c:pt>
                <c:pt idx="6">
                  <c:v>SANTA ROSA</c:v>
                </c:pt>
                <c:pt idx="7">
                  <c:v>CHIQUIMULA</c:v>
                </c:pt>
                <c:pt idx="8">
                  <c:v>IZABAL</c:v>
                </c:pt>
                <c:pt idx="9">
                  <c:v>SOLOLÁ</c:v>
                </c:pt>
                <c:pt idx="10">
                  <c:v>JUTIAPA</c:v>
                </c:pt>
                <c:pt idx="11">
                  <c:v>TOTONICAPÁN</c:v>
                </c:pt>
                <c:pt idx="12">
                  <c:v>SUCHITEPÉQUEZ</c:v>
                </c:pt>
                <c:pt idx="13">
                  <c:v>CHIMALTENANGO</c:v>
                </c:pt>
                <c:pt idx="14">
                  <c:v>ESCUINTLA</c:v>
                </c:pt>
                <c:pt idx="15">
                  <c:v>QUETZALTENANGO</c:v>
                </c:pt>
                <c:pt idx="16">
                  <c:v>ALTA VERAPAZ</c:v>
                </c:pt>
                <c:pt idx="17">
                  <c:v>QUICHE</c:v>
                </c:pt>
                <c:pt idx="18">
                  <c:v>SAN MARCOS</c:v>
                </c:pt>
                <c:pt idx="19">
                  <c:v>HUEHUETENANGO</c:v>
                </c:pt>
                <c:pt idx="20">
                  <c:v>GUATEMALA</c:v>
                </c:pt>
                <c:pt idx="21">
                  <c:v>PETEN</c:v>
                </c:pt>
              </c:strCache>
            </c:strRef>
          </c:cat>
          <c:val>
            <c:numRef>
              <c:f>'fonpetrol consolidado 2010-2018'!$Q$70:$Q$91</c:f>
              <c:numCache>
                <c:formatCode>0.00</c:formatCode>
                <c:ptCount val="22"/>
                <c:pt idx="0">
                  <c:v>3.1641227899999991</c:v>
                </c:pt>
                <c:pt idx="1">
                  <c:v>4.4378836999999995</c:v>
                </c:pt>
                <c:pt idx="2">
                  <c:v>5.4315601100000004</c:v>
                </c:pt>
                <c:pt idx="3">
                  <c:v>6.0952180199999999</c:v>
                </c:pt>
                <c:pt idx="4">
                  <c:v>6.3271519700000001</c:v>
                </c:pt>
                <c:pt idx="5">
                  <c:v>6.4048021700000017</c:v>
                </c:pt>
                <c:pt idx="6">
                  <c:v>6.9461432200000006</c:v>
                </c:pt>
                <c:pt idx="7">
                  <c:v>7.4384648700000007</c:v>
                </c:pt>
                <c:pt idx="8">
                  <c:v>8.2891553200000008</c:v>
                </c:pt>
                <c:pt idx="9">
                  <c:v>8.6828517499999975</c:v>
                </c:pt>
                <c:pt idx="10">
                  <c:v>8.8420305900000002</c:v>
                </c:pt>
                <c:pt idx="11">
                  <c:v>9.5723762700000012</c:v>
                </c:pt>
                <c:pt idx="12">
                  <c:v>10.357321079999998</c:v>
                </c:pt>
                <c:pt idx="13">
                  <c:v>12.307242530000002</c:v>
                </c:pt>
                <c:pt idx="14">
                  <c:v>14.025333249999999</c:v>
                </c:pt>
                <c:pt idx="15">
                  <c:v>15.816739210000001</c:v>
                </c:pt>
                <c:pt idx="16">
                  <c:v>18.307901649999998</c:v>
                </c:pt>
                <c:pt idx="17">
                  <c:v>19.476338949999999</c:v>
                </c:pt>
                <c:pt idx="18">
                  <c:v>20.865424610000002</c:v>
                </c:pt>
                <c:pt idx="19">
                  <c:v>25.066562489999995</c:v>
                </c:pt>
                <c:pt idx="20">
                  <c:v>62.999966610000001</c:v>
                </c:pt>
                <c:pt idx="21">
                  <c:v>1003.2579542900002</c:v>
                </c:pt>
              </c:numCache>
            </c:numRef>
          </c:val>
          <c:extLst>
            <c:ext xmlns:c16="http://schemas.microsoft.com/office/drawing/2014/chart" uri="{C3380CC4-5D6E-409C-BE32-E72D297353CC}">
              <c16:uniqueId val="{00000002-15EC-4324-85FF-F0FC7DCB9962}"/>
            </c:ext>
          </c:extLst>
        </c:ser>
        <c:ser>
          <c:idx val="1"/>
          <c:order val="1"/>
          <c:invertIfNegative val="0"/>
          <c:cat>
            <c:strRef>
              <c:f>'fonpetrol consolidado 2010-2018'!$P$70:$P$91</c:f>
              <c:strCache>
                <c:ptCount val="22"/>
                <c:pt idx="0">
                  <c:v>EL PROGRESO</c:v>
                </c:pt>
                <c:pt idx="1">
                  <c:v>ZACAPA</c:v>
                </c:pt>
                <c:pt idx="2">
                  <c:v>BAJA VERAPAZ</c:v>
                </c:pt>
                <c:pt idx="3">
                  <c:v>RETALHULEU</c:v>
                </c:pt>
                <c:pt idx="4">
                  <c:v>JALAPA</c:v>
                </c:pt>
                <c:pt idx="5">
                  <c:v>SACATEPÉQUEZ</c:v>
                </c:pt>
                <c:pt idx="6">
                  <c:v>SANTA ROSA</c:v>
                </c:pt>
                <c:pt idx="7">
                  <c:v>CHIQUIMULA</c:v>
                </c:pt>
                <c:pt idx="8">
                  <c:v>IZABAL</c:v>
                </c:pt>
                <c:pt idx="9">
                  <c:v>SOLOLÁ</c:v>
                </c:pt>
                <c:pt idx="10">
                  <c:v>JUTIAPA</c:v>
                </c:pt>
                <c:pt idx="11">
                  <c:v>TOTONICAPÁN</c:v>
                </c:pt>
                <c:pt idx="12">
                  <c:v>SUCHITEPÉQUEZ</c:v>
                </c:pt>
                <c:pt idx="13">
                  <c:v>CHIMALTENANGO</c:v>
                </c:pt>
                <c:pt idx="14">
                  <c:v>ESCUINTLA</c:v>
                </c:pt>
                <c:pt idx="15">
                  <c:v>QUETZALTENANGO</c:v>
                </c:pt>
                <c:pt idx="16">
                  <c:v>ALTA VERAPAZ</c:v>
                </c:pt>
                <c:pt idx="17">
                  <c:v>QUICHE</c:v>
                </c:pt>
                <c:pt idx="18">
                  <c:v>SAN MARCOS</c:v>
                </c:pt>
                <c:pt idx="19">
                  <c:v>HUEHUETENANGO</c:v>
                </c:pt>
                <c:pt idx="20">
                  <c:v>GUATEMALA</c:v>
                </c:pt>
                <c:pt idx="21">
                  <c:v>PETEN</c:v>
                </c:pt>
              </c:strCache>
            </c:strRef>
          </c:cat>
          <c:val>
            <c:numRef>
              <c:f>'fonpetrol consolidado 2010-2018'!$R$70:$R$91</c:f>
              <c:numCache>
                <c:formatCode>0.0%</c:formatCode>
                <c:ptCount val="22"/>
                <c:pt idx="0">
                  <c:v>2.4640541058581242E-3</c:v>
                </c:pt>
                <c:pt idx="1">
                  <c:v>3.4559927910717543E-3</c:v>
                </c:pt>
                <c:pt idx="2">
                  <c:v>4.2298162487748175E-3</c:v>
                </c:pt>
                <c:pt idx="3">
                  <c:v>4.7466384793118065E-3</c:v>
                </c:pt>
                <c:pt idx="4">
                  <c:v>4.9272565651811585E-3</c:v>
                </c:pt>
                <c:pt idx="5">
                  <c:v>4.9877264985021437E-3</c:v>
                </c:pt>
                <c:pt idx="6">
                  <c:v>5.4092947262389833E-3</c:v>
                </c:pt>
                <c:pt idx="7">
                  <c:v>5.7926891971866006E-3</c:v>
                </c:pt>
                <c:pt idx="8">
                  <c:v>6.45516263303477E-3</c:v>
                </c:pt>
                <c:pt idx="9">
                  <c:v>6.7617529170367306E-3</c:v>
                </c:pt>
                <c:pt idx="10">
                  <c:v>6.8857131108406317E-3</c:v>
                </c:pt>
                <c:pt idx="11">
                  <c:v>7.4544683049144207E-3</c:v>
                </c:pt>
                <c:pt idx="12">
                  <c:v>8.0657424590228708E-3</c:v>
                </c:pt>
                <c:pt idx="13">
                  <c:v>9.584239772135468E-3</c:v>
                </c:pt>
                <c:pt idx="14">
                  <c:v>1.0922199381741117E-2</c:v>
                </c:pt>
                <c:pt idx="15">
                  <c:v>1.2317253083496073E-2</c:v>
                </c:pt>
                <c:pt idx="16">
                  <c:v>1.4257240702826591E-2</c:v>
                </c:pt>
                <c:pt idx="17">
                  <c:v>1.5167158843678131E-2</c:v>
                </c:pt>
                <c:pt idx="18">
                  <c:v>1.6248906440430422E-2</c:v>
                </c:pt>
                <c:pt idx="19">
                  <c:v>1.9520533911780887E-2</c:v>
                </c:pt>
                <c:pt idx="20">
                  <c:v>4.9061094242267157E-2</c:v>
                </c:pt>
                <c:pt idx="21">
                  <c:v>0.7812850655846697</c:v>
                </c:pt>
              </c:numCache>
            </c:numRef>
          </c:val>
          <c:extLst>
            <c:ext xmlns:c16="http://schemas.microsoft.com/office/drawing/2014/chart" uri="{C3380CC4-5D6E-409C-BE32-E72D297353CC}">
              <c16:uniqueId val="{00000003-15EC-4324-85FF-F0FC7DCB9962}"/>
            </c:ext>
          </c:extLst>
        </c:ser>
        <c:dLbls>
          <c:showLegendKey val="0"/>
          <c:showVal val="0"/>
          <c:showCatName val="0"/>
          <c:showSerName val="0"/>
          <c:showPercent val="0"/>
          <c:showBubbleSize val="0"/>
        </c:dLbls>
        <c:gapWidth val="0"/>
        <c:overlap val="38"/>
        <c:axId val="352146176"/>
        <c:axId val="352147712"/>
      </c:barChart>
      <c:catAx>
        <c:axId val="352146176"/>
        <c:scaling>
          <c:orientation val="minMax"/>
        </c:scaling>
        <c:delete val="0"/>
        <c:axPos val="l"/>
        <c:numFmt formatCode="General" sourceLinked="0"/>
        <c:majorTickMark val="out"/>
        <c:minorTickMark val="none"/>
        <c:tickLblPos val="nextTo"/>
        <c:crossAx val="352147712"/>
        <c:crosses val="autoZero"/>
        <c:auto val="1"/>
        <c:lblAlgn val="ctr"/>
        <c:lblOffset val="100"/>
        <c:noMultiLvlLbl val="0"/>
      </c:catAx>
      <c:valAx>
        <c:axId val="352147712"/>
        <c:scaling>
          <c:orientation val="minMax"/>
        </c:scaling>
        <c:delete val="0"/>
        <c:axPos val="b"/>
        <c:numFmt formatCode="0.00" sourceLinked="1"/>
        <c:majorTickMark val="out"/>
        <c:minorTickMark val="none"/>
        <c:tickLblPos val="nextTo"/>
        <c:crossAx val="352146176"/>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G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1553259701597703"/>
          <c:y val="3.6768389228370855E-2"/>
          <c:w val="0.84595941446916456"/>
          <c:h val="0.78265046035709529"/>
        </c:manualLayout>
      </c:layout>
      <c:lineChart>
        <c:grouping val="standard"/>
        <c:varyColors val="0"/>
        <c:ser>
          <c:idx val="0"/>
          <c:order val="0"/>
          <c:tx>
            <c:strRef>
              <c:f>'Produccion minera (2)'!$B$5</c:f>
              <c:strCache>
                <c:ptCount val="1"/>
                <c:pt idx="0">
                  <c:v>Minerales Metalicos</c:v>
                </c:pt>
              </c:strCache>
            </c:strRef>
          </c:tx>
          <c:spPr>
            <a:ln w="38100"/>
          </c:spPr>
          <c:marker>
            <c:symbol val="diamond"/>
            <c:size val="3"/>
          </c:marker>
          <c:dLbls>
            <c:dLbl>
              <c:idx val="0"/>
              <c:layout>
                <c:manualLayout>
                  <c:x val="-8.9505482210785609E-3"/>
                  <c:y val="-4.0689988668175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44-4705-B8FA-40A7DE00F302}"/>
                </c:ext>
              </c:extLst>
            </c:dLbl>
            <c:dLbl>
              <c:idx val="5"/>
              <c:layout>
                <c:manualLayout>
                  <c:x val="-6.4885175437499262E-2"/>
                  <c:y val="-3.699051033214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44-4705-B8FA-40A7DE00F302}"/>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44-4705-B8FA-40A7DE00F302}"/>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44-4705-B8FA-40A7DE00F302}"/>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44-4705-B8FA-40A7DE00F302}"/>
                </c:ext>
              </c:extLst>
            </c:dLbl>
            <c:dLbl>
              <c:idx val="11"/>
              <c:layout>
                <c:manualLayout>
                  <c:x val="-6.5128010442429725E-3"/>
                  <c:y val="1.07544969707474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44-4705-B8FA-40A7DE00F302}"/>
                </c:ext>
              </c:extLst>
            </c:dLbl>
            <c:dLbl>
              <c:idx val="13"/>
              <c:layout>
                <c:manualLayout>
                  <c:x val="-4.5125739345235769E-2"/>
                  <c:y val="4.3229599074810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44-4705-B8FA-40A7DE00F302}"/>
                </c:ext>
              </c:extLst>
            </c:dLbl>
            <c:dLbl>
              <c:idx val="14"/>
              <c:layout>
                <c:manualLayout>
                  <c:x val="-4.0725048381036806E-2"/>
                  <c:y val="-3.754340494294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44-4705-B8FA-40A7DE00F302}"/>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44-4705-B8FA-40A7DE00F302}"/>
                </c:ext>
              </c:extLst>
            </c:dLbl>
            <c:dLbl>
              <c:idx val="18"/>
              <c:layout>
                <c:manualLayout>
                  <c:x val="-1.6409148845422949E-16"/>
                  <c:y val="-3.3296337402885685E-2"/>
                </c:manualLayout>
              </c:layout>
              <c:tx>
                <c:rich>
                  <a:bodyPr rot="0" vert="horz"/>
                  <a:lstStyle/>
                  <a:p>
                    <a:pPr>
                      <a:defRPr sz="1050" i="0"/>
                    </a:pPr>
                    <a:r>
                      <a:rPr lang="en-US" sz="1050" i="0"/>
                      <a:t>466.1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E44-4705-B8FA-40A7DE00F302}"/>
                </c:ext>
              </c:extLst>
            </c:dLbl>
            <c:spPr>
              <a:noFill/>
              <a:ln>
                <a:noFill/>
              </a:ln>
              <a:effectLst/>
            </c:spPr>
            <c:txPr>
              <a:bodyPr rot="0" vert="horz"/>
              <a:lstStyle/>
              <a:p>
                <a:pPr>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'Produccion minera (2)'!$C$4:$U$4</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'Produccion minera (2)'!$C$5:$U$5</c:f>
              <c:numCache>
                <c:formatCode>_(* #,##0.0_);_(* \(#,##0.0\);_(* "-"??_);_(@_)</c:formatCode>
                <c:ptCount val="19"/>
                <c:pt idx="0">
                  <c:v>0.7</c:v>
                </c:pt>
                <c:pt idx="1">
                  <c:v>8.1</c:v>
                </c:pt>
                <c:pt idx="2">
                  <c:v>8.6</c:v>
                </c:pt>
                <c:pt idx="3">
                  <c:v>0.7</c:v>
                </c:pt>
                <c:pt idx="4">
                  <c:v>0.34854200000000002</c:v>
                </c:pt>
                <c:pt idx="5">
                  <c:v>102.3</c:v>
                </c:pt>
                <c:pt idx="6">
                  <c:v>899.4</c:v>
                </c:pt>
                <c:pt idx="7">
                  <c:v>1592.5</c:v>
                </c:pt>
                <c:pt idx="8">
                  <c:v>1931.2</c:v>
                </c:pt>
                <c:pt idx="9">
                  <c:v>2710.5</c:v>
                </c:pt>
                <c:pt idx="10">
                  <c:v>4019.4</c:v>
                </c:pt>
                <c:pt idx="11">
                  <c:v>7110</c:v>
                </c:pt>
                <c:pt idx="12">
                  <c:v>4412</c:v>
                </c:pt>
                <c:pt idx="13">
                  <c:v>3926.4</c:v>
                </c:pt>
                <c:pt idx="14">
                  <c:v>5751.7</c:v>
                </c:pt>
                <c:pt idx="15">
                  <c:v>5667.3</c:v>
                </c:pt>
                <c:pt idx="16">
                  <c:v>5614.7</c:v>
                </c:pt>
                <c:pt idx="17">
                  <c:v>1961.9</c:v>
                </c:pt>
                <c:pt idx="18" formatCode="General">
                  <c:v>466.15377364000011</c:v>
                </c:pt>
              </c:numCache>
            </c:numRef>
          </c:val>
          <c:smooth val="0"/>
          <c:extLst>
            <c:ext xmlns:c16="http://schemas.microsoft.com/office/drawing/2014/chart" uri="{C3380CC4-5D6E-409C-BE32-E72D297353CC}">
              <c16:uniqueId val="{0000000A-FE44-4705-B8FA-40A7DE00F302}"/>
            </c:ext>
          </c:extLst>
        </c:ser>
        <c:ser>
          <c:idx val="1"/>
          <c:order val="1"/>
          <c:tx>
            <c:strRef>
              <c:f>'Produccion minera (2)'!$B$6</c:f>
              <c:strCache>
                <c:ptCount val="1"/>
                <c:pt idx="0">
                  <c:v>Minerales No metalicos</c:v>
                </c:pt>
              </c:strCache>
            </c:strRef>
          </c:tx>
          <c:spPr>
            <a:ln w="38100"/>
          </c:spPr>
          <c:marker>
            <c:symbol val="square"/>
            <c:size val="3"/>
          </c:marker>
          <c:cat>
            <c:numRef>
              <c:f>'Produccion minera (2)'!$C$4:$U$4</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'Produccion minera (2)'!$C$6:$U$6</c:f>
              <c:numCache>
                <c:formatCode>_(* #,##0.0_);_(* \(#,##0.0\);_(* "-"??_);_(@_)</c:formatCode>
                <c:ptCount val="19"/>
                <c:pt idx="0">
                  <c:v>127.5</c:v>
                </c:pt>
                <c:pt idx="1">
                  <c:v>149</c:v>
                </c:pt>
                <c:pt idx="2">
                  <c:v>157.9</c:v>
                </c:pt>
                <c:pt idx="3">
                  <c:v>102</c:v>
                </c:pt>
                <c:pt idx="4">
                  <c:v>69.046000000000006</c:v>
                </c:pt>
                <c:pt idx="5">
                  <c:v>36.656999999999996</c:v>
                </c:pt>
                <c:pt idx="6">
                  <c:v>166.8</c:v>
                </c:pt>
                <c:pt idx="7">
                  <c:v>192.5</c:v>
                </c:pt>
                <c:pt idx="8">
                  <c:v>297.60000000000002</c:v>
                </c:pt>
                <c:pt idx="9">
                  <c:v>249.7</c:v>
                </c:pt>
                <c:pt idx="10">
                  <c:v>165</c:v>
                </c:pt>
                <c:pt idx="11">
                  <c:v>184.93</c:v>
                </c:pt>
                <c:pt idx="12">
                  <c:v>244.1</c:v>
                </c:pt>
                <c:pt idx="13">
                  <c:v>200.1</c:v>
                </c:pt>
                <c:pt idx="14">
                  <c:v>204.7</c:v>
                </c:pt>
                <c:pt idx="15">
                  <c:v>273.8</c:v>
                </c:pt>
                <c:pt idx="16">
                  <c:v>231</c:v>
                </c:pt>
                <c:pt idx="17">
                  <c:v>228.3</c:v>
                </c:pt>
                <c:pt idx="18" formatCode="General">
                  <c:v>244.02199999999999</c:v>
                </c:pt>
              </c:numCache>
            </c:numRef>
          </c:val>
          <c:smooth val="0"/>
          <c:extLst>
            <c:ext xmlns:c16="http://schemas.microsoft.com/office/drawing/2014/chart" uri="{C3380CC4-5D6E-409C-BE32-E72D297353CC}">
              <c16:uniqueId val="{0000000B-FE44-4705-B8FA-40A7DE00F302}"/>
            </c:ext>
          </c:extLst>
        </c:ser>
        <c:dLbls>
          <c:showLegendKey val="0"/>
          <c:showVal val="0"/>
          <c:showCatName val="0"/>
          <c:showSerName val="0"/>
          <c:showPercent val="0"/>
          <c:showBubbleSize val="0"/>
        </c:dLbls>
        <c:marker val="1"/>
        <c:smooth val="0"/>
        <c:axId val="351788416"/>
        <c:axId val="352068736"/>
      </c:lineChart>
      <c:catAx>
        <c:axId val="351788416"/>
        <c:scaling>
          <c:orientation val="minMax"/>
        </c:scaling>
        <c:delete val="0"/>
        <c:axPos val="b"/>
        <c:numFmt formatCode="General" sourceLinked="1"/>
        <c:majorTickMark val="none"/>
        <c:minorTickMark val="none"/>
        <c:tickLblPos val="nextTo"/>
        <c:txPr>
          <a:bodyPr rot="-60000000" vert="horz"/>
          <a:lstStyle/>
          <a:p>
            <a:pPr>
              <a:defRPr/>
            </a:pPr>
            <a:endParaRPr lang="es-GT"/>
          </a:p>
        </c:txPr>
        <c:crossAx val="352068736"/>
        <c:crosses val="autoZero"/>
        <c:auto val="1"/>
        <c:lblAlgn val="ctr"/>
        <c:lblOffset val="100"/>
        <c:noMultiLvlLbl val="0"/>
      </c:catAx>
      <c:valAx>
        <c:axId val="352068736"/>
        <c:scaling>
          <c:orientation val="minMax"/>
        </c:scaling>
        <c:delete val="0"/>
        <c:axPos val="l"/>
        <c:title>
          <c:tx>
            <c:rich>
              <a:bodyPr rot="-5400000" vert="horz"/>
              <a:lstStyle/>
              <a:p>
                <a:pPr>
                  <a:defRPr/>
                </a:pPr>
                <a:r>
                  <a:rPr lang="en-US"/>
                  <a:t>Millones de Quetzales</a:t>
                </a:r>
              </a:p>
            </c:rich>
          </c:tx>
          <c:layout>
            <c:manualLayout>
              <c:xMode val="edge"/>
              <c:yMode val="edge"/>
              <c:x val="5.6981574112360059E-3"/>
              <c:y val="0.30031498276752028"/>
            </c:manualLayout>
          </c:layout>
          <c:overlay val="0"/>
        </c:title>
        <c:numFmt formatCode="_(* #,##0.0_);_(* \(#,##0.0\);_(* &quot;-&quot;??_);_(@_)" sourceLinked="1"/>
        <c:majorTickMark val="none"/>
        <c:minorTickMark val="none"/>
        <c:tickLblPos val="nextTo"/>
        <c:txPr>
          <a:bodyPr rot="-60000000" vert="horz"/>
          <a:lstStyle/>
          <a:p>
            <a:pPr>
              <a:defRPr sz="900"/>
            </a:pPr>
            <a:endParaRPr lang="es-GT"/>
          </a:p>
        </c:txPr>
        <c:crossAx val="351788416"/>
        <c:crosses val="autoZero"/>
        <c:crossBetween val="between"/>
      </c:valAx>
    </c:plotArea>
    <c:legend>
      <c:legendPos val="b"/>
      <c:layout>
        <c:manualLayout>
          <c:xMode val="edge"/>
          <c:yMode val="edge"/>
          <c:x val="0.23770577435779444"/>
          <c:y val="0.93781887142020681"/>
          <c:w val="0.55677612599850679"/>
          <c:h val="5.9170137703089744E-2"/>
        </c:manualLayout>
      </c:layout>
      <c:overlay val="0"/>
      <c:txPr>
        <a:bodyPr rot="0" vert="horz"/>
        <a:lstStyle/>
        <a:p>
          <a:pPr>
            <a:defRPr/>
          </a:pPr>
          <a:endParaRPr lang="es-GT"/>
        </a:p>
      </c:txPr>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192690120593822E-2"/>
          <c:y val="3.2878715850881847E-2"/>
          <c:w val="0.95620978555657499"/>
          <c:h val="0.67812035543749805"/>
        </c:manualLayout>
      </c:layout>
      <c:barChart>
        <c:barDir val="col"/>
        <c:grouping val="clustered"/>
        <c:varyColors val="0"/>
        <c:ser>
          <c:idx val="7"/>
          <c:order val="0"/>
          <c:tx>
            <c:strRef>
              <c:f>'1.1.D'!$R$3</c:f>
              <c:strCache>
                <c:ptCount val="1"/>
                <c:pt idx="0">
                  <c:v>2018</c:v>
                </c:pt>
              </c:strCache>
            </c:strRef>
          </c:tx>
          <c:spPr>
            <a:solidFill>
              <a:srgbClr val="9BBB59">
                <a:lumMod val="75000"/>
              </a:srgbClr>
            </a:solidFill>
            <a:ln>
              <a:noFill/>
            </a:ln>
            <a:effectLst/>
          </c:spPr>
          <c:invertIfNegative val="0"/>
          <c:cat>
            <c:multiLvlStrRef>
              <c:f>'1.1.D'!$N$13:$O$22</c:f>
              <c:multiLvlStrCache>
                <c:ptCount val="10"/>
                <c:lvl>
                  <c:pt idx="0">
                    <c:v>Costa Rica</c:v>
                  </c:pt>
                  <c:pt idx="1">
                    <c:v>El Salvador</c:v>
                  </c:pt>
                  <c:pt idx="2">
                    <c:v>Guatemala</c:v>
                  </c:pt>
                  <c:pt idx="3">
                    <c:v>Honduras</c:v>
                  </c:pt>
                  <c:pt idx="4">
                    <c:v>Nicaragua</c:v>
                  </c:pt>
                  <c:pt idx="5">
                    <c:v>Costa Rica</c:v>
                  </c:pt>
                  <c:pt idx="6">
                    <c:v>El Salvador</c:v>
                  </c:pt>
                  <c:pt idx="7">
                    <c:v>Guatemala</c:v>
                  </c:pt>
                  <c:pt idx="8">
                    <c:v>Honduras</c:v>
                  </c:pt>
                  <c:pt idx="9">
                    <c:v>Nicaragua</c:v>
                  </c:pt>
                </c:lvl>
                <c:lvl>
                  <c:pt idx="0">
                    <c:v>2017</c:v>
                  </c:pt>
                  <c:pt idx="5">
                    <c:v>2018e</c:v>
                  </c:pt>
                </c:lvl>
              </c:multiLvlStrCache>
            </c:multiLvlStrRef>
          </c:cat>
          <c:val>
            <c:numRef>
              <c:f>'1.1.D'!$R$13:$R$22</c:f>
              <c:numCache>
                <c:formatCode>General</c:formatCode>
                <c:ptCount val="10"/>
                <c:pt idx="5">
                  <c:v>0.52801183466800006</c:v>
                </c:pt>
                <c:pt idx="6">
                  <c:v>5.4583584998400001</c:v>
                </c:pt>
                <c:pt idx="7">
                  <c:v>9.5729433462079996</c:v>
                </c:pt>
                <c:pt idx="8">
                  <c:v>4.7463922016640003</c:v>
                </c:pt>
                <c:pt idx="9">
                  <c:v>1.5048813000000001</c:v>
                </c:pt>
              </c:numCache>
            </c:numRef>
          </c:val>
          <c:extLst>
            <c:ext xmlns:c16="http://schemas.microsoft.com/office/drawing/2014/chart" uri="{C3380CC4-5D6E-409C-BE32-E72D297353CC}">
              <c16:uniqueId val="{00000000-3AD2-4D16-85EB-0D81D32B9241}"/>
            </c:ext>
          </c:extLst>
        </c:ser>
        <c:ser>
          <c:idx val="2"/>
          <c:order val="1"/>
          <c:tx>
            <c:strRef>
              <c:f>'1.1.D'!$Q$3</c:f>
              <c:strCache>
                <c:ptCount val="1"/>
                <c:pt idx="0">
                  <c:v>2017</c:v>
                </c:pt>
              </c:strCache>
            </c:strRef>
          </c:tx>
          <c:spPr>
            <a:solidFill>
              <a:srgbClr val="4F81BD">
                <a:lumMod val="75000"/>
              </a:srgbClr>
            </a:solidFill>
            <a:ln w="76200">
              <a:noFill/>
            </a:ln>
            <a:effectLst/>
          </c:spPr>
          <c:invertIfNegative val="0"/>
          <c:cat>
            <c:multiLvlStrRef>
              <c:f>'1.1.D'!$N$13:$O$22</c:f>
              <c:multiLvlStrCache>
                <c:ptCount val="10"/>
                <c:lvl>
                  <c:pt idx="0">
                    <c:v>Costa Rica</c:v>
                  </c:pt>
                  <c:pt idx="1">
                    <c:v>El Salvador</c:v>
                  </c:pt>
                  <c:pt idx="2">
                    <c:v>Guatemala</c:v>
                  </c:pt>
                  <c:pt idx="3">
                    <c:v>Honduras</c:v>
                  </c:pt>
                  <c:pt idx="4">
                    <c:v>Nicaragua</c:v>
                  </c:pt>
                  <c:pt idx="5">
                    <c:v>Costa Rica</c:v>
                  </c:pt>
                  <c:pt idx="6">
                    <c:v>El Salvador</c:v>
                  </c:pt>
                  <c:pt idx="7">
                    <c:v>Guatemala</c:v>
                  </c:pt>
                  <c:pt idx="8">
                    <c:v>Honduras</c:v>
                  </c:pt>
                  <c:pt idx="9">
                    <c:v>Nicaragua</c:v>
                  </c:pt>
                </c:lvl>
                <c:lvl>
                  <c:pt idx="0">
                    <c:v>2017</c:v>
                  </c:pt>
                  <c:pt idx="5">
                    <c:v>2018e</c:v>
                  </c:pt>
                </c:lvl>
              </c:multiLvlStrCache>
            </c:multiLvlStrRef>
          </c:cat>
          <c:val>
            <c:numRef>
              <c:f>'1.1.D'!$Q$13:$Q$22</c:f>
              <c:numCache>
                <c:formatCode>General</c:formatCode>
                <c:ptCount val="10"/>
                <c:pt idx="0">
                  <c:v>0.56351316399999996</c:v>
                </c:pt>
                <c:pt idx="1">
                  <c:v>5.0540356480000002</c:v>
                </c:pt>
                <c:pt idx="2">
                  <c:v>8.4491997759999986</c:v>
                </c:pt>
                <c:pt idx="3">
                  <c:v>4.3227615679999998</c:v>
                </c:pt>
                <c:pt idx="4">
                  <c:v>1.3947000000000001</c:v>
                </c:pt>
              </c:numCache>
            </c:numRef>
          </c:val>
          <c:extLst>
            <c:ext xmlns:c16="http://schemas.microsoft.com/office/drawing/2014/chart" uri="{C3380CC4-5D6E-409C-BE32-E72D297353CC}">
              <c16:uniqueId val="{00000001-3AD2-4D16-85EB-0D81D32B9241}"/>
            </c:ext>
          </c:extLst>
        </c:ser>
        <c:dLbls>
          <c:showLegendKey val="0"/>
          <c:showVal val="0"/>
          <c:showCatName val="0"/>
          <c:showSerName val="0"/>
          <c:showPercent val="0"/>
          <c:showBubbleSize val="0"/>
        </c:dLbls>
        <c:gapWidth val="16"/>
        <c:overlap val="100"/>
        <c:axId val="112219648"/>
        <c:axId val="112221184"/>
      </c:barChart>
      <c:catAx>
        <c:axId val="112219648"/>
        <c:scaling>
          <c:orientation val="minMax"/>
        </c:scaling>
        <c:delete val="0"/>
        <c:axPos val="b"/>
        <c:numFmt formatCode="General" sourceLinked="0"/>
        <c:majorTickMark val="none"/>
        <c:minorTickMark val="none"/>
        <c:tickLblPos val="low"/>
        <c:spPr>
          <a:ln w="9525">
            <a:solidFill>
              <a:schemeClr val="tx1"/>
            </a:solidFill>
          </a:ln>
        </c:spPr>
        <c:txPr>
          <a:bodyPr rot="-5400000" vert="horz"/>
          <a:lstStyle/>
          <a:p>
            <a:pPr>
              <a:defRPr/>
            </a:pPr>
            <a:endParaRPr lang="es-GT"/>
          </a:p>
        </c:txPr>
        <c:crossAx val="112221184"/>
        <c:crosses val="autoZero"/>
        <c:auto val="1"/>
        <c:lblAlgn val="ctr"/>
        <c:lblOffset val="100"/>
        <c:tickLblSkip val="1"/>
        <c:noMultiLvlLbl val="0"/>
      </c:catAx>
      <c:valAx>
        <c:axId val="112221184"/>
        <c:scaling>
          <c:orientation val="minMax"/>
          <c:max val="10"/>
        </c:scaling>
        <c:delete val="0"/>
        <c:axPos val="l"/>
        <c:majorGridlines>
          <c:spPr>
            <a:ln>
              <a:noFill/>
            </a:ln>
          </c:spPr>
        </c:majorGridlines>
        <c:numFmt formatCode="0" sourceLinked="0"/>
        <c:majorTickMark val="none"/>
        <c:minorTickMark val="none"/>
        <c:tickLblPos val="nextTo"/>
        <c:spPr>
          <a:ln>
            <a:noFill/>
          </a:ln>
        </c:spPr>
        <c:crossAx val="112219648"/>
        <c:crosses val="autoZero"/>
        <c:crossBetween val="between"/>
        <c:majorUnit val="2"/>
      </c:valAx>
      <c:spPr>
        <a:noFill/>
        <a:ln w="25400">
          <a:noFill/>
        </a:ln>
      </c:spPr>
    </c:plotArea>
    <c:legend>
      <c:legendPos val="b"/>
      <c:legendEntry>
        <c:idx val="0"/>
        <c:delete val="1"/>
      </c:legendEntry>
      <c:legendEntry>
        <c:idx val="1"/>
        <c:delete val="1"/>
      </c:legendEntry>
      <c:overlay val="0"/>
    </c:legend>
    <c:plotVisOnly val="1"/>
    <c:dispBlanksAs val="gap"/>
    <c:showDLblsOverMax val="0"/>
  </c:chart>
  <c:spPr>
    <a:solidFill>
      <a:sysClr val="window" lastClr="FFFFFF"/>
    </a:solidFill>
    <a:ln>
      <a:noFill/>
    </a:ln>
  </c:spPr>
  <c:txPr>
    <a:bodyPr/>
    <a:lstStyle/>
    <a:p>
      <a:pPr>
        <a:defRPr sz="600">
          <a:latin typeface="Times New Roman" panose="02020603050405020304" pitchFamily="18" charset="0"/>
          <a:cs typeface="Times New Roman" panose="02020603050405020304" pitchFamily="18" charset="0"/>
        </a:defRPr>
      </a:pPr>
      <a:endParaRPr lang="es-GT"/>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'Ing fiscales minas 98-2018'!$B$12</c:f>
              <c:strCache>
                <c:ptCount val="1"/>
                <c:pt idx="0">
                  <c:v>Regalias Mineras Administración Central</c:v>
                </c:pt>
              </c:strCache>
            </c:strRef>
          </c:tx>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85-4969-A176-27470CEE628E}"/>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85-4969-A176-27470CEE628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'Ing fiscales minas 98-2018'!$J$7:$W$8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'Ing fiscales minas 98-2018'!$J$12:$W$12</c:f>
              <c:numCache>
                <c:formatCode>#,##0.0</c:formatCode>
                <c:ptCount val="14"/>
                <c:pt idx="0">
                  <c:v>0</c:v>
                </c:pt>
                <c:pt idx="1">
                  <c:v>0</c:v>
                </c:pt>
                <c:pt idx="2">
                  <c:v>0.5</c:v>
                </c:pt>
                <c:pt idx="3">
                  <c:v>1.1000000000000001</c:v>
                </c:pt>
                <c:pt idx="4">
                  <c:v>16.8</c:v>
                </c:pt>
                <c:pt idx="5">
                  <c:v>26.5</c:v>
                </c:pt>
                <c:pt idx="6">
                  <c:v>37</c:v>
                </c:pt>
                <c:pt idx="7">
                  <c:v>22.6</c:v>
                </c:pt>
                <c:pt idx="8">
                  <c:v>18.2</c:v>
                </c:pt>
                <c:pt idx="9">
                  <c:v>21.9</c:v>
                </c:pt>
                <c:pt idx="10">
                  <c:v>16.600000000000001</c:v>
                </c:pt>
                <c:pt idx="11">
                  <c:v>46.410047970000001</c:v>
                </c:pt>
                <c:pt idx="12">
                  <c:v>15.2</c:v>
                </c:pt>
                <c:pt idx="13">
                  <c:v>10.2157359</c:v>
                </c:pt>
              </c:numCache>
            </c:numRef>
          </c:val>
          <c:smooth val="0"/>
          <c:extLst>
            <c:ext xmlns:c16="http://schemas.microsoft.com/office/drawing/2014/chart" uri="{C3380CC4-5D6E-409C-BE32-E72D297353CC}">
              <c16:uniqueId val="{00000002-6185-4969-A176-27470CEE628E}"/>
            </c:ext>
          </c:extLst>
        </c:ser>
        <c:dLbls>
          <c:showLegendKey val="0"/>
          <c:showVal val="0"/>
          <c:showCatName val="0"/>
          <c:showSerName val="0"/>
          <c:showPercent val="0"/>
          <c:showBubbleSize val="0"/>
        </c:dLbls>
        <c:marker val="1"/>
        <c:smooth val="0"/>
        <c:axId val="365833216"/>
        <c:axId val="365843200"/>
      </c:lineChart>
      <c:catAx>
        <c:axId val="365833216"/>
        <c:scaling>
          <c:orientation val="minMax"/>
        </c:scaling>
        <c:delete val="0"/>
        <c:axPos val="b"/>
        <c:numFmt formatCode="General" sourceLinked="0"/>
        <c:majorTickMark val="none"/>
        <c:minorTickMark val="none"/>
        <c:tickLblPos val="nextTo"/>
        <c:crossAx val="365843200"/>
        <c:crosses val="autoZero"/>
        <c:auto val="1"/>
        <c:lblAlgn val="ctr"/>
        <c:lblOffset val="100"/>
        <c:noMultiLvlLbl val="0"/>
      </c:catAx>
      <c:valAx>
        <c:axId val="365843200"/>
        <c:scaling>
          <c:orientation val="minMax"/>
        </c:scaling>
        <c:delete val="0"/>
        <c:axPos val="l"/>
        <c:title>
          <c:tx>
            <c:rich>
              <a:bodyPr/>
              <a:lstStyle/>
              <a:p>
                <a:pPr>
                  <a:defRPr/>
                </a:pPr>
                <a:r>
                  <a:rPr lang="en-US"/>
                  <a:t>Millones de Quetzales</a:t>
                </a:r>
              </a:p>
            </c:rich>
          </c:tx>
          <c:layout>
            <c:manualLayout>
              <c:xMode val="edge"/>
              <c:yMode val="edge"/>
              <c:x val="4.5274476513865311E-3"/>
              <c:y val="0.260433628937566"/>
            </c:manualLayout>
          </c:layout>
          <c:overlay val="0"/>
        </c:title>
        <c:numFmt formatCode="#,##0.0" sourceLinked="1"/>
        <c:majorTickMark val="none"/>
        <c:minorTickMark val="none"/>
        <c:tickLblPos val="nextTo"/>
        <c:crossAx val="36583321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'fondo 105-2012'!$C$12:$H$12</c:f>
              <c:numCache>
                <c:formatCode>General</c:formatCode>
                <c:ptCount val="6"/>
                <c:pt idx="0">
                  <c:v>2012</c:v>
                </c:pt>
                <c:pt idx="1">
                  <c:v>2013</c:v>
                </c:pt>
                <c:pt idx="2">
                  <c:v>2014</c:v>
                </c:pt>
                <c:pt idx="3">
                  <c:v>2015</c:v>
                </c:pt>
                <c:pt idx="4">
                  <c:v>2016</c:v>
                </c:pt>
                <c:pt idx="5">
                  <c:v>2017</c:v>
                </c:pt>
              </c:numCache>
            </c:numRef>
          </c:cat>
          <c:val>
            <c:numRef>
              <c:f>'fondo 105-2012'!$C$14:$H$14</c:f>
              <c:numCache>
                <c:formatCode>_(* #,##0.00_);_(* \(#,##0.00\);_(* "-"??_);_(@_)</c:formatCode>
                <c:ptCount val="6"/>
                <c:pt idx="0">
                  <c:v>73.053203699999997</c:v>
                </c:pt>
                <c:pt idx="1">
                  <c:v>32.331346959999998</c:v>
                </c:pt>
                <c:pt idx="2">
                  <c:v>70.344441610000004</c:v>
                </c:pt>
                <c:pt idx="3">
                  <c:v>42.295360090000003</c:v>
                </c:pt>
                <c:pt idx="4">
                  <c:v>61.329283090000004</c:v>
                </c:pt>
                <c:pt idx="5">
                  <c:v>43.849620189999996</c:v>
                </c:pt>
              </c:numCache>
            </c:numRef>
          </c:val>
          <c:extLst>
            <c:ext xmlns:c16="http://schemas.microsoft.com/office/drawing/2014/chart" uri="{C3380CC4-5D6E-409C-BE32-E72D297353CC}">
              <c16:uniqueId val="{00000000-D21B-4BE9-8521-CAF733A2C301}"/>
            </c:ext>
          </c:extLst>
        </c:ser>
        <c:dLbls>
          <c:showLegendKey val="0"/>
          <c:showVal val="0"/>
          <c:showCatName val="0"/>
          <c:showSerName val="0"/>
          <c:showPercent val="0"/>
          <c:showBubbleSize val="0"/>
        </c:dLbls>
        <c:gapWidth val="150"/>
        <c:axId val="365864064"/>
        <c:axId val="365865600"/>
      </c:barChart>
      <c:catAx>
        <c:axId val="365864064"/>
        <c:scaling>
          <c:orientation val="minMax"/>
        </c:scaling>
        <c:delete val="0"/>
        <c:axPos val="b"/>
        <c:numFmt formatCode="General" sourceLinked="1"/>
        <c:majorTickMark val="none"/>
        <c:minorTickMark val="none"/>
        <c:tickLblPos val="nextTo"/>
        <c:crossAx val="365865600"/>
        <c:crosses val="autoZero"/>
        <c:auto val="1"/>
        <c:lblAlgn val="ctr"/>
        <c:lblOffset val="100"/>
        <c:noMultiLvlLbl val="0"/>
      </c:catAx>
      <c:valAx>
        <c:axId val="365865600"/>
        <c:scaling>
          <c:orientation val="minMax"/>
        </c:scaling>
        <c:delete val="1"/>
        <c:axPos val="l"/>
        <c:title>
          <c:tx>
            <c:rich>
              <a:bodyPr/>
              <a:lstStyle/>
              <a:p>
                <a:pPr>
                  <a:defRPr/>
                </a:pPr>
                <a:r>
                  <a:rPr lang="es-GT"/>
                  <a:t>Millones de Quetzales</a:t>
                </a:r>
              </a:p>
            </c:rich>
          </c:tx>
          <c:layout>
            <c:manualLayout>
              <c:xMode val="edge"/>
              <c:yMode val="edge"/>
              <c:x val="1.3582342954159592E-2"/>
              <c:y val="0.28783316920042301"/>
            </c:manualLayout>
          </c:layout>
          <c:overlay val="0"/>
        </c:title>
        <c:numFmt formatCode="_(* #,##0.00_);_(* \(#,##0.00\);_(* &quot;-&quot;??_);_(@_)" sourceLinked="1"/>
        <c:majorTickMark val="none"/>
        <c:minorTickMark val="none"/>
        <c:tickLblPos val="nextTo"/>
        <c:crossAx val="36586406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32830647626876"/>
          <c:y val="8.2407739161590832E-2"/>
          <c:w val="0.78463475026793605"/>
          <c:h val="0.73854459074020262"/>
        </c:manualLayout>
      </c:layout>
      <c:barChart>
        <c:barDir val="col"/>
        <c:grouping val="clustered"/>
        <c:varyColors val="0"/>
        <c:ser>
          <c:idx val="0"/>
          <c:order val="0"/>
          <c:tx>
            <c:strRef>
              <c:f>'incendios forestales'!$D$2:$D$3</c:f>
              <c:strCache>
                <c:ptCount val="1"/>
                <c:pt idx="0">
                  <c:v>Superficie Afectada  en Hectáreas</c:v>
                </c:pt>
              </c:strCache>
            </c:strRef>
          </c:tx>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11-4078-AC67-B25213AB7AF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'incendios forestales'!$B$4:$B$20</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'incendios forestales'!$D$4:$D$20</c:f>
              <c:numCache>
                <c:formatCode>#,##0.00</c:formatCode>
                <c:ptCount val="17"/>
                <c:pt idx="0">
                  <c:v>18638.2</c:v>
                </c:pt>
                <c:pt idx="1">
                  <c:v>17887.8</c:v>
                </c:pt>
                <c:pt idx="2">
                  <c:v>59924.3</c:v>
                </c:pt>
                <c:pt idx="3">
                  <c:v>6616.42</c:v>
                </c:pt>
                <c:pt idx="4">
                  <c:v>34157.1</c:v>
                </c:pt>
                <c:pt idx="5">
                  <c:v>12389.2</c:v>
                </c:pt>
                <c:pt idx="6">
                  <c:v>18776.7</c:v>
                </c:pt>
                <c:pt idx="7">
                  <c:v>10972.6</c:v>
                </c:pt>
                <c:pt idx="8">
                  <c:v>12944.2</c:v>
                </c:pt>
                <c:pt idx="9">
                  <c:v>7234.69</c:v>
                </c:pt>
                <c:pt idx="10">
                  <c:v>13300.8</c:v>
                </c:pt>
                <c:pt idx="11">
                  <c:v>5376.98</c:v>
                </c:pt>
                <c:pt idx="12">
                  <c:v>10440.5</c:v>
                </c:pt>
                <c:pt idx="13">
                  <c:v>4028.91</c:v>
                </c:pt>
                <c:pt idx="14">
                  <c:v>10186.200000000001</c:v>
                </c:pt>
                <c:pt idx="15">
                  <c:v>14744.6</c:v>
                </c:pt>
                <c:pt idx="16">
                  <c:v>15894.6</c:v>
                </c:pt>
              </c:numCache>
            </c:numRef>
          </c:val>
          <c:extLst>
            <c:ext xmlns:c16="http://schemas.microsoft.com/office/drawing/2014/chart" uri="{C3380CC4-5D6E-409C-BE32-E72D297353CC}">
              <c16:uniqueId val="{00000001-7D11-4078-AC67-B25213AB7AFD}"/>
            </c:ext>
          </c:extLst>
        </c:ser>
        <c:dLbls>
          <c:showLegendKey val="0"/>
          <c:showVal val="0"/>
          <c:showCatName val="0"/>
          <c:showSerName val="0"/>
          <c:showPercent val="0"/>
          <c:showBubbleSize val="0"/>
        </c:dLbls>
        <c:gapWidth val="150"/>
        <c:axId val="366345600"/>
        <c:axId val="366412928"/>
      </c:barChart>
      <c:lineChart>
        <c:grouping val="standard"/>
        <c:varyColors val="0"/>
        <c:ser>
          <c:idx val="1"/>
          <c:order val="1"/>
          <c:tx>
            <c:strRef>
              <c:f>'incendios forestales'!$C$2:$C$3</c:f>
              <c:strCache>
                <c:ptCount val="1"/>
                <c:pt idx="0">
                  <c:v>Número de Incendios Forestales</c:v>
                </c:pt>
              </c:strCache>
            </c:strRef>
          </c:tx>
          <c:marker>
            <c:symbol val="square"/>
            <c:size val="4"/>
          </c:marker>
          <c:dLbls>
            <c:dLbl>
              <c:idx val="16"/>
              <c:layout>
                <c:manualLayout>
                  <c:x val="-5.962962267370981E-2"/>
                  <c:y val="-4.6788193165239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11-4078-AC67-B25213AB7AF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'incendios forestales'!$C$4:$C$21</c:f>
              <c:numCache>
                <c:formatCode>General</c:formatCode>
                <c:ptCount val="18"/>
                <c:pt idx="0">
                  <c:v>659</c:v>
                </c:pt>
                <c:pt idx="1">
                  <c:v>729</c:v>
                </c:pt>
                <c:pt idx="2">
                  <c:v>449</c:v>
                </c:pt>
                <c:pt idx="3">
                  <c:v>296</c:v>
                </c:pt>
                <c:pt idx="4">
                  <c:v>721</c:v>
                </c:pt>
                <c:pt idx="5">
                  <c:v>620</c:v>
                </c:pt>
                <c:pt idx="6">
                  <c:v>643</c:v>
                </c:pt>
                <c:pt idx="7">
                  <c:v>544</c:v>
                </c:pt>
                <c:pt idx="8">
                  <c:v>608</c:v>
                </c:pt>
                <c:pt idx="9">
                  <c:v>465</c:v>
                </c:pt>
                <c:pt idx="10">
                  <c:v>546</c:v>
                </c:pt>
                <c:pt idx="11">
                  <c:v>396</c:v>
                </c:pt>
                <c:pt idx="12">
                  <c:v>489</c:v>
                </c:pt>
                <c:pt idx="13">
                  <c:v>279</c:v>
                </c:pt>
                <c:pt idx="14">
                  <c:v>503</c:v>
                </c:pt>
                <c:pt idx="15">
                  <c:v>442</c:v>
                </c:pt>
                <c:pt idx="16">
                  <c:v>802</c:v>
                </c:pt>
              </c:numCache>
            </c:numRef>
          </c:val>
          <c:smooth val="0"/>
          <c:extLst>
            <c:ext xmlns:c16="http://schemas.microsoft.com/office/drawing/2014/chart" uri="{C3380CC4-5D6E-409C-BE32-E72D297353CC}">
              <c16:uniqueId val="{00000003-7D11-4078-AC67-B25213AB7AFD}"/>
            </c:ext>
          </c:extLst>
        </c:ser>
        <c:dLbls>
          <c:showLegendKey val="0"/>
          <c:showVal val="0"/>
          <c:showCatName val="0"/>
          <c:showSerName val="0"/>
          <c:showPercent val="0"/>
          <c:showBubbleSize val="0"/>
        </c:dLbls>
        <c:marker val="1"/>
        <c:smooth val="0"/>
        <c:axId val="366414848"/>
        <c:axId val="366420736"/>
      </c:lineChart>
      <c:catAx>
        <c:axId val="366345600"/>
        <c:scaling>
          <c:orientation val="minMax"/>
        </c:scaling>
        <c:delete val="0"/>
        <c:axPos val="b"/>
        <c:numFmt formatCode="General" sourceLinked="1"/>
        <c:majorTickMark val="out"/>
        <c:minorTickMark val="none"/>
        <c:tickLblPos val="nextTo"/>
        <c:txPr>
          <a:bodyPr rot="-5400000" vert="horz"/>
          <a:lstStyle/>
          <a:p>
            <a:pPr>
              <a:defRPr/>
            </a:pPr>
            <a:endParaRPr lang="es-GT"/>
          </a:p>
        </c:txPr>
        <c:crossAx val="366412928"/>
        <c:crosses val="autoZero"/>
        <c:auto val="1"/>
        <c:lblAlgn val="ctr"/>
        <c:lblOffset val="100"/>
        <c:noMultiLvlLbl val="0"/>
      </c:catAx>
      <c:valAx>
        <c:axId val="366412928"/>
        <c:scaling>
          <c:orientation val="minMax"/>
        </c:scaling>
        <c:delete val="0"/>
        <c:axPos val="l"/>
        <c:title>
          <c:tx>
            <c:rich>
              <a:bodyPr rot="0" vert="horz"/>
              <a:lstStyle/>
              <a:p>
                <a:pPr>
                  <a:defRPr b="1"/>
                </a:pPr>
                <a:r>
                  <a:rPr lang="es-GT" b="1"/>
                  <a:t>Hectareas</a:t>
                </a:r>
              </a:p>
            </c:rich>
          </c:tx>
          <c:layout>
            <c:manualLayout>
              <c:xMode val="edge"/>
              <c:yMode val="edge"/>
              <c:x val="4.2668183757644716E-2"/>
              <c:y val="1.7686771597118976E-2"/>
            </c:manualLayout>
          </c:layout>
          <c:overlay val="0"/>
        </c:title>
        <c:numFmt formatCode="#,##0.00" sourceLinked="1"/>
        <c:majorTickMark val="out"/>
        <c:minorTickMark val="none"/>
        <c:tickLblPos val="nextTo"/>
        <c:crossAx val="366345600"/>
        <c:crosses val="autoZero"/>
        <c:crossBetween val="between"/>
      </c:valAx>
      <c:catAx>
        <c:axId val="366414848"/>
        <c:scaling>
          <c:orientation val="minMax"/>
        </c:scaling>
        <c:delete val="1"/>
        <c:axPos val="b"/>
        <c:majorTickMark val="out"/>
        <c:minorTickMark val="none"/>
        <c:tickLblPos val="nextTo"/>
        <c:crossAx val="366420736"/>
        <c:crosses val="autoZero"/>
        <c:auto val="1"/>
        <c:lblAlgn val="ctr"/>
        <c:lblOffset val="100"/>
        <c:noMultiLvlLbl val="0"/>
      </c:catAx>
      <c:valAx>
        <c:axId val="366420736"/>
        <c:scaling>
          <c:orientation val="minMax"/>
        </c:scaling>
        <c:delete val="0"/>
        <c:axPos val="r"/>
        <c:title>
          <c:tx>
            <c:rich>
              <a:bodyPr rot="0" vert="horz"/>
              <a:lstStyle/>
              <a:p>
                <a:pPr>
                  <a:defRPr/>
                </a:pPr>
                <a:r>
                  <a:rPr lang="es-GT"/>
                  <a:t>No. de Incendios</a:t>
                </a:r>
              </a:p>
            </c:rich>
          </c:tx>
          <c:layout>
            <c:manualLayout>
              <c:xMode val="edge"/>
              <c:yMode val="edge"/>
              <c:x val="0.78663063575593806"/>
              <c:y val="1.4211314771608403E-2"/>
            </c:manualLayout>
          </c:layout>
          <c:overlay val="0"/>
        </c:title>
        <c:numFmt formatCode="General" sourceLinked="1"/>
        <c:majorTickMark val="out"/>
        <c:minorTickMark val="none"/>
        <c:tickLblPos val="nextTo"/>
        <c:crossAx val="366414848"/>
        <c:crosses val="max"/>
        <c:crossBetween val="between"/>
      </c:valAx>
    </c:plotArea>
    <c:legend>
      <c:legendPos val="b"/>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Hoja3!$B$31</c:f>
              <c:strCache>
                <c:ptCount val="1"/>
                <c:pt idx="0">
                  <c:v>Porcentaje de ocurrencia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C0-4BA1-A657-5DFA6C87703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9C0-4BA1-A657-5DFA6C87703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9C0-4BA1-A657-5DFA6C87703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9C0-4BA1-A657-5DFA6C87703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9C0-4BA1-A657-5DFA6C877035}"/>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59C0-4BA1-A657-5DFA6C877035}"/>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59C0-4BA1-A657-5DFA6C877035}"/>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59C0-4BA1-A657-5DFA6C877035}"/>
              </c:ext>
            </c:extLst>
          </c:dPt>
          <c:dPt>
            <c:idx val="8"/>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1-59C0-4BA1-A657-5DFA6C877035}"/>
              </c:ext>
            </c:extLst>
          </c:dPt>
          <c:dPt>
            <c:idx val="9"/>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3-59C0-4BA1-A657-5DFA6C877035}"/>
              </c:ext>
            </c:extLst>
          </c:dPt>
          <c:dPt>
            <c:idx val="1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15-59C0-4BA1-A657-5DFA6C877035}"/>
              </c:ext>
            </c:extLst>
          </c:dPt>
          <c:dLbls>
            <c:dLbl>
              <c:idx val="0"/>
              <c:layout>
                <c:manualLayout>
                  <c:x val="5.8729696401041781E-2"/>
                  <c:y val="-4.352863478524014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C0-4BA1-A657-5DFA6C877035}"/>
                </c:ext>
              </c:extLst>
            </c:dLbl>
            <c:dLbl>
              <c:idx val="1"/>
              <c:layout>
                <c:manualLayout>
                  <c:x val="2.2943626150582437E-2"/>
                  <c:y val="3.82518314451878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C0-4BA1-A657-5DFA6C877035}"/>
                </c:ext>
              </c:extLst>
            </c:dLbl>
            <c:dLbl>
              <c:idx val="2"/>
              <c:layout>
                <c:manualLayout>
                  <c:x val="2.1127235191987701E-2"/>
                  <c:y val="-3.07188507308722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C0-4BA1-A657-5DFA6C877035}"/>
                </c:ext>
              </c:extLst>
            </c:dLbl>
            <c:dLbl>
              <c:idx val="5"/>
              <c:layout>
                <c:manualLayout>
                  <c:x val="3.5963943437438251E-2"/>
                  <c:y val="8.915423305086274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9C0-4BA1-A657-5DFA6C877035}"/>
                </c:ext>
              </c:extLst>
            </c:dLbl>
            <c:dLbl>
              <c:idx val="8"/>
              <c:layout>
                <c:manualLayout>
                  <c:x val="-4.9050546279129165E-2"/>
                  <c:y val="-0.156495607887800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9C0-4BA1-A657-5DFA6C877035}"/>
                </c:ext>
              </c:extLst>
            </c:dLbl>
            <c:dLbl>
              <c:idx val="9"/>
              <c:layout>
                <c:manualLayout>
                  <c:x val="-0.10887425129551113"/>
                  <c:y val="2.89043044283572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9C0-4BA1-A657-5DFA6C877035}"/>
                </c:ext>
              </c:extLst>
            </c:dLbl>
            <c:spPr>
              <a:noFill/>
              <a:ln>
                <a:noFill/>
              </a:ln>
              <a:effectLst/>
            </c:spPr>
            <c:txPr>
              <a:bodyPr rot="0" vert="horz"/>
              <a:lstStyle/>
              <a:p>
                <a:pPr>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Hoja3!$A$32:$A$42</c:f>
              <c:strCache>
                <c:ptCount val="11"/>
                <c:pt idx="0">
                  <c:v>Sequía</c:v>
                </c:pt>
                <c:pt idx="1">
                  <c:v>Sismo</c:v>
                </c:pt>
                <c:pt idx="2">
                  <c:v>Epidemia</c:v>
                </c:pt>
                <c:pt idx="3">
                  <c:v>Temperaturas extremas</c:v>
                </c:pt>
                <c:pt idx="4">
                  <c:v>Accidente industrial</c:v>
                </c:pt>
                <c:pt idx="5">
                  <c:v>Deslizamiento</c:v>
                </c:pt>
                <c:pt idx="6">
                  <c:v>Derrumbes</c:v>
                </c:pt>
                <c:pt idx="7">
                  <c:v>Accidentes misceláneos</c:v>
                </c:pt>
                <c:pt idx="8">
                  <c:v>Tormenta o inundación</c:v>
                </c:pt>
                <c:pt idx="9">
                  <c:v>Accidentes de transporte</c:v>
                </c:pt>
                <c:pt idx="10">
                  <c:v>Actividad volcánica</c:v>
                </c:pt>
              </c:strCache>
            </c:strRef>
          </c:cat>
          <c:val>
            <c:numRef>
              <c:f>Hoja3!$B$32:$B$42</c:f>
              <c:numCache>
                <c:formatCode>0%</c:formatCode>
                <c:ptCount val="11"/>
                <c:pt idx="0">
                  <c:v>0.08</c:v>
                </c:pt>
                <c:pt idx="1">
                  <c:v>0.1</c:v>
                </c:pt>
                <c:pt idx="2">
                  <c:v>0.06</c:v>
                </c:pt>
                <c:pt idx="3">
                  <c:v>0.04</c:v>
                </c:pt>
                <c:pt idx="4">
                  <c:v>0.02</c:v>
                </c:pt>
                <c:pt idx="5">
                  <c:v>0.1</c:v>
                </c:pt>
                <c:pt idx="6">
                  <c:v>0.02</c:v>
                </c:pt>
                <c:pt idx="7">
                  <c:v>0.02</c:v>
                </c:pt>
                <c:pt idx="8">
                  <c:v>0.42</c:v>
                </c:pt>
                <c:pt idx="9">
                  <c:v>0.08</c:v>
                </c:pt>
                <c:pt idx="10">
                  <c:v>0.06</c:v>
                </c:pt>
              </c:numCache>
            </c:numRef>
          </c:val>
          <c:extLst>
            <c:ext xmlns:c16="http://schemas.microsoft.com/office/drawing/2014/chart" uri="{C3380CC4-5D6E-409C-BE32-E72D297353CC}">
              <c16:uniqueId val="{00000016-59C0-4BA1-A657-5DFA6C87703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2678898330985938E-2"/>
          <c:y val="5.3673013344236187E-3"/>
          <c:w val="0.93134768558554459"/>
          <c:h val="0.86590943736971548"/>
        </c:manualLayout>
      </c:layout>
      <c:barChart>
        <c:barDir val="col"/>
        <c:grouping val="clustered"/>
        <c:varyColors val="0"/>
        <c:ser>
          <c:idx val="1"/>
          <c:order val="0"/>
          <c:tx>
            <c:strRef>
              <c:f>'Tabla dinámica_Informe 1_1'!$B$27</c:f>
              <c:strCache>
                <c:ptCount val="1"/>
                <c:pt idx="0">
                  <c:v>Suma - Asignado</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'Tabla dinámica_Informe 1_1'!$A$28:$A$38</c:f>
              <c:numCache>
                <c:formatCode>0000</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'Tabla dinámica_Informe 1_1'!$B$28:$B$38</c:f>
              <c:numCache>
                <c:formatCode>#,##0.00</c:formatCode>
                <c:ptCount val="11"/>
                <c:pt idx="0">
                  <c:v>27.177325</c:v>
                </c:pt>
                <c:pt idx="1">
                  <c:v>27.177325</c:v>
                </c:pt>
                <c:pt idx="2">
                  <c:v>42.2</c:v>
                </c:pt>
                <c:pt idx="3">
                  <c:v>53.554000000000002</c:v>
                </c:pt>
                <c:pt idx="4">
                  <c:v>52.4</c:v>
                </c:pt>
                <c:pt idx="5">
                  <c:v>52.4</c:v>
                </c:pt>
                <c:pt idx="6">
                  <c:v>50</c:v>
                </c:pt>
                <c:pt idx="7">
                  <c:v>60</c:v>
                </c:pt>
                <c:pt idx="8">
                  <c:v>60</c:v>
                </c:pt>
                <c:pt idx="9">
                  <c:v>68</c:v>
                </c:pt>
                <c:pt idx="10">
                  <c:v>105</c:v>
                </c:pt>
              </c:numCache>
            </c:numRef>
          </c:val>
          <c:extLst>
            <c:ext xmlns:c16="http://schemas.microsoft.com/office/drawing/2014/chart" uri="{C3380CC4-5D6E-409C-BE32-E72D297353CC}">
              <c16:uniqueId val="{00000000-BC33-4FE0-9112-43B654E5D14F}"/>
            </c:ext>
          </c:extLst>
        </c:ser>
        <c:dLbls>
          <c:showLegendKey val="0"/>
          <c:showVal val="0"/>
          <c:showCatName val="0"/>
          <c:showSerName val="0"/>
          <c:showPercent val="0"/>
          <c:showBubbleSize val="0"/>
        </c:dLbls>
        <c:gapWidth val="150"/>
        <c:axId val="112257664"/>
        <c:axId val="148468096"/>
      </c:barChart>
      <c:catAx>
        <c:axId val="112257664"/>
        <c:scaling>
          <c:orientation val="minMax"/>
        </c:scaling>
        <c:delete val="0"/>
        <c:axPos val="b"/>
        <c:numFmt formatCode="0000" sourceLinked="1"/>
        <c:majorTickMark val="out"/>
        <c:minorTickMark val="none"/>
        <c:tickLblPos val="nextTo"/>
        <c:crossAx val="148468096"/>
        <c:crosses val="autoZero"/>
        <c:auto val="1"/>
        <c:lblAlgn val="ctr"/>
        <c:lblOffset val="100"/>
        <c:noMultiLvlLbl val="0"/>
      </c:catAx>
      <c:valAx>
        <c:axId val="148468096"/>
        <c:scaling>
          <c:orientation val="minMax"/>
        </c:scaling>
        <c:delete val="1"/>
        <c:axPos val="l"/>
        <c:numFmt formatCode="#,##0.00" sourceLinked="1"/>
        <c:majorTickMark val="out"/>
        <c:minorTickMark val="none"/>
        <c:tickLblPos val="nextTo"/>
        <c:crossAx val="11225766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9.006246976061108E-2"/>
          <c:y val="5.5931541615149342E-2"/>
          <c:w val="0.50124177381579338"/>
          <c:h val="0.8002662919815805"/>
        </c:manualLayout>
      </c:layout>
      <c:barChart>
        <c:barDir val="col"/>
        <c:grouping val="stacked"/>
        <c:varyColors val="0"/>
        <c:ser>
          <c:idx val="1"/>
          <c:order val="0"/>
          <c:tx>
            <c:strRef>
              <c:f>'Tabla dinámica_Informe 1_1'!$B$81</c:f>
              <c:strCache>
                <c:ptCount val="1"/>
                <c:pt idx="0">
                  <c:v>Atención a Desastres  y Gestión de Riesgos  n.c.d</c:v>
                </c:pt>
              </c:strCache>
            </c:strRef>
          </c:tx>
          <c:invertIfNegative val="0"/>
          <c:cat>
            <c:numRef>
              <c:f>'Tabla dinámica_Informe 1_1'!$A$82:$A$91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'Tabla dinámica_Informe 1_1'!$B$82:$B$91</c:f>
              <c:numCache>
                <c:formatCode>0.00%</c:formatCode>
                <c:ptCount val="10"/>
                <c:pt idx="0">
                  <c:v>4.678028578031948E-2</c:v>
                </c:pt>
                <c:pt idx="1">
                  <c:v>4.2018608973245525E-2</c:v>
                </c:pt>
                <c:pt idx="2">
                  <c:v>3.9370020550884136E-2</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1CEF-458F-8A0D-4254C32226CD}"/>
            </c:ext>
          </c:extLst>
        </c:ser>
        <c:ser>
          <c:idx val="2"/>
          <c:order val="1"/>
          <c:tx>
            <c:strRef>
              <c:f>'Tabla dinámica_Informe 1_1'!$C$81</c:f>
              <c:strCache>
                <c:ptCount val="1"/>
                <c:pt idx="0">
                  <c:v>Gestión para la Reducción de Riesgos a Desastres</c:v>
                </c:pt>
              </c:strCache>
            </c:strRef>
          </c:tx>
          <c:invertIfNegative val="0"/>
          <c:cat>
            <c:numRef>
              <c:f>'Tabla dinámica_Informe 1_1'!$A$82:$A$91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'Tabla dinámica_Informe 1_1'!$C$82:$C$91</c:f>
              <c:numCache>
                <c:formatCode>0.00%</c:formatCode>
                <c:ptCount val="10"/>
                <c:pt idx="0">
                  <c:v>0.77071692525872226</c:v>
                </c:pt>
                <c:pt idx="1">
                  <c:v>0.70845547517418272</c:v>
                </c:pt>
                <c:pt idx="2">
                  <c:v>0.7061247276788023</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1-1CEF-458F-8A0D-4254C32226CD}"/>
            </c:ext>
          </c:extLst>
        </c:ser>
        <c:ser>
          <c:idx val="3"/>
          <c:order val="2"/>
          <c:tx>
            <c:strRef>
              <c:f>'Tabla dinámica_Informe 1_1'!$D$81</c:f>
              <c:strCache>
                <c:ptCount val="1"/>
                <c:pt idx="0">
                  <c:v>Investigación y Desarrollo Relacionados con la  Atención a Desastres  y Gestión de Riesgos</c:v>
                </c:pt>
              </c:strCache>
            </c:strRef>
          </c:tx>
          <c:invertIfNegative val="0"/>
          <c:cat>
            <c:numRef>
              <c:f>'Tabla dinámica_Informe 1_1'!$A$82:$A$91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'Tabla dinámica_Informe 1_1'!$D$82:$D$91</c:f>
              <c:numCache>
                <c:formatCode>0.00%</c:formatCode>
                <c:ptCount val="10"/>
                <c:pt idx="0">
                  <c:v>2.5629782921107992E-2</c:v>
                </c:pt>
                <c:pt idx="1">
                  <c:v>3.4887201307046589E-2</c:v>
                </c:pt>
                <c:pt idx="2">
                  <c:v>2.9854726115125296E-2</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1CEF-458F-8A0D-4254C32226CD}"/>
            </c:ext>
          </c:extLst>
        </c:ser>
        <c:ser>
          <c:idx val="4"/>
          <c:order val="3"/>
          <c:tx>
            <c:strRef>
              <c:f>'Tabla dinámica_Informe 1_1'!$E$81</c:f>
              <c:strCache>
                <c:ptCount val="1"/>
                <c:pt idx="0">
                  <c:v>Servicios de Prevención y Control de Incendios, y Servicios de Rescate y Auxilio</c:v>
                </c:pt>
              </c:strCache>
            </c:strRef>
          </c:tx>
          <c:invertIfNegative val="0"/>
          <c:cat>
            <c:numRef>
              <c:f>'Tabla dinámica_Informe 1_1'!$A$82:$A$91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'Tabla dinámica_Informe 1_1'!$E$82:$E$91</c:f>
              <c:numCache>
                <c:formatCode>0.00%</c:formatCode>
                <c:ptCount val="10"/>
                <c:pt idx="0">
                  <c:v>0.15687300603985027</c:v>
                </c:pt>
                <c:pt idx="1">
                  <c:v>0.21463871454552522</c:v>
                </c:pt>
                <c:pt idx="2">
                  <c:v>0.22465052565518839</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3-1CEF-458F-8A0D-4254C32226CD}"/>
            </c:ext>
          </c:extLst>
        </c:ser>
        <c:dLbls>
          <c:showLegendKey val="0"/>
          <c:showVal val="0"/>
          <c:showCatName val="0"/>
          <c:showSerName val="0"/>
          <c:showPercent val="0"/>
          <c:showBubbleSize val="0"/>
        </c:dLbls>
        <c:gapWidth val="150"/>
        <c:overlap val="100"/>
        <c:axId val="149953920"/>
        <c:axId val="149955712"/>
      </c:barChart>
      <c:catAx>
        <c:axId val="149953920"/>
        <c:scaling>
          <c:orientation val="minMax"/>
        </c:scaling>
        <c:delete val="0"/>
        <c:axPos val="b"/>
        <c:numFmt formatCode="General" sourceLinked="1"/>
        <c:majorTickMark val="out"/>
        <c:minorTickMark val="none"/>
        <c:tickLblPos val="nextTo"/>
        <c:crossAx val="149955712"/>
        <c:crosses val="autoZero"/>
        <c:auto val="1"/>
        <c:lblAlgn val="ctr"/>
        <c:lblOffset val="100"/>
        <c:noMultiLvlLbl val="0"/>
      </c:catAx>
      <c:valAx>
        <c:axId val="149955712"/>
        <c:scaling>
          <c:orientation val="minMax"/>
          <c:max val="1"/>
        </c:scaling>
        <c:delete val="0"/>
        <c:axPos val="l"/>
        <c:numFmt formatCode="0.0%" sourceLinked="0"/>
        <c:majorTickMark val="out"/>
        <c:minorTickMark val="none"/>
        <c:tickLblPos val="nextTo"/>
        <c:crossAx val="149953920"/>
        <c:crosses val="autoZero"/>
        <c:crossBetween val="between"/>
      </c:valAx>
    </c:plotArea>
    <c:legend>
      <c:legendPos val="r"/>
      <c:layout>
        <c:manualLayout>
          <c:xMode val="edge"/>
          <c:yMode val="edge"/>
          <c:x val="0.60918849254773"/>
          <c:y val="3.4071084804253741E-2"/>
          <c:w val="0.37419857591210559"/>
          <c:h val="0.8817882475434372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551152500186148E-2"/>
          <c:y val="5.1400554097404488E-2"/>
          <c:w val="0.96378395738507372"/>
          <c:h val="0.79523549139690874"/>
        </c:manualLayout>
      </c:layout>
      <c:barChart>
        <c:barDir val="col"/>
        <c:grouping val="clustered"/>
        <c:varyColors val="0"/>
        <c:ser>
          <c:idx val="1"/>
          <c:order val="0"/>
          <c:tx>
            <c:strRef>
              <c:f>'Tabla dinámica_Informe 1_1'!$P$27</c:f>
              <c:strCache>
                <c:ptCount val="1"/>
                <c:pt idx="0">
                  <c:v>Suma - Asignado</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'Tabla dinámica_Informe 1_1'!$O$28:$O$38</c:f>
              <c:numCache>
                <c:formatCode>0000</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'Tabla dinámica_Informe 1_1'!$P$28:$P$38</c:f>
              <c:numCache>
                <c:formatCode>#,##0.00</c:formatCode>
                <c:ptCount val="11"/>
                <c:pt idx="0">
                  <c:v>68.004400000000004</c:v>
                </c:pt>
                <c:pt idx="1">
                  <c:v>68.004400000000004</c:v>
                </c:pt>
                <c:pt idx="2">
                  <c:v>78.202780000000004</c:v>
                </c:pt>
                <c:pt idx="3">
                  <c:v>62.055957999999997</c:v>
                </c:pt>
                <c:pt idx="4">
                  <c:v>68.27</c:v>
                </c:pt>
                <c:pt idx="5">
                  <c:v>68.27</c:v>
                </c:pt>
                <c:pt idx="6">
                  <c:v>38.200000000000003</c:v>
                </c:pt>
                <c:pt idx="7">
                  <c:v>44.763517</c:v>
                </c:pt>
                <c:pt idx="8">
                  <c:v>36.522812999999999</c:v>
                </c:pt>
                <c:pt idx="9">
                  <c:v>36.522812999999999</c:v>
                </c:pt>
                <c:pt idx="10">
                  <c:v>66.446431000000004</c:v>
                </c:pt>
              </c:numCache>
            </c:numRef>
          </c:val>
          <c:extLst>
            <c:ext xmlns:c16="http://schemas.microsoft.com/office/drawing/2014/chart" uri="{C3380CC4-5D6E-409C-BE32-E72D297353CC}">
              <c16:uniqueId val="{00000000-BE91-414D-B2A9-DA94D06A2973}"/>
            </c:ext>
          </c:extLst>
        </c:ser>
        <c:dLbls>
          <c:showLegendKey val="0"/>
          <c:showVal val="0"/>
          <c:showCatName val="0"/>
          <c:showSerName val="0"/>
          <c:showPercent val="0"/>
          <c:showBubbleSize val="0"/>
        </c:dLbls>
        <c:gapWidth val="150"/>
        <c:axId val="149976576"/>
        <c:axId val="149978112"/>
      </c:barChart>
      <c:catAx>
        <c:axId val="149976576"/>
        <c:scaling>
          <c:orientation val="minMax"/>
        </c:scaling>
        <c:delete val="0"/>
        <c:axPos val="b"/>
        <c:numFmt formatCode="0000" sourceLinked="1"/>
        <c:majorTickMark val="out"/>
        <c:minorTickMark val="none"/>
        <c:tickLblPos val="nextTo"/>
        <c:crossAx val="149978112"/>
        <c:crosses val="autoZero"/>
        <c:auto val="1"/>
        <c:lblAlgn val="ctr"/>
        <c:lblOffset val="100"/>
        <c:noMultiLvlLbl val="0"/>
      </c:catAx>
      <c:valAx>
        <c:axId val="149978112"/>
        <c:scaling>
          <c:orientation val="minMax"/>
        </c:scaling>
        <c:delete val="1"/>
        <c:axPos val="l"/>
        <c:numFmt formatCode="#,##0.00" sourceLinked="1"/>
        <c:majorTickMark val="out"/>
        <c:minorTickMark val="none"/>
        <c:tickLblPos val="nextTo"/>
        <c:crossAx val="1499765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stacked"/>
        <c:varyColors val="0"/>
        <c:ser>
          <c:idx val="1"/>
          <c:order val="0"/>
          <c:tx>
            <c:strRef>
              <c:f>'Tabla dinámica_Informe 1_1'!$B$96</c:f>
              <c:strCache>
                <c:ptCount val="1"/>
                <c:pt idx="0">
                  <c:v>SERVICIOS GENERALES</c:v>
                </c:pt>
              </c:strCache>
            </c:strRef>
          </c:tx>
          <c:invertIfNegative val="0"/>
          <c:cat>
            <c:numRef>
              <c:f>'Tabla dinámica_Informe 1_1'!$A$97:$A$107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'Tabla dinámica_Informe 1_1'!$B$97:$B$107</c:f>
              <c:numCache>
                <c:formatCode>0.00%</c:formatCode>
                <c:ptCount val="11"/>
                <c:pt idx="0">
                  <c:v>1</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1966-41A1-ACE7-04431F073D83}"/>
            </c:ext>
          </c:extLst>
        </c:ser>
        <c:ser>
          <c:idx val="2"/>
          <c:order val="1"/>
          <c:tx>
            <c:strRef>
              <c:f>'Tabla dinámica_Informe 1_1'!$C$96</c:f>
              <c:strCache>
                <c:ptCount val="1"/>
                <c:pt idx="0">
                  <c:v>Asuntos Económicos, Comerciales y Laborales en General</c:v>
                </c:pt>
              </c:strCache>
            </c:strRef>
          </c:tx>
          <c:invertIfNegative val="0"/>
          <c:cat>
            <c:numRef>
              <c:f>'Tabla dinámica_Informe 1_1'!$A$97:$A$107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'Tabla dinámica_Informe 1_1'!$C$97:$C$107</c:f>
              <c:numCache>
                <c:formatCode>0.00%</c:formatCode>
                <c:ptCount val="11"/>
                <c:pt idx="0">
                  <c:v>0</c:v>
                </c:pt>
                <c:pt idx="1">
                  <c:v>1</c:v>
                </c:pt>
                <c:pt idx="2">
                  <c:v>1</c:v>
                </c:pt>
                <c:pt idx="3">
                  <c:v>0.97767832099510543</c:v>
                </c:pt>
                <c:pt idx="4">
                  <c:v>0.99678041838079134</c:v>
                </c:pt>
                <c:pt idx="5">
                  <c:v>1</c:v>
                </c:pt>
                <c:pt idx="6">
                  <c:v>0</c:v>
                </c:pt>
                <c:pt idx="7">
                  <c:v>0.26479429764802531</c:v>
                </c:pt>
                <c:pt idx="8">
                  <c:v>0.39356078566667502</c:v>
                </c:pt>
                <c:pt idx="9">
                  <c:v>0.3082547136958067</c:v>
                </c:pt>
                <c:pt idx="10">
                  <c:v>0.2622148766418021</c:v>
                </c:pt>
              </c:numCache>
            </c:numRef>
          </c:val>
          <c:extLst>
            <c:ext xmlns:c16="http://schemas.microsoft.com/office/drawing/2014/chart" uri="{C3380CC4-5D6E-409C-BE32-E72D297353CC}">
              <c16:uniqueId val="{00000001-1966-41A1-ACE7-04431F073D83}"/>
            </c:ext>
          </c:extLst>
        </c:ser>
        <c:ser>
          <c:idx val="3"/>
          <c:order val="2"/>
          <c:tx>
            <c:strRef>
              <c:f>'Tabla dinámica_Informe 1_1'!$D$96</c:f>
              <c:strCache>
                <c:ptCount val="1"/>
                <c:pt idx="0">
                  <c:v>Comunicaciones</c:v>
                </c:pt>
              </c:strCache>
            </c:strRef>
          </c:tx>
          <c:invertIfNegative val="0"/>
          <c:cat>
            <c:numRef>
              <c:f>'Tabla dinámica_Informe 1_1'!$A$97:$A$107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'Tabla dinámica_Informe 1_1'!$D$97:$D$107</c:f>
              <c:numCache>
                <c:formatCode>0.00%</c:formatCode>
                <c:ptCount val="11"/>
                <c:pt idx="0">
                  <c:v>0</c:v>
                </c:pt>
                <c:pt idx="1">
                  <c:v>0</c:v>
                </c:pt>
                <c:pt idx="2">
                  <c:v>0</c:v>
                </c:pt>
                <c:pt idx="3">
                  <c:v>0</c:v>
                </c:pt>
                <c:pt idx="4">
                  <c:v>0</c:v>
                </c:pt>
                <c:pt idx="5">
                  <c:v>0</c:v>
                </c:pt>
                <c:pt idx="6">
                  <c:v>0</c:v>
                </c:pt>
                <c:pt idx="7">
                  <c:v>0</c:v>
                </c:pt>
                <c:pt idx="8">
                  <c:v>0</c:v>
                </c:pt>
                <c:pt idx="9">
                  <c:v>6.0590214838698222E-3</c:v>
                </c:pt>
                <c:pt idx="10">
                  <c:v>0</c:v>
                </c:pt>
              </c:numCache>
            </c:numRef>
          </c:val>
          <c:extLst>
            <c:ext xmlns:c16="http://schemas.microsoft.com/office/drawing/2014/chart" uri="{C3380CC4-5D6E-409C-BE32-E72D297353CC}">
              <c16:uniqueId val="{00000002-1966-41A1-ACE7-04431F073D83}"/>
            </c:ext>
          </c:extLst>
        </c:ser>
        <c:ser>
          <c:idx val="4"/>
          <c:order val="3"/>
          <c:tx>
            <c:strRef>
              <c:f>'Tabla dinámica_Informe 1_1'!$E$96</c:f>
              <c:strCache>
                <c:ptCount val="1"/>
                <c:pt idx="0">
                  <c:v>Gestión para la Reducción de Riesgos a Desastres</c:v>
                </c:pt>
              </c:strCache>
            </c:strRef>
          </c:tx>
          <c:invertIfNegative val="0"/>
          <c:cat>
            <c:numRef>
              <c:f>'Tabla dinámica_Informe 1_1'!$A$97:$A$107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'Tabla dinámica_Informe 1_1'!$E$97:$E$107</c:f>
              <c:numCache>
                <c:formatCode>0.00%</c:formatCode>
                <c:ptCount val="11"/>
                <c:pt idx="0">
                  <c:v>0</c:v>
                </c:pt>
                <c:pt idx="1">
                  <c:v>0</c:v>
                </c:pt>
                <c:pt idx="2">
                  <c:v>0</c:v>
                </c:pt>
                <c:pt idx="3">
                  <c:v>2.2321679004894523E-2</c:v>
                </c:pt>
                <c:pt idx="4">
                  <c:v>3.2195816192086349E-3</c:v>
                </c:pt>
                <c:pt idx="5">
                  <c:v>0</c:v>
                </c:pt>
                <c:pt idx="6">
                  <c:v>1</c:v>
                </c:pt>
                <c:pt idx="7">
                  <c:v>0.73520570235197458</c:v>
                </c:pt>
                <c:pt idx="8">
                  <c:v>0.60643921433332504</c:v>
                </c:pt>
                <c:pt idx="9">
                  <c:v>0.68246534430565675</c:v>
                </c:pt>
                <c:pt idx="10">
                  <c:v>0.73331884671922698</c:v>
                </c:pt>
              </c:numCache>
            </c:numRef>
          </c:val>
          <c:extLst>
            <c:ext xmlns:c16="http://schemas.microsoft.com/office/drawing/2014/chart" uri="{C3380CC4-5D6E-409C-BE32-E72D297353CC}">
              <c16:uniqueId val="{00000003-1966-41A1-ACE7-04431F073D83}"/>
            </c:ext>
          </c:extLst>
        </c:ser>
        <c:ser>
          <c:idx val="5"/>
          <c:order val="4"/>
          <c:tx>
            <c:strRef>
              <c:f>'Tabla dinámica_Informe 1_1'!$F$96</c:f>
              <c:strCache>
                <c:ptCount val="1"/>
                <c:pt idx="0">
                  <c:v>Protección Ambiental n.c.d</c:v>
                </c:pt>
              </c:strCache>
            </c:strRef>
          </c:tx>
          <c:invertIfNegative val="0"/>
          <c:cat>
            <c:numRef>
              <c:f>'Tabla dinámica_Informe 1_1'!$A$97:$A$107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'Tabla dinámica_Informe 1_1'!$F$97:$F$107</c:f>
              <c:numCache>
                <c:formatCode>0.00%</c:formatCode>
                <c:ptCount val="11"/>
                <c:pt idx="0">
                  <c:v>0</c:v>
                </c:pt>
                <c:pt idx="1">
                  <c:v>0</c:v>
                </c:pt>
                <c:pt idx="2">
                  <c:v>0</c:v>
                </c:pt>
                <c:pt idx="3">
                  <c:v>0</c:v>
                </c:pt>
                <c:pt idx="4">
                  <c:v>0</c:v>
                </c:pt>
                <c:pt idx="5">
                  <c:v>0</c:v>
                </c:pt>
                <c:pt idx="6">
                  <c:v>0</c:v>
                </c:pt>
                <c:pt idx="7">
                  <c:v>0</c:v>
                </c:pt>
                <c:pt idx="8">
                  <c:v>0</c:v>
                </c:pt>
                <c:pt idx="9">
                  <c:v>3.2209205146667198E-3</c:v>
                </c:pt>
                <c:pt idx="10">
                  <c:v>4.4662766389709126E-3</c:v>
                </c:pt>
              </c:numCache>
            </c:numRef>
          </c:val>
          <c:extLst>
            <c:ext xmlns:c16="http://schemas.microsoft.com/office/drawing/2014/chart" uri="{C3380CC4-5D6E-409C-BE32-E72D297353CC}">
              <c16:uniqueId val="{00000004-1966-41A1-ACE7-04431F073D83}"/>
            </c:ext>
          </c:extLst>
        </c:ser>
        <c:dLbls>
          <c:showLegendKey val="0"/>
          <c:showVal val="0"/>
          <c:showCatName val="0"/>
          <c:showSerName val="0"/>
          <c:showPercent val="0"/>
          <c:showBubbleSize val="0"/>
        </c:dLbls>
        <c:gapWidth val="150"/>
        <c:overlap val="100"/>
        <c:axId val="150007168"/>
        <c:axId val="150144128"/>
      </c:barChart>
      <c:catAx>
        <c:axId val="150007168"/>
        <c:scaling>
          <c:orientation val="minMax"/>
        </c:scaling>
        <c:delete val="0"/>
        <c:axPos val="b"/>
        <c:numFmt formatCode="General" sourceLinked="1"/>
        <c:majorTickMark val="out"/>
        <c:minorTickMark val="none"/>
        <c:tickLblPos val="nextTo"/>
        <c:txPr>
          <a:bodyPr/>
          <a:lstStyle/>
          <a:p>
            <a:pPr>
              <a:defRPr sz="900"/>
            </a:pPr>
            <a:endParaRPr lang="es-GT"/>
          </a:p>
        </c:txPr>
        <c:crossAx val="150144128"/>
        <c:crosses val="autoZero"/>
        <c:auto val="1"/>
        <c:lblAlgn val="ctr"/>
        <c:lblOffset val="100"/>
        <c:noMultiLvlLbl val="0"/>
      </c:catAx>
      <c:valAx>
        <c:axId val="150144128"/>
        <c:scaling>
          <c:orientation val="minMax"/>
          <c:max val="1"/>
        </c:scaling>
        <c:delete val="0"/>
        <c:axPos val="l"/>
        <c:numFmt formatCode="0%" sourceLinked="0"/>
        <c:majorTickMark val="out"/>
        <c:minorTickMark val="none"/>
        <c:tickLblPos val="nextTo"/>
        <c:crossAx val="150007168"/>
        <c:crosses val="autoZero"/>
        <c:crossBetween val="between"/>
      </c:valAx>
    </c:plotArea>
    <c:legend>
      <c:legendPos val="r"/>
      <c:overlay val="0"/>
      <c:txPr>
        <a:bodyPr/>
        <a:lstStyle/>
        <a:p>
          <a:pPr algn="l">
            <a:defRPr/>
          </a:pPr>
          <a:endParaRPr lang="es-GT"/>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
          <c:y val="8.341442699779486E-2"/>
          <c:w val="0.96944444444444444"/>
          <c:h val="0.78677841184618946"/>
        </c:manualLayout>
      </c:layout>
      <c:barChart>
        <c:barDir val="col"/>
        <c:grouping val="clustered"/>
        <c:varyColors val="1"/>
        <c:ser>
          <c:idx val="0"/>
          <c:order val="0"/>
          <c:tx>
            <c:strRef>
              <c:f>'Linea_Base_y_estrategias '!$K$15</c:f>
              <c:strCache>
                <c:ptCount val="1"/>
                <c:pt idx="0">
                  <c:v>Linea Base + seguro + CAT DDO</c:v>
                </c:pt>
              </c:strCache>
            </c:strRef>
          </c:tx>
          <c:invertIfNegative val="0"/>
          <c:dPt>
            <c:idx val="0"/>
            <c:invertIfNegative val="0"/>
            <c:bubble3D val="0"/>
            <c:extLst>
              <c:ext xmlns:c16="http://schemas.microsoft.com/office/drawing/2014/chart" uri="{C3380CC4-5D6E-409C-BE32-E72D297353CC}">
                <c16:uniqueId val="{00000000-1DE3-4BC7-933D-147E5A8D6C75}"/>
              </c:ext>
            </c:extLst>
          </c:dPt>
          <c:dPt>
            <c:idx val="1"/>
            <c:invertIfNegative val="0"/>
            <c:bubble3D val="0"/>
            <c:extLst>
              <c:ext xmlns:c16="http://schemas.microsoft.com/office/drawing/2014/chart" uri="{C3380CC4-5D6E-409C-BE32-E72D297353CC}">
                <c16:uniqueId val="{00000001-1DE3-4BC7-933D-147E5A8D6C75}"/>
              </c:ext>
            </c:extLst>
          </c:dPt>
          <c:dPt>
            <c:idx val="2"/>
            <c:invertIfNegative val="0"/>
            <c:bubble3D val="0"/>
            <c:extLst>
              <c:ext xmlns:c16="http://schemas.microsoft.com/office/drawing/2014/chart" uri="{C3380CC4-5D6E-409C-BE32-E72D297353CC}">
                <c16:uniqueId val="{00000002-1DE3-4BC7-933D-147E5A8D6C75}"/>
              </c:ext>
            </c:extLst>
          </c:dPt>
          <c:dPt>
            <c:idx val="3"/>
            <c:invertIfNegative val="0"/>
            <c:bubble3D val="0"/>
            <c:extLst>
              <c:ext xmlns:c16="http://schemas.microsoft.com/office/drawing/2014/chart" uri="{C3380CC4-5D6E-409C-BE32-E72D297353CC}">
                <c16:uniqueId val="{00000003-1DE3-4BC7-933D-147E5A8D6C75}"/>
              </c:ext>
            </c:extLst>
          </c:dPt>
          <c:dLbls>
            <c:dLbl>
              <c:idx val="0"/>
              <c:tx>
                <c:rich>
                  <a:bodyPr/>
                  <a:lstStyle/>
                  <a:p>
                    <a:r>
                      <a:rPr lang="en-US"/>
                      <a:t> Q197.06</a:t>
                    </a:r>
                  </a:p>
                  <a:p>
                    <a:r>
                      <a:rPr lang="en-US"/>
                      <a:t>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DE3-4BC7-933D-147E5A8D6C75}"/>
                </c:ext>
              </c:extLst>
            </c:dLbl>
            <c:dLbl>
              <c:idx val="1"/>
              <c:tx>
                <c:rich>
                  <a:bodyPr/>
                  <a:lstStyle/>
                  <a:p>
                    <a:r>
                      <a:rPr lang="en-US"/>
                      <a:t> Q373.40</a:t>
                    </a:r>
                  </a:p>
                  <a:p>
                    <a:r>
                      <a:rPr lang="en-US"/>
                      <a:t>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DE3-4BC7-933D-147E5A8D6C75}"/>
                </c:ext>
              </c:extLst>
            </c:dLbl>
            <c:dLbl>
              <c:idx val="2"/>
              <c:tx>
                <c:rich>
                  <a:bodyPr/>
                  <a:lstStyle/>
                  <a:p>
                    <a:r>
                      <a:rPr lang="en-US"/>
                      <a:t> Q378.07</a:t>
                    </a:r>
                  </a:p>
                  <a:p>
                    <a:r>
                      <a:rPr lang="en-US"/>
                      <a:t>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DE3-4BC7-933D-147E5A8D6C75}"/>
                </c:ext>
              </c:extLst>
            </c:dLbl>
            <c:dLbl>
              <c:idx val="3"/>
              <c:tx>
                <c:rich>
                  <a:bodyPr/>
                  <a:lstStyle/>
                  <a:p>
                    <a:r>
                      <a:rPr lang="en-US"/>
                      <a:t> Q391.87</a:t>
                    </a:r>
                  </a:p>
                  <a:p>
                    <a:r>
                      <a:rPr lang="en-US"/>
                      <a:t>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DE3-4BC7-933D-147E5A8D6C7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'Linea_Base_y_estrategias '!$L$14:$O$14</c:f>
              <c:strCache>
                <c:ptCount val="4"/>
                <c:pt idx="0">
                  <c:v>1 en 5 años</c:v>
                </c:pt>
                <c:pt idx="1">
                  <c:v>1 en 10 años</c:v>
                </c:pt>
                <c:pt idx="2">
                  <c:v>1 en 20 años</c:v>
                </c:pt>
                <c:pt idx="3">
                  <c:v>1 en 50 años</c:v>
                </c:pt>
              </c:strCache>
            </c:strRef>
          </c:cat>
          <c:val>
            <c:numRef>
              <c:f>'Linea_Base_y_estrategias '!$L$15:$O$15</c:f>
              <c:numCache>
                <c:formatCode>_("Q"* #,##0.00_);_("Q"* \(#,##0.00\);_("Q"* "-"??_);_(@_)</c:formatCode>
                <c:ptCount val="4"/>
                <c:pt idx="0">
                  <c:v>197.05864837961281</c:v>
                </c:pt>
                <c:pt idx="1">
                  <c:v>373.40435798966882</c:v>
                </c:pt>
                <c:pt idx="2">
                  <c:v>378.07142470429972</c:v>
                </c:pt>
                <c:pt idx="3">
                  <c:v>391.87436470430839</c:v>
                </c:pt>
              </c:numCache>
            </c:numRef>
          </c:val>
          <c:extLst>
            <c:ext xmlns:c16="http://schemas.microsoft.com/office/drawing/2014/chart" uri="{C3380CC4-5D6E-409C-BE32-E72D297353CC}">
              <c16:uniqueId val="{00000004-1DE3-4BC7-933D-147E5A8D6C75}"/>
            </c:ext>
          </c:extLst>
        </c:ser>
        <c:dLbls>
          <c:showLegendKey val="0"/>
          <c:showVal val="0"/>
          <c:showCatName val="0"/>
          <c:showSerName val="0"/>
          <c:showPercent val="0"/>
          <c:showBubbleSize val="0"/>
        </c:dLbls>
        <c:gapWidth val="219"/>
        <c:overlap val="-27"/>
        <c:axId val="150160128"/>
        <c:axId val="150161664"/>
      </c:barChart>
      <c:catAx>
        <c:axId val="150160128"/>
        <c:scaling>
          <c:orientation val="minMax"/>
        </c:scaling>
        <c:delete val="0"/>
        <c:axPos val="b"/>
        <c:numFmt formatCode="General" sourceLinked="1"/>
        <c:majorTickMark val="none"/>
        <c:minorTickMark val="none"/>
        <c:tickLblPos val="nextTo"/>
        <c:txPr>
          <a:bodyPr rot="-60000000" vert="horz"/>
          <a:lstStyle/>
          <a:p>
            <a:pPr>
              <a:defRPr/>
            </a:pPr>
            <a:endParaRPr lang="es-GT"/>
          </a:p>
        </c:txPr>
        <c:crossAx val="150161664"/>
        <c:crosses val="autoZero"/>
        <c:auto val="1"/>
        <c:lblAlgn val="ctr"/>
        <c:lblOffset val="100"/>
        <c:noMultiLvlLbl val="0"/>
      </c:catAx>
      <c:valAx>
        <c:axId val="150161664"/>
        <c:scaling>
          <c:orientation val="minMax"/>
        </c:scaling>
        <c:delete val="1"/>
        <c:axPos val="l"/>
        <c:numFmt formatCode="_(&quot;Q&quot;* #,##0.00_);_(&quot;Q&quot;* \(#,##0.00\);_(&quot;Q&quot;* &quot;-&quot;??_);_(@_)" sourceLinked="1"/>
        <c:majorTickMark val="none"/>
        <c:minorTickMark val="none"/>
        <c:tickLblPos val="nextTo"/>
        <c:crossAx val="150160128"/>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9.0947672163278634E-2"/>
          <c:y val="6.4122071533059127E-2"/>
          <c:w val="0.88830902619454333"/>
          <c:h val="0.70941802152139044"/>
        </c:manualLayout>
      </c:layout>
      <c:areaChart>
        <c:grouping val="stacked"/>
        <c:varyColors val="0"/>
        <c:ser>
          <c:idx val="1"/>
          <c:order val="0"/>
          <c:tx>
            <c:strRef>
              <c:f>[finalidad_11.xlsx]ingresos!$S$8</c:f>
              <c:strCache>
                <c:ptCount val="1"/>
                <c:pt idx="0">
                  <c:v>Contribuciones laborales y aporte descentralizadas</c:v>
                </c:pt>
              </c:strCache>
            </c:strRef>
          </c:tx>
          <c:cat>
            <c:numRef>
              <c:f>[finalidad_11.xlsx]ingresos!$Q$9:$Q$29</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[finalidad_11.xlsx]ingresos!$S$9:$S$29</c:f>
              <c:numCache>
                <c:formatCode>General</c:formatCode>
                <c:ptCount val="21"/>
                <c:pt idx="0">
                  <c:v>223.9</c:v>
                </c:pt>
                <c:pt idx="1">
                  <c:v>302.60000000000002</c:v>
                </c:pt>
                <c:pt idx="2">
                  <c:v>356.7</c:v>
                </c:pt>
                <c:pt idx="3">
                  <c:v>414.2</c:v>
                </c:pt>
                <c:pt idx="4">
                  <c:v>466.2</c:v>
                </c:pt>
                <c:pt idx="5">
                  <c:v>501.7</c:v>
                </c:pt>
                <c:pt idx="6">
                  <c:v>535.70000000000005</c:v>
                </c:pt>
                <c:pt idx="7">
                  <c:v>544.29999999999995</c:v>
                </c:pt>
                <c:pt idx="8">
                  <c:v>578.6</c:v>
                </c:pt>
                <c:pt idx="9">
                  <c:v>647.9</c:v>
                </c:pt>
                <c:pt idx="10">
                  <c:v>745.5</c:v>
                </c:pt>
                <c:pt idx="11">
                  <c:v>921.9</c:v>
                </c:pt>
                <c:pt idx="12">
                  <c:v>1069.0999999999999</c:v>
                </c:pt>
                <c:pt idx="13">
                  <c:v>1214.4000000000001</c:v>
                </c:pt>
                <c:pt idx="14">
                  <c:v>1273.5999999999999</c:v>
                </c:pt>
                <c:pt idx="15">
                  <c:v>1427.4</c:v>
                </c:pt>
                <c:pt idx="16">
                  <c:v>1617.2</c:v>
                </c:pt>
                <c:pt idx="17">
                  <c:v>1650.9</c:v>
                </c:pt>
                <c:pt idx="18">
                  <c:v>2026.7</c:v>
                </c:pt>
                <c:pt idx="19">
                  <c:v>1883.5</c:v>
                </c:pt>
                <c:pt idx="20">
                  <c:v>1960.3</c:v>
                </c:pt>
              </c:numCache>
            </c:numRef>
          </c:val>
          <c:extLst>
            <c:ext xmlns:c16="http://schemas.microsoft.com/office/drawing/2014/chart" uri="{C3380CC4-5D6E-409C-BE32-E72D297353CC}">
              <c16:uniqueId val="{00000000-661E-4A08-B8BF-8E95B5ABA0B7}"/>
            </c:ext>
          </c:extLst>
        </c:ser>
        <c:ser>
          <c:idx val="2"/>
          <c:order val="1"/>
          <c:tx>
            <c:strRef>
              <c:f>[finalidad_11.xlsx]ingresos!$T$8</c:f>
              <c:strCache>
                <c:ptCount val="1"/>
                <c:pt idx="0">
                  <c:v>Aporte del Estado</c:v>
                </c:pt>
              </c:strCache>
            </c:strRef>
          </c:tx>
          <c:cat>
            <c:numRef>
              <c:f>[finalidad_11.xlsx]ingresos!$Q$9:$Q$29</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[finalidad_11.xlsx]ingresos!$T$9:$T$29</c:f>
              <c:numCache>
                <c:formatCode>General</c:formatCode>
                <c:ptCount val="21"/>
                <c:pt idx="0">
                  <c:v>720.2</c:v>
                </c:pt>
                <c:pt idx="1">
                  <c:v>703.2</c:v>
                </c:pt>
                <c:pt idx="2" formatCode="#,##0.00">
                  <c:v>1038.5</c:v>
                </c:pt>
                <c:pt idx="3">
                  <c:v>880.9</c:v>
                </c:pt>
                <c:pt idx="4">
                  <c:v>993.4</c:v>
                </c:pt>
                <c:pt idx="5" formatCode="#,##0.00">
                  <c:v>1088.8</c:v>
                </c:pt>
                <c:pt idx="6" formatCode="#,##0.00">
                  <c:v>1208.0999999999999</c:v>
                </c:pt>
                <c:pt idx="7" formatCode="#,##0.00">
                  <c:v>1294.8</c:v>
                </c:pt>
                <c:pt idx="8" formatCode="#,##0.00">
                  <c:v>1443.5</c:v>
                </c:pt>
                <c:pt idx="9" formatCode="#,##0.00">
                  <c:v>1541.8</c:v>
                </c:pt>
                <c:pt idx="10" formatCode="#,##0.00">
                  <c:v>1731.4</c:v>
                </c:pt>
                <c:pt idx="11" formatCode="#,##0.00">
                  <c:v>1724.7</c:v>
                </c:pt>
                <c:pt idx="12" formatCode="#,##0.00">
                  <c:v>1738.7</c:v>
                </c:pt>
                <c:pt idx="13" formatCode="#,##0.00">
                  <c:v>1675.6</c:v>
                </c:pt>
                <c:pt idx="14" formatCode="#,##0.00">
                  <c:v>1862.6</c:v>
                </c:pt>
                <c:pt idx="15" formatCode="#,##0.00">
                  <c:v>2001.6</c:v>
                </c:pt>
                <c:pt idx="16" formatCode="#,##0.00">
                  <c:v>1989.7</c:v>
                </c:pt>
                <c:pt idx="17" formatCode="#,##0.00">
                  <c:v>2088</c:v>
                </c:pt>
                <c:pt idx="18" formatCode="#,##0.00">
                  <c:v>2147.6</c:v>
                </c:pt>
                <c:pt idx="19" formatCode="#,##0.00">
                  <c:v>2803</c:v>
                </c:pt>
                <c:pt idx="20" formatCode="#,##0.00">
                  <c:v>3051.2</c:v>
                </c:pt>
              </c:numCache>
            </c:numRef>
          </c:val>
          <c:extLst>
            <c:ext xmlns:c16="http://schemas.microsoft.com/office/drawing/2014/chart" uri="{C3380CC4-5D6E-409C-BE32-E72D297353CC}">
              <c16:uniqueId val="{00000001-661E-4A08-B8BF-8E95B5ABA0B7}"/>
            </c:ext>
          </c:extLst>
        </c:ser>
        <c:dLbls>
          <c:showLegendKey val="0"/>
          <c:showVal val="0"/>
          <c:showCatName val="0"/>
          <c:showSerName val="0"/>
          <c:showPercent val="0"/>
          <c:showBubbleSize val="0"/>
        </c:dLbls>
        <c:axId val="150180992"/>
        <c:axId val="150182528"/>
      </c:areaChart>
      <c:catAx>
        <c:axId val="150180992"/>
        <c:scaling>
          <c:orientation val="minMax"/>
        </c:scaling>
        <c:delete val="0"/>
        <c:axPos val="b"/>
        <c:numFmt formatCode="General" sourceLinked="1"/>
        <c:majorTickMark val="none"/>
        <c:minorTickMark val="none"/>
        <c:tickLblPos val="nextTo"/>
        <c:spPr>
          <a:ln>
            <a:solidFill>
              <a:schemeClr val="bg1">
                <a:lumMod val="85000"/>
              </a:schemeClr>
            </a:solidFill>
          </a:ln>
        </c:spPr>
        <c:crossAx val="150182528"/>
        <c:crosses val="autoZero"/>
        <c:auto val="1"/>
        <c:lblAlgn val="ctr"/>
        <c:lblOffset val="100"/>
        <c:noMultiLvlLbl val="0"/>
      </c:catAx>
      <c:valAx>
        <c:axId val="150182528"/>
        <c:scaling>
          <c:orientation val="minMax"/>
        </c:scaling>
        <c:delete val="0"/>
        <c:axPos val="l"/>
        <c:majorGridlines>
          <c:spPr>
            <a:ln>
              <a:solidFill>
                <a:schemeClr val="bg1">
                  <a:lumMod val="85000"/>
                </a:schemeClr>
              </a:solidFill>
            </a:ln>
          </c:spPr>
        </c:majorGridlines>
        <c:numFmt formatCode="#,##0" sourceLinked="0"/>
        <c:majorTickMark val="none"/>
        <c:minorTickMark val="none"/>
        <c:tickLblPos val="nextTo"/>
        <c:spPr>
          <a:ln>
            <a:solidFill>
              <a:schemeClr val="bg1">
                <a:lumMod val="85000"/>
              </a:schemeClr>
            </a:solidFill>
          </a:ln>
        </c:spPr>
        <c:crossAx val="150180992"/>
        <c:crosses val="autoZero"/>
        <c:crossBetween val="midCat"/>
      </c:valAx>
    </c:plotArea>
    <c:legend>
      <c:legendPos val="b"/>
      <c:layout>
        <c:manualLayout>
          <c:xMode val="edge"/>
          <c:yMode val="edge"/>
          <c:x val="4.9999855522646824E-2"/>
          <c:y val="0.89812924246538151"/>
          <c:w val="0.9"/>
          <c:h val="0.10187075753461852"/>
        </c:manualLayout>
      </c:layout>
      <c:overlay val="0"/>
    </c:legend>
    <c:plotVisOnly val="1"/>
    <c:dispBlanksAs val="zero"/>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0.02799</cdr:x>
      <cdr:y>0.9269</cdr:y>
    </cdr:from>
    <cdr:to>
      <cdr:x>1</cdr:x>
      <cdr:y>1</cdr:y>
    </cdr:to>
    <cdr:sp macro="" textlink="">
      <cdr:nvSpPr>
        <cdr:cNvPr id="2" name="Cuadro de texto 1"/>
        <cdr:cNvSpPr txBox="1"/>
      </cdr:nvSpPr>
      <cdr:spPr>
        <a:xfrm xmlns:a="http://schemas.openxmlformats.org/drawingml/2006/main">
          <a:off x="109728" y="2406701"/>
          <a:ext cx="3810762" cy="189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700" b="0">
              <a:latin typeface="Times New Roman" panose="02020603050405020304" pitchFamily="18" charset="0"/>
              <a:cs typeface="Times New Roman" panose="02020603050405020304" pitchFamily="18" charset="0"/>
            </a:rPr>
            <a:t>Fuente: Fondo Monetario Internacional (WEO Abril</a:t>
          </a:r>
          <a:r>
            <a:rPr lang="es-GT" sz="700" b="0" baseline="0">
              <a:latin typeface="Times New Roman" panose="02020603050405020304" pitchFamily="18" charset="0"/>
              <a:cs typeface="Times New Roman" panose="02020603050405020304" pitchFamily="18" charset="0"/>
            </a:rPr>
            <a:t> de 2019)</a:t>
          </a:r>
          <a:endParaRPr lang="es-GT" sz="700" b="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0.54478</cdr:x>
      <cdr:y>0.04128</cdr:y>
    </cdr:from>
    <cdr:to>
      <cdr:x>0.99901</cdr:x>
      <cdr:y>0.58559</cdr:y>
    </cdr:to>
    <cdr:sp macro="" textlink="">
      <cdr:nvSpPr>
        <cdr:cNvPr id="4" name="3 Rectángulo"/>
        <cdr:cNvSpPr/>
      </cdr:nvSpPr>
      <cdr:spPr>
        <a:xfrm xmlns:a="http://schemas.openxmlformats.org/drawingml/2006/main">
          <a:off x="4993821" y="244926"/>
          <a:ext cx="4163786" cy="3229185"/>
        </a:xfrm>
        <a:prstGeom xmlns:a="http://schemas.openxmlformats.org/drawingml/2006/main" prst="rect">
          <a:avLst/>
        </a:prstGeom>
        <a:solidFill xmlns:a="http://schemas.openxmlformats.org/drawingml/2006/main">
          <a:schemeClr val="bg1">
            <a:lumMod val="50000"/>
            <a:alpha val="12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CA055-7937-4AAE-A5D9-AC18EA1DD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24228</Words>
  <Characters>133256</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Patricia Taracena Rodriguez</dc:creator>
  <cp:lastModifiedBy>Myriam Adelaida Galvez García</cp:lastModifiedBy>
  <cp:revision>2</cp:revision>
  <cp:lastPrinted>2023-09-22T14:18:00Z</cp:lastPrinted>
  <dcterms:created xsi:type="dcterms:W3CDTF">2023-09-22T15:41:00Z</dcterms:created>
  <dcterms:modified xsi:type="dcterms:W3CDTF">2023-09-22T15:41:00Z</dcterms:modified>
</cp:coreProperties>
</file>