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31206426"/>
        <w:docPartObj>
          <w:docPartGallery w:val="Cover Pages"/>
          <w:docPartUnique/>
        </w:docPartObj>
      </w:sdtPr>
      <w:sdtEndPr>
        <w:rPr>
          <w:rFonts w:ascii="Times New Roman" w:hAnsi="Times New Roman" w:cs="Times New Roman"/>
          <w:b/>
          <w:lang w:val="es-MX"/>
        </w:rPr>
      </w:sdtEndPr>
      <w:sdtContent>
        <w:p w:rsidR="00F3558A" w:rsidRDefault="00F3558A"/>
        <w:p w:rsidR="001D6156" w:rsidRDefault="001D6156"/>
        <w:p w:rsidR="001D6156" w:rsidRDefault="001D6156"/>
        <w:p w:rsidR="001D6156" w:rsidRDefault="001D6156"/>
        <w:p w:rsidR="001D6156" w:rsidRDefault="001D6156"/>
        <w:p w:rsidR="001D6156" w:rsidRDefault="001D6156"/>
        <w:p w:rsidR="001D6156" w:rsidRDefault="001D6156"/>
        <w:p w:rsidR="001D6156" w:rsidRDefault="001D6156"/>
        <w:p w:rsidR="001D6156" w:rsidRDefault="001D6156"/>
        <w:p w:rsidR="001D6156" w:rsidRDefault="001D6156"/>
        <w:p w:rsidR="001D6156" w:rsidRDefault="001D6156"/>
        <w:p w:rsidR="001D6156" w:rsidRPr="001D6156" w:rsidRDefault="008433CC" w:rsidP="001D6156">
          <w:pPr>
            <w:jc w:val="center"/>
            <w:rPr>
              <w:rFonts w:ascii="Times New Roman" w:hAnsi="Times New Roman" w:cs="Times New Roman"/>
              <w:sz w:val="14"/>
            </w:rPr>
          </w:pPr>
          <w:sdt>
            <w:sdtPr>
              <w:rPr>
                <w:rFonts w:ascii="Times New Roman" w:eastAsiaTheme="majorEastAsia" w:hAnsi="Times New Roman" w:cs="Times New Roman"/>
                <w:b/>
                <w:sz w:val="48"/>
                <w:szCs w:val="76"/>
              </w:rPr>
              <w:alias w:val="Título"/>
              <w:id w:val="276713177"/>
              <w:dataBinding w:prefixMappings="xmlns:ns0='http://schemas.openxmlformats.org/package/2006/metadata/core-properties' xmlns:ns1='http://purl.org/dc/elements/1.1/'" w:xpath="/ns0:coreProperties[1]/ns1:title[1]" w:storeItemID="{6C3C8BC8-F283-45AE-878A-BAB7291924A1}"/>
              <w:text/>
            </w:sdtPr>
            <w:sdtEndPr/>
            <w:sdtContent>
              <w:r w:rsidR="001D6156" w:rsidRPr="00C65730">
                <w:rPr>
                  <w:rFonts w:ascii="Times New Roman" w:eastAsiaTheme="majorEastAsia" w:hAnsi="Times New Roman" w:cs="Times New Roman"/>
                  <w:b/>
                  <w:sz w:val="48"/>
                  <w:szCs w:val="76"/>
                </w:rPr>
                <w:t>Informe mensual de las Finanzas Públicas Noviembre 2015</w:t>
              </w:r>
            </w:sdtContent>
          </w:sdt>
        </w:p>
        <w:p w:rsidR="00F3558A" w:rsidRDefault="00F3558A">
          <w:pPr>
            <w:rPr>
              <w:rFonts w:ascii="Times New Roman" w:hAnsi="Times New Roman" w:cs="Times New Roman"/>
              <w:b/>
              <w:lang w:val="es-MX"/>
            </w:rPr>
          </w:pPr>
          <w:r>
            <w:rPr>
              <w:rFonts w:ascii="Times New Roman" w:hAnsi="Times New Roman" w:cs="Times New Roman"/>
              <w:b/>
              <w:lang w:val="es-MX"/>
            </w:rPr>
            <w:br w:type="page"/>
          </w:r>
        </w:p>
      </w:sdtContent>
    </w:sdt>
    <w:p w:rsidR="00363CC7" w:rsidRPr="00633167" w:rsidRDefault="00D102CA" w:rsidP="00BD010A">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color w:val="FF0000"/>
          <w:lang w:val="es-MX"/>
        </w:rPr>
      </w:pPr>
      <w:r w:rsidRPr="00FB3B65">
        <w:rPr>
          <w:rFonts w:ascii="Times New Roman" w:hAnsi="Times New Roman" w:cs="Times New Roman"/>
          <w:b/>
          <w:lang w:val="es-MX"/>
        </w:rPr>
        <w:lastRenderedPageBreak/>
        <w:t>Contención de gasto preserva un nivel moderado de déficit fiscal</w:t>
      </w:r>
      <w:r w:rsidR="00EB2D42" w:rsidRPr="00FB3B65">
        <w:rPr>
          <w:rFonts w:ascii="Times New Roman" w:hAnsi="Times New Roman" w:cs="Times New Roman"/>
          <w:b/>
          <w:lang w:val="es-MX"/>
        </w:rPr>
        <w:t xml:space="preserve"> </w:t>
      </w:r>
    </w:p>
    <w:p w:rsidR="00BD010A" w:rsidRPr="00633167" w:rsidRDefault="00BD010A" w:rsidP="00363CC7">
      <w:pPr>
        <w:pStyle w:val="Sinespaciado"/>
        <w:jc w:val="center"/>
        <w:rPr>
          <w:rFonts w:ascii="Times New Roman" w:hAnsi="Times New Roman" w:cs="Times New Roman"/>
          <w:b/>
          <w:color w:val="FF0000"/>
          <w:lang w:val="es-MX"/>
        </w:rPr>
      </w:pPr>
    </w:p>
    <w:p w:rsidR="00BD010A" w:rsidRPr="00633167" w:rsidRDefault="00BD010A" w:rsidP="00363CC7">
      <w:pPr>
        <w:pStyle w:val="Sinespaciado"/>
        <w:jc w:val="center"/>
        <w:rPr>
          <w:rFonts w:ascii="Times New Roman" w:hAnsi="Times New Roman" w:cs="Times New Roman"/>
          <w:b/>
          <w:color w:val="FF0000"/>
          <w:lang w:val="es-MX"/>
        </w:rPr>
        <w:sectPr w:rsidR="00BD010A" w:rsidRPr="00633167" w:rsidSect="00F3558A">
          <w:headerReference w:type="default" r:id="rId8"/>
          <w:footerReference w:type="default" r:id="rId9"/>
          <w:headerReference w:type="first" r:id="rId10"/>
          <w:footerReference w:type="first" r:id="rId11"/>
          <w:type w:val="continuous"/>
          <w:pgSz w:w="12240" w:h="15840"/>
          <w:pgMar w:top="1417" w:right="1701" w:bottom="1417" w:left="1701" w:header="708" w:footer="708" w:gutter="0"/>
          <w:pgNumType w:start="0"/>
          <w:cols w:space="708"/>
          <w:titlePg/>
          <w:docGrid w:linePitch="360"/>
        </w:sectPr>
      </w:pPr>
    </w:p>
    <w:p w:rsidR="00633167" w:rsidRDefault="00633167" w:rsidP="00633167">
      <w:pPr>
        <w:pStyle w:val="Sinespaciado"/>
        <w:jc w:val="both"/>
        <w:rPr>
          <w:rFonts w:ascii="Times New Roman" w:hAnsi="Times New Roman" w:cs="Times New Roman"/>
          <w:lang w:val="es-MX"/>
        </w:rPr>
      </w:pPr>
      <w:r>
        <w:rPr>
          <w:rFonts w:ascii="Times New Roman" w:hAnsi="Times New Roman" w:cs="Times New Roman"/>
          <w:lang w:val="es-MX"/>
        </w:rPr>
        <w:lastRenderedPageBreak/>
        <w:t>El resultado fiscal al 30 de noviembre de 2015, se sitúa en un déficit de Q</w:t>
      </w:r>
      <w:r w:rsidR="00FB3B65">
        <w:rPr>
          <w:rFonts w:ascii="Times New Roman" w:hAnsi="Times New Roman" w:cs="Times New Roman"/>
          <w:lang w:val="es-MX"/>
        </w:rPr>
        <w:t xml:space="preserve"> </w:t>
      </w:r>
      <w:r>
        <w:rPr>
          <w:rFonts w:ascii="Times New Roman" w:hAnsi="Times New Roman" w:cs="Times New Roman"/>
          <w:lang w:val="es-MX"/>
        </w:rPr>
        <w:t>4,720.4 millones (1.0% del PIB), superior en términos nominales al obtenido en igual fecha del año anterior, el cual se ubicó en Q</w:t>
      </w:r>
      <w:r w:rsidR="00FB3B65">
        <w:rPr>
          <w:rFonts w:ascii="Times New Roman" w:hAnsi="Times New Roman" w:cs="Times New Roman"/>
          <w:lang w:val="es-MX"/>
        </w:rPr>
        <w:t xml:space="preserve"> </w:t>
      </w:r>
      <w:r>
        <w:rPr>
          <w:rFonts w:ascii="Times New Roman" w:hAnsi="Times New Roman" w:cs="Times New Roman"/>
          <w:lang w:val="es-MX"/>
        </w:rPr>
        <w:t xml:space="preserve">4,623.8 millones (1.0% del PIB). </w:t>
      </w:r>
    </w:p>
    <w:p w:rsidR="00633167" w:rsidRDefault="00633167" w:rsidP="00633167">
      <w:pPr>
        <w:pStyle w:val="Sinespaciado"/>
        <w:jc w:val="both"/>
        <w:rPr>
          <w:rFonts w:ascii="Times New Roman" w:hAnsi="Times New Roman" w:cs="Times New Roman"/>
          <w:lang w:val="es-MX"/>
        </w:rPr>
      </w:pPr>
    </w:p>
    <w:p w:rsidR="00633167" w:rsidRDefault="00633167" w:rsidP="00633167">
      <w:pPr>
        <w:pStyle w:val="Sinespaciado"/>
        <w:jc w:val="both"/>
        <w:rPr>
          <w:rFonts w:ascii="Times New Roman" w:hAnsi="Times New Roman" w:cs="Times New Roman"/>
          <w:lang w:val="es-MX"/>
        </w:rPr>
      </w:pPr>
      <w:r>
        <w:rPr>
          <w:rFonts w:ascii="Times New Roman" w:hAnsi="Times New Roman" w:cs="Times New Roman"/>
          <w:lang w:val="es-MX"/>
        </w:rPr>
        <w:t xml:space="preserve">Lo anterior muestra que el esfuerzo por contener el gasto ha sido mayor a la reducción de los ingresos tributarios, como resultado ha </w:t>
      </w:r>
      <w:r>
        <w:rPr>
          <w:rFonts w:ascii="Times New Roman" w:hAnsi="Times New Roman" w:cs="Times New Roman"/>
          <w:lang w:val="es-MX"/>
        </w:rPr>
        <w:lastRenderedPageBreak/>
        <w:t xml:space="preserve">permitido mantener el déficit en un nivel similar al del año anterior. </w:t>
      </w:r>
    </w:p>
    <w:p w:rsidR="00633167" w:rsidRDefault="00633167" w:rsidP="00633167">
      <w:pPr>
        <w:pStyle w:val="Sinespaciado"/>
        <w:jc w:val="both"/>
        <w:rPr>
          <w:rFonts w:ascii="Times New Roman" w:hAnsi="Times New Roman" w:cs="Times New Roman"/>
          <w:lang w:val="es-MX"/>
        </w:rPr>
      </w:pPr>
    </w:p>
    <w:p w:rsidR="00905DA8" w:rsidRPr="00633167" w:rsidRDefault="00633167" w:rsidP="00FB3B65">
      <w:pPr>
        <w:pStyle w:val="Sinespaciado"/>
        <w:jc w:val="both"/>
        <w:rPr>
          <w:rFonts w:ascii="Times New Roman" w:hAnsi="Times New Roman" w:cs="Times New Roman"/>
          <w:color w:val="FF0000"/>
          <w:sz w:val="12"/>
        </w:rPr>
      </w:pPr>
      <w:r>
        <w:rPr>
          <w:rFonts w:ascii="Times New Roman" w:hAnsi="Times New Roman" w:cs="Times New Roman"/>
          <w:lang w:val="es-MX"/>
        </w:rPr>
        <w:t>Por último, es importante indicar  que el esfuerzo de contención debe mantenerse para evitar dejar, al final de año, una presa importante de pagos, lo cual puede incidir en un déficit fiscal entre 1.4% y 1.6% del PIB.</w:t>
      </w:r>
    </w:p>
    <w:p w:rsidR="00D102CA" w:rsidRPr="00633167" w:rsidRDefault="00D102CA" w:rsidP="00D102CA">
      <w:pPr>
        <w:pStyle w:val="Sinespaciado"/>
        <w:jc w:val="both"/>
        <w:rPr>
          <w:rFonts w:ascii="Times New Roman" w:hAnsi="Times New Roman" w:cs="Times New Roman"/>
          <w:color w:val="FF0000"/>
          <w:lang w:val="es-MX"/>
        </w:rPr>
      </w:pPr>
    </w:p>
    <w:p w:rsidR="00D102CA" w:rsidRPr="00633167" w:rsidRDefault="00D102CA" w:rsidP="00D102CA">
      <w:pPr>
        <w:pStyle w:val="Sinespaciado"/>
        <w:jc w:val="both"/>
        <w:rPr>
          <w:rFonts w:ascii="Times New Roman" w:hAnsi="Times New Roman" w:cs="Times New Roman"/>
          <w:b/>
          <w:color w:val="FF0000"/>
          <w:lang w:val="es-MX"/>
        </w:rPr>
        <w:sectPr w:rsidR="00D102CA" w:rsidRPr="00633167" w:rsidSect="00874E65">
          <w:type w:val="continuous"/>
          <w:pgSz w:w="12240" w:h="15840"/>
          <w:pgMar w:top="1417" w:right="1701" w:bottom="1417" w:left="1701" w:header="708" w:footer="708" w:gutter="0"/>
          <w:cols w:num="2" w:space="708"/>
          <w:docGrid w:linePitch="360"/>
        </w:sectPr>
      </w:pPr>
    </w:p>
    <w:p w:rsidR="00364591" w:rsidRPr="00633167" w:rsidRDefault="00364591" w:rsidP="00364591">
      <w:pPr>
        <w:pStyle w:val="Sinespaciado"/>
        <w:rPr>
          <w:rFonts w:ascii="Times New Roman" w:hAnsi="Times New Roman" w:cs="Times New Roman"/>
          <w:color w:val="FF0000"/>
          <w:sz w:val="12"/>
          <w:szCs w:val="12"/>
        </w:rPr>
      </w:pPr>
    </w:p>
    <w:p w:rsidR="00BD010A" w:rsidRPr="001D6156" w:rsidRDefault="00BD010A" w:rsidP="00363CC7">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rPr>
          <w:rFonts w:ascii="Times New Roman" w:hAnsi="Times New Roman" w:cs="Times New Roman"/>
          <w:b/>
          <w:color w:val="FF0000"/>
          <w:sz w:val="24"/>
        </w:rPr>
        <w:sectPr w:rsidR="00BD010A" w:rsidRPr="001D6156" w:rsidSect="00514A0D">
          <w:type w:val="continuous"/>
          <w:pgSz w:w="12240" w:h="15840"/>
          <w:pgMar w:top="1417" w:right="1701" w:bottom="1417" w:left="1701" w:header="708" w:footer="708" w:gutter="0"/>
          <w:cols w:num="2" w:space="708"/>
          <w:docGrid w:linePitch="360"/>
        </w:sectPr>
      </w:pPr>
    </w:p>
    <w:p w:rsidR="00FB3B65" w:rsidRPr="00C1022E" w:rsidRDefault="00FB3B65" w:rsidP="00FB3B65">
      <w:pPr>
        <w:pStyle w:val="Sinespaciado"/>
        <w:jc w:val="center"/>
        <w:rPr>
          <w:rFonts w:ascii="Times New Roman" w:hAnsi="Times New Roman" w:cs="Times New Roman"/>
          <w:b/>
          <w:lang w:val="es-MX"/>
        </w:rPr>
      </w:pPr>
      <w:r w:rsidRPr="00C1022E">
        <w:rPr>
          <w:rFonts w:ascii="Times New Roman" w:hAnsi="Times New Roman" w:cs="Times New Roman"/>
          <w:b/>
          <w:lang w:val="es-MX"/>
        </w:rPr>
        <w:lastRenderedPageBreak/>
        <w:t>Resultado Presupuestario</w:t>
      </w:r>
    </w:p>
    <w:p w:rsidR="00FB3B65" w:rsidRPr="00FB3B65" w:rsidRDefault="00FB3B65" w:rsidP="00FB3B65">
      <w:pPr>
        <w:pStyle w:val="Sinespaciado"/>
        <w:jc w:val="center"/>
        <w:rPr>
          <w:rFonts w:ascii="Times New Roman" w:hAnsi="Times New Roman" w:cs="Times New Roman"/>
          <w:sz w:val="18"/>
          <w:lang w:val="es-MX"/>
        </w:rPr>
      </w:pPr>
      <w:r>
        <w:rPr>
          <w:rFonts w:ascii="Times New Roman" w:hAnsi="Times New Roman" w:cs="Times New Roman"/>
          <w:sz w:val="18"/>
          <w:lang w:val="es-MX"/>
        </w:rPr>
        <w:t xml:space="preserve">Observado Noviembre </w:t>
      </w:r>
      <w:r w:rsidRPr="00FB3B65">
        <w:rPr>
          <w:rFonts w:ascii="Times New Roman" w:hAnsi="Times New Roman" w:cs="Times New Roman"/>
          <w:sz w:val="18"/>
          <w:lang w:val="es-MX"/>
        </w:rPr>
        <w:t>2014 - Estimación y Observado Noviembre 2015</w:t>
      </w:r>
    </w:p>
    <w:p w:rsidR="00D102CA" w:rsidRPr="00FB3B65" w:rsidRDefault="00D102CA" w:rsidP="00D102CA">
      <w:pPr>
        <w:pStyle w:val="Sinespaciado"/>
        <w:jc w:val="center"/>
        <w:rPr>
          <w:rFonts w:ascii="Times New Roman" w:hAnsi="Times New Roman" w:cs="Times New Roman"/>
          <w:sz w:val="16"/>
          <w:lang w:val="es-MX"/>
        </w:rPr>
      </w:pPr>
      <w:r w:rsidRPr="00FB3B65">
        <w:rPr>
          <w:rFonts w:ascii="Times New Roman" w:hAnsi="Times New Roman" w:cs="Times New Roman"/>
          <w:sz w:val="16"/>
          <w:lang w:val="es-MX"/>
        </w:rPr>
        <w:t>Porcentajes del PIB</w:t>
      </w:r>
    </w:p>
    <w:p w:rsidR="00D102CA" w:rsidRPr="00633167" w:rsidRDefault="00FB3B65" w:rsidP="00D102CA">
      <w:pPr>
        <w:pStyle w:val="Sinespaciado"/>
        <w:jc w:val="center"/>
        <w:rPr>
          <w:rFonts w:ascii="Times New Roman" w:hAnsi="Times New Roman" w:cs="Times New Roman"/>
          <w:color w:val="FF0000"/>
          <w:lang w:val="es-MX"/>
        </w:rPr>
      </w:pPr>
      <w:r>
        <w:rPr>
          <w:rFonts w:ascii="Times New Roman" w:hAnsi="Times New Roman" w:cs="Times New Roman"/>
          <w:noProof/>
          <w:lang w:eastAsia="es-GT"/>
        </w:rPr>
        <w:drawing>
          <wp:inline distT="0" distB="0" distL="0" distR="0" wp14:anchorId="18DC93E0" wp14:editId="6121C76C">
            <wp:extent cx="3086100" cy="2202089"/>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4348" cy="2215110"/>
                    </a:xfrm>
                    <a:prstGeom prst="rect">
                      <a:avLst/>
                    </a:prstGeom>
                    <a:noFill/>
                  </pic:spPr>
                </pic:pic>
              </a:graphicData>
            </a:graphic>
          </wp:inline>
        </w:drawing>
      </w:r>
    </w:p>
    <w:p w:rsidR="00D102CA" w:rsidRPr="00FB3B65" w:rsidRDefault="00D102CA" w:rsidP="00D102CA">
      <w:pPr>
        <w:pStyle w:val="Sinespaciado"/>
        <w:ind w:left="1416" w:firstLine="708"/>
        <w:jc w:val="both"/>
        <w:rPr>
          <w:rFonts w:ascii="Times New Roman" w:hAnsi="Times New Roman" w:cs="Times New Roman"/>
          <w:sz w:val="16"/>
        </w:rPr>
      </w:pPr>
      <w:r w:rsidRPr="00FB3B65">
        <w:rPr>
          <w:rFonts w:ascii="Times New Roman" w:hAnsi="Times New Roman" w:cs="Times New Roman"/>
          <w:sz w:val="16"/>
        </w:rPr>
        <w:t>Fuente: Dirección de Análisis y Política fiscal</w:t>
      </w:r>
    </w:p>
    <w:p w:rsidR="00BD010A" w:rsidRPr="001D6156" w:rsidRDefault="00BD010A" w:rsidP="00BD010A">
      <w:pPr>
        <w:pStyle w:val="Sinespaciado"/>
        <w:jc w:val="both"/>
        <w:rPr>
          <w:rFonts w:ascii="Times New Roman" w:hAnsi="Times New Roman" w:cs="Times New Roman"/>
          <w:b/>
          <w:sz w:val="20"/>
          <w:lang w:val="es-MX"/>
        </w:rPr>
      </w:pPr>
    </w:p>
    <w:p w:rsidR="00363CC7" w:rsidRPr="001D6156" w:rsidRDefault="005034CF" w:rsidP="00833EAC">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Pr>
          <w:rFonts w:ascii="Times New Roman" w:hAnsi="Times New Roman" w:cs="Times New Roman"/>
          <w:b/>
          <w:lang w:val="es-MX"/>
        </w:rPr>
        <w:t>Bajo desempeño del IVA e ISR afecta meta recaudación</w:t>
      </w:r>
    </w:p>
    <w:p w:rsidR="00BD010A" w:rsidRPr="001D6156" w:rsidRDefault="00BD010A" w:rsidP="00363CC7">
      <w:pPr>
        <w:pStyle w:val="Sinespaciado"/>
        <w:jc w:val="both"/>
        <w:rPr>
          <w:rFonts w:ascii="Times New Roman" w:hAnsi="Times New Roman" w:cs="Times New Roman"/>
          <w:b/>
          <w:lang w:val="es-MX"/>
        </w:rPr>
      </w:pPr>
    </w:p>
    <w:p w:rsidR="00BD010A" w:rsidRPr="001D6156" w:rsidRDefault="00BD010A" w:rsidP="00363CC7">
      <w:pPr>
        <w:pStyle w:val="Sinespaciado"/>
        <w:jc w:val="both"/>
        <w:rPr>
          <w:rFonts w:ascii="Times New Roman" w:hAnsi="Times New Roman" w:cs="Times New Roman"/>
          <w:b/>
          <w:lang w:val="es-MX"/>
        </w:rPr>
        <w:sectPr w:rsidR="00BD010A" w:rsidRPr="001D6156" w:rsidSect="00BD010A">
          <w:type w:val="continuous"/>
          <w:pgSz w:w="12240" w:h="15840"/>
          <w:pgMar w:top="1417" w:right="1701" w:bottom="1417" w:left="1701" w:header="708" w:footer="708" w:gutter="0"/>
          <w:cols w:space="708"/>
          <w:docGrid w:linePitch="360"/>
        </w:sectPr>
      </w:pPr>
    </w:p>
    <w:p w:rsidR="003F790A" w:rsidRPr="001D6156" w:rsidRDefault="003403D7" w:rsidP="003403D7">
      <w:pPr>
        <w:spacing w:after="0" w:line="240" w:lineRule="auto"/>
        <w:jc w:val="both"/>
        <w:rPr>
          <w:rFonts w:ascii="Times New Roman" w:hAnsi="Times New Roman" w:cs="Times New Roman"/>
          <w:lang w:val="es-MX"/>
        </w:rPr>
      </w:pPr>
      <w:r w:rsidRPr="001D6156">
        <w:rPr>
          <w:rFonts w:ascii="Times New Roman" w:hAnsi="Times New Roman" w:cs="Times New Roman"/>
          <w:lang w:val="es-MX"/>
        </w:rPr>
        <w:lastRenderedPageBreak/>
        <w:t>Cifras preliminares de noviembre sitúan la recaudación tributaria acumulada con una brecha negativa de Q 4,726.3 millones respecto al presupuesto esto influenciado principalmente por el bajo rendimiento del ISR e IVA total, con relación al año anterior el panorama es distinto ya que se tiene brecha positiva de Q 662.2 millones  esto sin descontar Q 576.6 millones producto del Acuerdo Gubernativo 174-2014, factores que impulsan este rendimiento positivo son la recaudación adicional que se percibe por concepto del impuesto a la distribución de combustibles, así como al aumento que se registró en el impuesto a la circulación de vehículos, el IPRIMA y el del cemento.</w:t>
      </w:r>
    </w:p>
    <w:p w:rsidR="002D334C" w:rsidRPr="001D6156" w:rsidRDefault="002D334C" w:rsidP="003403D7">
      <w:pPr>
        <w:spacing w:after="0" w:line="240" w:lineRule="auto"/>
        <w:jc w:val="both"/>
        <w:rPr>
          <w:rFonts w:ascii="Times New Roman" w:hAnsi="Times New Roman" w:cs="Times New Roman"/>
          <w:lang w:val="es-MX"/>
        </w:rPr>
      </w:pPr>
    </w:p>
    <w:p w:rsidR="003403D7" w:rsidRPr="001D6156" w:rsidRDefault="003403D7" w:rsidP="003403D7">
      <w:pPr>
        <w:spacing w:after="0" w:line="240" w:lineRule="auto"/>
        <w:jc w:val="both"/>
        <w:rPr>
          <w:rFonts w:ascii="Times New Roman" w:hAnsi="Times New Roman" w:cs="Times New Roman"/>
          <w:lang w:val="es-MX"/>
        </w:rPr>
      </w:pPr>
      <w:r w:rsidRPr="001D6156">
        <w:rPr>
          <w:rFonts w:ascii="Times New Roman" w:hAnsi="Times New Roman" w:cs="Times New Roman"/>
          <w:lang w:val="es-MX"/>
        </w:rPr>
        <w:t>La recaudación acumulada del ISR se sitúa en Q 12,779.4 millones; este impuesto presenta una caída de 4.2% (Q 564.5 millones) respecto a lo recaudado en el mismo período de 2014, la caída se explica por la brecha que se generó en la liquidación anual de marzo, y la liquidación de los pagos trimestrales que se han visto afectados por el uso de créditos de ejercicios anteriores así como a la migración entre regímenes de actividades lucrativas (ingresos y utilidades)</w:t>
      </w:r>
      <w:r w:rsidR="005034CF">
        <w:rPr>
          <w:rFonts w:ascii="Times New Roman" w:hAnsi="Times New Roman" w:cs="Times New Roman"/>
          <w:lang w:val="es-MX"/>
        </w:rPr>
        <w:t>.</w:t>
      </w:r>
    </w:p>
    <w:p w:rsidR="003F790A" w:rsidRPr="001D6156" w:rsidRDefault="003F790A" w:rsidP="003403D7">
      <w:pPr>
        <w:spacing w:after="0" w:line="240" w:lineRule="auto"/>
        <w:jc w:val="both"/>
        <w:rPr>
          <w:rFonts w:ascii="Times New Roman" w:hAnsi="Times New Roman" w:cs="Times New Roman"/>
          <w:lang w:val="es-MX"/>
        </w:rPr>
      </w:pPr>
    </w:p>
    <w:p w:rsidR="002D334C" w:rsidRPr="001D6156" w:rsidRDefault="003403D7" w:rsidP="003403D7">
      <w:pPr>
        <w:spacing w:after="0" w:line="240" w:lineRule="auto"/>
        <w:jc w:val="both"/>
        <w:rPr>
          <w:rFonts w:ascii="Times New Roman" w:hAnsi="Times New Roman" w:cs="Times New Roman"/>
          <w:lang w:val="es-MX"/>
        </w:rPr>
      </w:pPr>
      <w:r w:rsidRPr="001D6156">
        <w:rPr>
          <w:rFonts w:ascii="Times New Roman" w:hAnsi="Times New Roman" w:cs="Times New Roman"/>
          <w:lang w:val="es-MX"/>
        </w:rPr>
        <w:t xml:space="preserve">De manera acumulada el IVA total no alcanzo la meta de Presupuesto y se quedó por abajo en 8.9%  el IVA asociado a las importaciones </w:t>
      </w:r>
      <w:r w:rsidRPr="001D6156">
        <w:rPr>
          <w:rFonts w:ascii="Times New Roman" w:hAnsi="Times New Roman" w:cs="Times New Roman"/>
          <w:lang w:val="es-MX"/>
        </w:rPr>
        <w:lastRenderedPageBreak/>
        <w:t>cayó en 8.8% respecto a la meta y el IVA asociado al consumo interno cae en 9%, es preciso indicar que la meta de presupuesto para el IVA asociado al consumo incluye Q 1,068.2 millones por medidas administrativas, con relación al año anterior el escenario es diferente ya este impuesto crece en 1% (Q 205.6 millones) influenciado por el IVA asociado al consumo interno, el IVA asociado al comercio exterior continúa en senda negativa y cae en 3.3% (Q 389.5 millones) respecto al año anterior esta caída está influenciada por la caída en el precio internacional del petróleo afectando a las importaciones grabadas,</w:t>
      </w:r>
    </w:p>
    <w:p w:rsidR="003F790A" w:rsidRPr="001D6156" w:rsidRDefault="003F790A" w:rsidP="003403D7">
      <w:pPr>
        <w:spacing w:after="0" w:line="240" w:lineRule="auto"/>
        <w:jc w:val="both"/>
        <w:rPr>
          <w:rFonts w:ascii="Times New Roman" w:hAnsi="Times New Roman" w:cs="Times New Roman"/>
          <w:lang w:val="es-MX"/>
        </w:rPr>
      </w:pPr>
    </w:p>
    <w:p w:rsidR="003403D7" w:rsidRPr="001D6156" w:rsidRDefault="003403D7" w:rsidP="003403D7">
      <w:pPr>
        <w:spacing w:after="0" w:line="240" w:lineRule="auto"/>
        <w:jc w:val="both"/>
        <w:rPr>
          <w:rFonts w:ascii="Times New Roman" w:hAnsi="Times New Roman" w:cs="Times New Roman"/>
          <w:lang w:val="es-MX"/>
        </w:rPr>
      </w:pPr>
      <w:r w:rsidRPr="001D6156">
        <w:rPr>
          <w:rFonts w:ascii="Times New Roman" w:hAnsi="Times New Roman" w:cs="Times New Roman"/>
          <w:lang w:val="es-MX"/>
        </w:rPr>
        <w:t xml:space="preserve">Los impuestos asociados a los productos industriales (Derivados del petróleo, distribución de bebidas, tabacos y cemento) tienen un crecimiento de 14.8% respecto a la meta de presupuesto y 20.4% respecto a lo observado el año anterior, dicho crecimiento se encuentra impulsado principalmente por los derivados del petróleo que crecen 19.8% con relación a la meta de presupuesto esto como </w:t>
      </w:r>
      <w:r w:rsidRPr="001D6156">
        <w:rPr>
          <w:rFonts w:ascii="Times New Roman" w:hAnsi="Times New Roman" w:cs="Times New Roman"/>
          <w:lang w:val="es-MX"/>
        </w:rPr>
        <w:lastRenderedPageBreak/>
        <w:t xml:space="preserve">producto </w:t>
      </w:r>
      <w:r w:rsidR="005034CF">
        <w:rPr>
          <w:rFonts w:ascii="Times New Roman" w:hAnsi="Times New Roman" w:cs="Times New Roman"/>
          <w:lang w:val="es-MX"/>
        </w:rPr>
        <w:t xml:space="preserve">del </w:t>
      </w:r>
      <w:r w:rsidRPr="001D6156">
        <w:rPr>
          <w:rFonts w:ascii="Times New Roman" w:hAnsi="Times New Roman" w:cs="Times New Roman"/>
          <w:lang w:val="es-MX"/>
        </w:rPr>
        <w:t>aumento en el  consumo de los combustibles producto de la caída en el precio internacional del petróleo, el impuesto a la distribución de bebidas también presenta crecimiento de 12.1% (Q 69 millones) respecto al año anterior, el impuesto al tabaco de igual manera presenta valore positivos respecto a la meta de presupuesto 1.6% por último el impuesto al saco de cemento creció respecto a presupuesto 5.4% (Q 15.4 millones) y con relación al año anterior de igual manera crece en 225% (Q 208.4 millones) de este impuesto es preciso indicar que la Corte de Constitucionalidad resolvió de manera definitiva a partir del mes de diciembre la tasa original de Q 1.50 por saco de cemento.</w:t>
      </w:r>
    </w:p>
    <w:p w:rsidR="003403D7" w:rsidRPr="001D6156" w:rsidRDefault="003403D7" w:rsidP="003403D7">
      <w:pPr>
        <w:spacing w:after="0" w:line="240" w:lineRule="auto"/>
        <w:jc w:val="both"/>
        <w:rPr>
          <w:rFonts w:ascii="Times New Roman" w:hAnsi="Times New Roman" w:cs="Times New Roman"/>
          <w:lang w:val="es-MX"/>
        </w:rPr>
      </w:pPr>
    </w:p>
    <w:p w:rsidR="003403D7" w:rsidRPr="001D6156" w:rsidRDefault="003403D7" w:rsidP="003403D7">
      <w:pPr>
        <w:spacing w:after="0" w:line="240" w:lineRule="auto"/>
        <w:jc w:val="both"/>
        <w:rPr>
          <w:rFonts w:ascii="Times New Roman" w:hAnsi="Times New Roman" w:cs="Times New Roman"/>
          <w:b/>
          <w:lang w:val="es-MX"/>
        </w:rPr>
      </w:pPr>
    </w:p>
    <w:p w:rsidR="003F790A" w:rsidRPr="001D6156" w:rsidRDefault="003F790A" w:rsidP="003403D7">
      <w:pPr>
        <w:spacing w:after="0" w:line="240" w:lineRule="auto"/>
        <w:jc w:val="both"/>
        <w:rPr>
          <w:rFonts w:ascii="Times New Roman" w:hAnsi="Times New Roman" w:cs="Times New Roman"/>
          <w:b/>
          <w:lang w:val="es-MX"/>
        </w:rPr>
      </w:pPr>
    </w:p>
    <w:p w:rsidR="003F790A" w:rsidRPr="001D6156" w:rsidRDefault="003F790A" w:rsidP="003403D7">
      <w:pPr>
        <w:spacing w:after="0" w:line="240" w:lineRule="auto"/>
        <w:jc w:val="both"/>
        <w:rPr>
          <w:rFonts w:ascii="Times New Roman" w:hAnsi="Times New Roman" w:cs="Times New Roman"/>
          <w:b/>
          <w:lang w:val="es-MX"/>
        </w:rPr>
      </w:pPr>
    </w:p>
    <w:p w:rsidR="003F790A" w:rsidRPr="001D6156" w:rsidRDefault="003F790A" w:rsidP="003403D7">
      <w:pPr>
        <w:spacing w:after="0" w:line="240" w:lineRule="auto"/>
        <w:jc w:val="both"/>
        <w:rPr>
          <w:rFonts w:ascii="Times New Roman" w:hAnsi="Times New Roman" w:cs="Times New Roman"/>
          <w:b/>
          <w:lang w:val="es-MX"/>
        </w:rPr>
      </w:pPr>
    </w:p>
    <w:p w:rsidR="003F790A" w:rsidRPr="001D6156" w:rsidRDefault="003F790A" w:rsidP="003403D7">
      <w:pPr>
        <w:spacing w:after="0" w:line="240" w:lineRule="auto"/>
        <w:jc w:val="both"/>
        <w:rPr>
          <w:rFonts w:ascii="Times New Roman" w:hAnsi="Times New Roman" w:cs="Times New Roman"/>
          <w:b/>
          <w:lang w:val="es-MX"/>
        </w:rPr>
      </w:pPr>
    </w:p>
    <w:p w:rsidR="002D334C" w:rsidRPr="001D6156" w:rsidRDefault="002D334C" w:rsidP="003403D7">
      <w:pPr>
        <w:spacing w:after="0" w:line="240" w:lineRule="auto"/>
        <w:jc w:val="both"/>
        <w:rPr>
          <w:rFonts w:ascii="Times New Roman" w:hAnsi="Times New Roman" w:cs="Times New Roman"/>
          <w:b/>
          <w:lang w:val="es-MX"/>
        </w:rPr>
      </w:pPr>
    </w:p>
    <w:p w:rsidR="003403D7" w:rsidRPr="001D6156" w:rsidRDefault="003403D7" w:rsidP="002D334C">
      <w:pPr>
        <w:pStyle w:val="Sinespaciado"/>
        <w:rPr>
          <w:rFonts w:ascii="Times New Roman" w:hAnsi="Times New Roman" w:cs="Times New Roman"/>
          <w:b/>
          <w:lang w:val="es-MX"/>
        </w:rPr>
      </w:pPr>
    </w:p>
    <w:p w:rsidR="002D334C" w:rsidRPr="001D6156" w:rsidRDefault="002D334C" w:rsidP="002D334C">
      <w:pPr>
        <w:pStyle w:val="Sinespaciado"/>
        <w:rPr>
          <w:rFonts w:ascii="Times New Roman" w:hAnsi="Times New Roman" w:cs="Times New Roman"/>
          <w:b/>
          <w:lang w:val="es-MX"/>
        </w:rPr>
        <w:sectPr w:rsidR="002D334C" w:rsidRPr="001D6156" w:rsidSect="005D6A2E">
          <w:type w:val="continuous"/>
          <w:pgSz w:w="12240" w:h="15840"/>
          <w:pgMar w:top="1417" w:right="1701" w:bottom="1417" w:left="1701" w:header="708" w:footer="708" w:gutter="0"/>
          <w:cols w:num="2" w:space="708"/>
          <w:docGrid w:linePitch="360"/>
        </w:sectPr>
      </w:pPr>
    </w:p>
    <w:p w:rsidR="003403D7" w:rsidRPr="001D6156" w:rsidRDefault="003403D7" w:rsidP="002D334C">
      <w:pPr>
        <w:pStyle w:val="Sinespaciado"/>
        <w:jc w:val="right"/>
        <w:rPr>
          <w:rFonts w:ascii="Times New Roman" w:hAnsi="Times New Roman" w:cs="Times New Roman"/>
          <w:b/>
          <w:sz w:val="12"/>
          <w:lang w:val="es-MX"/>
        </w:rPr>
      </w:pPr>
    </w:p>
    <w:p w:rsidR="003403D7" w:rsidRPr="001D6156" w:rsidRDefault="003403D7" w:rsidP="003403D7">
      <w:pPr>
        <w:pStyle w:val="Sinespaciado"/>
        <w:jc w:val="center"/>
        <w:rPr>
          <w:rFonts w:ascii="Times New Roman" w:hAnsi="Times New Roman" w:cs="Times New Roman"/>
          <w:b/>
          <w:lang w:val="es-MX"/>
        </w:rPr>
      </w:pPr>
      <w:r w:rsidRPr="001D6156">
        <w:rPr>
          <w:rFonts w:ascii="Times New Roman" w:hAnsi="Times New Roman" w:cs="Times New Roman"/>
          <w:b/>
          <w:lang w:val="es-MX"/>
        </w:rPr>
        <w:t>Ingresos tributarios Netos 2015</w:t>
      </w:r>
    </w:p>
    <w:p w:rsidR="003403D7" w:rsidRPr="001D6156" w:rsidRDefault="003403D7" w:rsidP="003403D7">
      <w:pPr>
        <w:pStyle w:val="Sinespaciado"/>
        <w:jc w:val="center"/>
        <w:rPr>
          <w:rFonts w:ascii="Times New Roman" w:hAnsi="Times New Roman" w:cs="Times New Roman"/>
          <w:sz w:val="16"/>
          <w:lang w:val="es-MX"/>
        </w:rPr>
      </w:pPr>
      <w:r w:rsidRPr="001D6156">
        <w:rPr>
          <w:rFonts w:ascii="Times New Roman" w:hAnsi="Times New Roman" w:cs="Times New Roman"/>
          <w:sz w:val="18"/>
          <w:lang w:val="es-MX"/>
        </w:rPr>
        <w:t>Millones de quetzales y porcentajes</w:t>
      </w:r>
    </w:p>
    <w:p w:rsidR="003403D7" w:rsidRPr="001D6156" w:rsidRDefault="003403D7" w:rsidP="003403D7">
      <w:pPr>
        <w:pStyle w:val="Sinespaciado"/>
        <w:jc w:val="center"/>
        <w:rPr>
          <w:rFonts w:ascii="Times New Roman" w:hAnsi="Times New Roman" w:cs="Times New Roman"/>
          <w:lang w:val="es-MX"/>
        </w:rPr>
      </w:pPr>
      <w:r w:rsidRPr="001D6156">
        <w:rPr>
          <w:noProof/>
          <w:lang w:eastAsia="es-GT"/>
        </w:rPr>
        <w:lastRenderedPageBreak/>
        <w:drawing>
          <wp:inline distT="0" distB="0" distL="0" distR="0" wp14:anchorId="2BCC7F3A" wp14:editId="5F398CB7">
            <wp:extent cx="5308270" cy="3866866"/>
            <wp:effectExtent l="0" t="0" r="6985"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7023" cy="3873242"/>
                    </a:xfrm>
                    <a:prstGeom prst="rect">
                      <a:avLst/>
                    </a:prstGeom>
                    <a:noFill/>
                    <a:ln>
                      <a:noFill/>
                    </a:ln>
                  </pic:spPr>
                </pic:pic>
              </a:graphicData>
            </a:graphic>
          </wp:inline>
        </w:drawing>
      </w:r>
    </w:p>
    <w:p w:rsidR="003403D7" w:rsidRPr="001D6156" w:rsidRDefault="003403D7" w:rsidP="005034CF">
      <w:pPr>
        <w:pStyle w:val="Sinespaciado"/>
        <w:ind w:left="1416" w:firstLine="708"/>
        <w:jc w:val="both"/>
        <w:rPr>
          <w:rFonts w:ascii="Times New Roman" w:hAnsi="Times New Roman" w:cs="Times New Roman"/>
          <w:sz w:val="16"/>
        </w:rPr>
      </w:pPr>
      <w:r w:rsidRPr="001D6156">
        <w:rPr>
          <w:rFonts w:ascii="Times New Roman" w:hAnsi="Times New Roman" w:cs="Times New Roman"/>
          <w:sz w:val="16"/>
        </w:rPr>
        <w:t>Fuente: Dirección de Análisis y Política fiscal</w:t>
      </w:r>
    </w:p>
    <w:p w:rsidR="003403D7" w:rsidRPr="001D6156" w:rsidRDefault="003403D7" w:rsidP="003403D7">
      <w:pPr>
        <w:pStyle w:val="Sinespaciado"/>
        <w:jc w:val="center"/>
        <w:rPr>
          <w:rFonts w:ascii="Times New Roman" w:hAnsi="Times New Roman" w:cs="Times New Roman"/>
          <w:sz w:val="10"/>
        </w:rPr>
        <w:sectPr w:rsidR="003403D7" w:rsidRPr="001D6156" w:rsidSect="007F29D0">
          <w:type w:val="continuous"/>
          <w:pgSz w:w="12240" w:h="15840"/>
          <w:pgMar w:top="1417" w:right="1701" w:bottom="1417" w:left="1701" w:header="708" w:footer="708" w:gutter="0"/>
          <w:cols w:space="708"/>
          <w:docGrid w:linePitch="360"/>
        </w:sectPr>
      </w:pPr>
    </w:p>
    <w:p w:rsidR="003403D7" w:rsidRPr="001D6156" w:rsidRDefault="003403D7" w:rsidP="003403D7">
      <w:pPr>
        <w:pStyle w:val="Sinespaciado"/>
        <w:rPr>
          <w:rFonts w:ascii="Times New Roman" w:hAnsi="Times New Roman" w:cs="Times New Roman"/>
          <w:b/>
          <w:sz w:val="16"/>
        </w:rPr>
      </w:pPr>
    </w:p>
    <w:p w:rsidR="00363CC7" w:rsidRPr="001D6156" w:rsidRDefault="005C5F82" w:rsidP="00BD010A">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1D6156">
        <w:rPr>
          <w:rFonts w:ascii="Times New Roman" w:hAnsi="Times New Roman" w:cs="Times New Roman"/>
          <w:b/>
        </w:rPr>
        <w:t xml:space="preserve">Se mantiene la </w:t>
      </w:r>
      <w:r w:rsidRPr="001D6156">
        <w:rPr>
          <w:rFonts w:ascii="Times New Roman" w:hAnsi="Times New Roman" w:cs="Times New Roman"/>
          <w:b/>
          <w:lang w:val="es-MX"/>
        </w:rPr>
        <w:t xml:space="preserve">desaceleración </w:t>
      </w:r>
      <w:r w:rsidR="00D102CA" w:rsidRPr="001D6156">
        <w:rPr>
          <w:rFonts w:ascii="Times New Roman" w:hAnsi="Times New Roman" w:cs="Times New Roman"/>
          <w:b/>
          <w:lang w:val="es-MX"/>
        </w:rPr>
        <w:t>e</w:t>
      </w:r>
      <w:r w:rsidRPr="001D6156">
        <w:rPr>
          <w:rFonts w:ascii="Times New Roman" w:hAnsi="Times New Roman" w:cs="Times New Roman"/>
          <w:b/>
          <w:lang w:val="es-MX"/>
        </w:rPr>
        <w:t>n la ejecución de</w:t>
      </w:r>
      <w:r w:rsidR="00D102CA" w:rsidRPr="001D6156">
        <w:rPr>
          <w:rFonts w:ascii="Times New Roman" w:hAnsi="Times New Roman" w:cs="Times New Roman"/>
          <w:b/>
          <w:lang w:val="es-MX"/>
        </w:rPr>
        <w:t xml:space="preserve"> </w:t>
      </w:r>
      <w:r w:rsidR="00820F08" w:rsidRPr="001D6156">
        <w:rPr>
          <w:rFonts w:ascii="Times New Roman" w:hAnsi="Times New Roman" w:cs="Times New Roman"/>
          <w:b/>
          <w:lang w:val="es-MX"/>
        </w:rPr>
        <w:t>gasto</w:t>
      </w:r>
      <w:r w:rsidR="00302AA3" w:rsidRPr="001D6156">
        <w:rPr>
          <w:rFonts w:ascii="Times New Roman" w:hAnsi="Times New Roman" w:cs="Times New Roman"/>
          <w:b/>
          <w:lang w:val="es-MX"/>
        </w:rPr>
        <w:t xml:space="preserve"> </w:t>
      </w:r>
      <w:r w:rsidR="00D102CA" w:rsidRPr="001D6156">
        <w:rPr>
          <w:rFonts w:ascii="Times New Roman" w:hAnsi="Times New Roman" w:cs="Times New Roman"/>
          <w:b/>
          <w:lang w:val="es-MX"/>
        </w:rPr>
        <w:t>p</w:t>
      </w:r>
      <w:r w:rsidRPr="001D6156">
        <w:rPr>
          <w:rFonts w:ascii="Times New Roman" w:hAnsi="Times New Roman" w:cs="Times New Roman"/>
          <w:b/>
          <w:lang w:val="es-MX"/>
        </w:rPr>
        <w:t>úblic</w:t>
      </w:r>
      <w:r w:rsidR="00D102CA" w:rsidRPr="001D6156">
        <w:rPr>
          <w:rFonts w:ascii="Times New Roman" w:hAnsi="Times New Roman" w:cs="Times New Roman"/>
          <w:b/>
          <w:lang w:val="es-MX"/>
        </w:rPr>
        <w:t>o</w:t>
      </w:r>
    </w:p>
    <w:p w:rsidR="00BD010A" w:rsidRPr="001D6156" w:rsidRDefault="00BD010A" w:rsidP="00363CC7">
      <w:pPr>
        <w:pStyle w:val="Sinespaciado"/>
        <w:jc w:val="both"/>
        <w:rPr>
          <w:rFonts w:ascii="Times New Roman" w:hAnsi="Times New Roman" w:cs="Times New Roman"/>
          <w:lang w:val="es-MX"/>
        </w:rPr>
      </w:pPr>
    </w:p>
    <w:p w:rsidR="00BD010A" w:rsidRPr="001D6156" w:rsidRDefault="00BD010A" w:rsidP="00363CC7">
      <w:pPr>
        <w:pStyle w:val="Sinespaciado"/>
        <w:jc w:val="both"/>
        <w:rPr>
          <w:rFonts w:ascii="Times New Roman" w:hAnsi="Times New Roman" w:cs="Times New Roman"/>
          <w:lang w:val="es-MX"/>
        </w:rPr>
        <w:sectPr w:rsidR="00BD010A" w:rsidRPr="001D6156" w:rsidSect="00BD010A">
          <w:type w:val="continuous"/>
          <w:pgSz w:w="12240" w:h="15840"/>
          <w:pgMar w:top="1417" w:right="1701" w:bottom="1417" w:left="1701" w:header="708" w:footer="708" w:gutter="0"/>
          <w:cols w:space="708"/>
          <w:docGrid w:linePitch="360"/>
        </w:sectPr>
      </w:pPr>
    </w:p>
    <w:p w:rsidR="005C5F82" w:rsidRPr="001D6156" w:rsidRDefault="005C5F82" w:rsidP="005C5F82">
      <w:pPr>
        <w:pStyle w:val="Sinespaciado"/>
        <w:jc w:val="both"/>
        <w:rPr>
          <w:rFonts w:ascii="Times New Roman" w:hAnsi="Times New Roman" w:cs="Times New Roman"/>
          <w:lang w:val="es-MX"/>
        </w:rPr>
      </w:pPr>
      <w:r w:rsidRPr="001D6156">
        <w:rPr>
          <w:rFonts w:ascii="Times New Roman" w:hAnsi="Times New Roman" w:cs="Times New Roman"/>
          <w:lang w:val="es-MX"/>
        </w:rPr>
        <w:lastRenderedPageBreak/>
        <w:t xml:space="preserve">Las presiones de gasto por parte de las instituciones de gobierno, incluyendo descentralizadas, fue nuevamente un elemento que influyó en la ejecución de noviembre, aunque es importante mencionar que en este mes, una parte del gasto realizado no fue registrado en la contabilidad estatal por no contar con espacio presupuestario para su regularización, esta situación se dio en el servicio de la deuda, principalmente en intereses, el monto estimado pendiente de registro es de aproximadamente Q 600.0 millones, monto que podría registrarse en diciembre, elevando la ejecución en dicho mes, aunque los pagos fueron oportunamente realizados en noviembre. </w:t>
      </w:r>
    </w:p>
    <w:p w:rsidR="005C5F82" w:rsidRPr="001D6156" w:rsidRDefault="005C5F82" w:rsidP="005C5F82">
      <w:pPr>
        <w:pStyle w:val="Sinespaciado"/>
        <w:jc w:val="both"/>
        <w:rPr>
          <w:rFonts w:ascii="Times New Roman" w:hAnsi="Times New Roman" w:cs="Times New Roman"/>
          <w:lang w:val="es-MX"/>
        </w:rPr>
      </w:pPr>
    </w:p>
    <w:p w:rsidR="005C5F82" w:rsidRPr="001D6156" w:rsidRDefault="005C5F82" w:rsidP="005C5F82">
      <w:pPr>
        <w:pStyle w:val="Sinespaciado"/>
        <w:jc w:val="both"/>
        <w:rPr>
          <w:rFonts w:ascii="Times New Roman" w:hAnsi="Times New Roman" w:cs="Times New Roman"/>
          <w:lang w:val="es-MX"/>
        </w:rPr>
      </w:pPr>
      <w:r w:rsidRPr="001D6156">
        <w:rPr>
          <w:rFonts w:ascii="Times New Roman" w:hAnsi="Times New Roman" w:cs="Times New Roman"/>
          <w:lang w:val="es-MX"/>
        </w:rPr>
        <w:t xml:space="preserve">De esa cuenta, la ejecución de gasto público al 30 de noviembre de 2015, se situó en Q 53,439.9 millones (no incluye amortizaciones de deuda), cuya tasa de variación interanual se ubica  en 1.4%, menor al crecimiento obtenido </w:t>
      </w:r>
      <w:r w:rsidRPr="001D6156">
        <w:rPr>
          <w:rFonts w:ascii="Times New Roman" w:hAnsi="Times New Roman" w:cs="Times New Roman"/>
          <w:lang w:val="es-MX"/>
        </w:rPr>
        <w:lastRenderedPageBreak/>
        <w:t>en igual fecha del año anterior (3.5%) y mucho menor con respecto al pronóstico realizado a inicios de año, que mostraba un crecimiento esperado de 13.1%, este pronóstico era consistente con un panorama más optimista en términos de recaudación tributaria.</w:t>
      </w:r>
    </w:p>
    <w:p w:rsidR="005C5F82" w:rsidRPr="001D6156" w:rsidRDefault="005C5F82" w:rsidP="005C5F82">
      <w:pPr>
        <w:pStyle w:val="Sinespaciado"/>
        <w:jc w:val="both"/>
        <w:rPr>
          <w:rFonts w:ascii="Times New Roman" w:hAnsi="Times New Roman" w:cs="Times New Roman"/>
          <w:lang w:val="es-MX"/>
        </w:rPr>
      </w:pPr>
      <w:r w:rsidRPr="001D6156">
        <w:rPr>
          <w:rFonts w:ascii="Times New Roman" w:hAnsi="Times New Roman" w:cs="Times New Roman"/>
          <w:lang w:val="es-MX"/>
        </w:rPr>
        <w:t xml:space="preserve">  </w:t>
      </w:r>
    </w:p>
    <w:p w:rsidR="005C5F82" w:rsidRPr="001D6156" w:rsidRDefault="005C5F82" w:rsidP="005C5F82">
      <w:pPr>
        <w:pStyle w:val="Sinespaciado"/>
        <w:jc w:val="both"/>
        <w:rPr>
          <w:rFonts w:ascii="Times New Roman" w:hAnsi="Times New Roman" w:cs="Times New Roman"/>
          <w:b/>
          <w:lang w:val="es-MX"/>
        </w:rPr>
      </w:pPr>
      <w:r w:rsidRPr="001D6156">
        <w:rPr>
          <w:rFonts w:ascii="Times New Roman" w:hAnsi="Times New Roman" w:cs="Times New Roman"/>
          <w:b/>
          <w:lang w:val="es-MX"/>
        </w:rPr>
        <w:t>Ritmo de Ejecución de Gasto Público</w:t>
      </w:r>
    </w:p>
    <w:p w:rsidR="005C5F82" w:rsidRPr="001D6156" w:rsidRDefault="005C5F82" w:rsidP="005C5F82">
      <w:pPr>
        <w:pStyle w:val="Sinespaciado"/>
        <w:jc w:val="center"/>
        <w:rPr>
          <w:rFonts w:ascii="Times New Roman" w:hAnsi="Times New Roman" w:cs="Times New Roman"/>
          <w:sz w:val="18"/>
          <w:lang w:val="es-MX"/>
        </w:rPr>
      </w:pPr>
      <w:r w:rsidRPr="001D6156">
        <w:rPr>
          <w:rFonts w:ascii="Times New Roman" w:hAnsi="Times New Roman" w:cs="Times New Roman"/>
          <w:sz w:val="18"/>
          <w:lang w:val="es-MX"/>
        </w:rPr>
        <w:t>Mensual 2015</w:t>
      </w:r>
    </w:p>
    <w:p w:rsidR="005C5F82" w:rsidRPr="001D6156" w:rsidRDefault="005C5F82" w:rsidP="005C5F82">
      <w:pPr>
        <w:pStyle w:val="Sinespaciado"/>
        <w:jc w:val="both"/>
        <w:rPr>
          <w:rFonts w:ascii="Times New Roman" w:hAnsi="Times New Roman" w:cs="Times New Roman"/>
          <w:sz w:val="16"/>
        </w:rPr>
      </w:pPr>
      <w:r w:rsidRPr="001D6156">
        <w:rPr>
          <w:rFonts w:ascii="Times New Roman" w:hAnsi="Times New Roman" w:cs="Times New Roman"/>
          <w:noProof/>
          <w:sz w:val="16"/>
          <w:lang w:eastAsia="es-GT"/>
        </w:rPr>
        <w:drawing>
          <wp:inline distT="0" distB="0" distL="0" distR="0" wp14:anchorId="2D54E4E8" wp14:editId="2CDE52E0">
            <wp:extent cx="2609850" cy="1638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3579" cy="1640641"/>
                    </a:xfrm>
                    <a:prstGeom prst="rect">
                      <a:avLst/>
                    </a:prstGeom>
                    <a:noFill/>
                  </pic:spPr>
                </pic:pic>
              </a:graphicData>
            </a:graphic>
          </wp:inline>
        </w:drawing>
      </w:r>
    </w:p>
    <w:p w:rsidR="005C5F82" w:rsidRPr="001D6156" w:rsidRDefault="005C5F82" w:rsidP="005C5F82">
      <w:pPr>
        <w:pStyle w:val="Sinespaciado"/>
        <w:jc w:val="both"/>
        <w:rPr>
          <w:rFonts w:ascii="Times New Roman" w:hAnsi="Times New Roman" w:cs="Times New Roman"/>
          <w:sz w:val="16"/>
        </w:rPr>
      </w:pPr>
      <w:r w:rsidRPr="001D6156">
        <w:rPr>
          <w:rFonts w:ascii="Times New Roman" w:hAnsi="Times New Roman" w:cs="Times New Roman"/>
          <w:sz w:val="16"/>
        </w:rPr>
        <w:t>Fuente: Dirección de Análisis y Política fiscal</w:t>
      </w:r>
    </w:p>
    <w:p w:rsidR="005C5F82" w:rsidRPr="001D6156" w:rsidRDefault="005C5F82" w:rsidP="005C5F82">
      <w:pPr>
        <w:pStyle w:val="Sinespaciado"/>
        <w:jc w:val="both"/>
        <w:rPr>
          <w:rFonts w:ascii="Times New Roman" w:hAnsi="Times New Roman" w:cs="Times New Roman"/>
        </w:rPr>
      </w:pPr>
    </w:p>
    <w:p w:rsidR="005C5F82" w:rsidRPr="001D6156" w:rsidRDefault="005C5F82" w:rsidP="005C5F82">
      <w:pPr>
        <w:pStyle w:val="Sinespaciado"/>
        <w:jc w:val="both"/>
        <w:rPr>
          <w:rFonts w:ascii="Times New Roman" w:hAnsi="Times New Roman" w:cs="Times New Roman"/>
          <w:lang w:val="es-MX"/>
        </w:rPr>
      </w:pPr>
      <w:r w:rsidRPr="001D6156">
        <w:rPr>
          <w:rFonts w:ascii="Times New Roman" w:hAnsi="Times New Roman" w:cs="Times New Roman"/>
          <w:lang w:val="es-MX"/>
        </w:rPr>
        <w:lastRenderedPageBreak/>
        <w:t>A pesar de las presiones de gasto y los problemas con la regularización en el servicio de la deuda por la falta de presupuesto, el ritmo de ejecución de gasto nuevamente se desaceleró, lo cual es resultado de la política contención que es apoyada por un prudente manejo en la aprobación de la cuota financiera.</w:t>
      </w:r>
    </w:p>
    <w:p w:rsidR="005C5F82" w:rsidRPr="001D6156" w:rsidRDefault="005C5F82" w:rsidP="005C5F82">
      <w:pPr>
        <w:pStyle w:val="Sinespaciado"/>
        <w:jc w:val="both"/>
        <w:rPr>
          <w:rFonts w:ascii="Times New Roman" w:hAnsi="Times New Roman" w:cs="Times New Roman"/>
          <w:lang w:val="es-MX"/>
        </w:rPr>
      </w:pPr>
    </w:p>
    <w:p w:rsidR="005C5F82" w:rsidRPr="001D6156" w:rsidRDefault="005C5F82" w:rsidP="005C5F82">
      <w:pPr>
        <w:pStyle w:val="Sinespaciado"/>
        <w:jc w:val="both"/>
        <w:rPr>
          <w:rFonts w:ascii="Times New Roman" w:hAnsi="Times New Roman" w:cs="Times New Roman"/>
          <w:lang w:val="es-MX"/>
        </w:rPr>
      </w:pPr>
      <w:r w:rsidRPr="001D6156">
        <w:rPr>
          <w:rFonts w:ascii="Times New Roman" w:hAnsi="Times New Roman" w:cs="Times New Roman"/>
          <w:lang w:val="es-MX"/>
        </w:rPr>
        <w:t xml:space="preserve">Como se pudo observar, se aprueban 2 cuotas en el mes, una para aprobar algunos aportes y gastos rígidos y otra casi al final de mes para aprobar nómina, aportes y algunos servicios básicos e insumos críticos.  Esta modalidad mantiene controlada  la ejecución, aunque aún prevalece un alto nivel de compromisos pendientes de pago.   </w:t>
      </w:r>
    </w:p>
    <w:p w:rsidR="005C5F82" w:rsidRPr="001D6156" w:rsidRDefault="005C5F82" w:rsidP="005C5F82">
      <w:pPr>
        <w:pStyle w:val="Sinespaciado"/>
        <w:jc w:val="both"/>
        <w:rPr>
          <w:rFonts w:ascii="Times New Roman" w:hAnsi="Times New Roman" w:cs="Times New Roman"/>
          <w:lang w:val="es-MX"/>
        </w:rPr>
      </w:pPr>
    </w:p>
    <w:p w:rsidR="005C5F82" w:rsidRPr="001D6156" w:rsidRDefault="005C5F82" w:rsidP="005C5F82">
      <w:pPr>
        <w:pStyle w:val="Sinespaciado"/>
        <w:jc w:val="both"/>
        <w:rPr>
          <w:rFonts w:ascii="Times New Roman" w:hAnsi="Times New Roman" w:cs="Times New Roman"/>
        </w:rPr>
      </w:pPr>
      <w:r w:rsidRPr="001D6156">
        <w:rPr>
          <w:rFonts w:ascii="Times New Roman" w:hAnsi="Times New Roman" w:cs="Times New Roman"/>
        </w:rPr>
        <w:t xml:space="preserve">En noviembre se aprobó una cuota financiera de Q 4,513.5 millones, de los cuales Q 4,046.1 millones, corresponden a fuentes de financiamiento corrientes.  El grado de  ejecución de la cuota total, al final del mes, fue de 93.3%. </w:t>
      </w:r>
    </w:p>
    <w:p w:rsidR="005C5F82" w:rsidRPr="001D6156" w:rsidRDefault="005C5F82" w:rsidP="005C5F82">
      <w:pPr>
        <w:pStyle w:val="Sinespaciado"/>
        <w:jc w:val="both"/>
        <w:rPr>
          <w:rFonts w:ascii="Times New Roman" w:hAnsi="Times New Roman" w:cs="Times New Roman"/>
          <w:lang w:val="es-MX"/>
        </w:rPr>
      </w:pPr>
    </w:p>
    <w:p w:rsidR="005C5F82" w:rsidRPr="001D6156" w:rsidRDefault="005C5F82" w:rsidP="005C5F82">
      <w:pPr>
        <w:pStyle w:val="Sinespaciado"/>
        <w:jc w:val="center"/>
        <w:rPr>
          <w:rFonts w:ascii="Times New Roman" w:hAnsi="Times New Roman" w:cs="Times New Roman"/>
          <w:b/>
          <w:lang w:val="es-MX"/>
        </w:rPr>
      </w:pPr>
      <w:r w:rsidRPr="001D6156">
        <w:rPr>
          <w:rFonts w:ascii="Times New Roman" w:hAnsi="Times New Roman" w:cs="Times New Roman"/>
          <w:b/>
          <w:lang w:val="es-MX"/>
        </w:rPr>
        <w:t xml:space="preserve">Cuota financiera </w:t>
      </w:r>
    </w:p>
    <w:p w:rsidR="005C5F82" w:rsidRPr="001D6156" w:rsidRDefault="005C5F82" w:rsidP="005C5F82">
      <w:pPr>
        <w:pStyle w:val="Sinespaciado"/>
        <w:jc w:val="center"/>
        <w:rPr>
          <w:rFonts w:ascii="Times New Roman" w:hAnsi="Times New Roman" w:cs="Times New Roman"/>
          <w:sz w:val="18"/>
          <w:lang w:val="es-MX"/>
        </w:rPr>
      </w:pPr>
      <w:r w:rsidRPr="001D6156">
        <w:rPr>
          <w:rFonts w:ascii="Times New Roman" w:hAnsi="Times New Roman" w:cs="Times New Roman"/>
          <w:sz w:val="18"/>
          <w:lang w:val="es-MX"/>
        </w:rPr>
        <w:t>Noviembre 2015</w:t>
      </w:r>
    </w:p>
    <w:p w:rsidR="005C5F82" w:rsidRPr="001D6156" w:rsidRDefault="005C5F82" w:rsidP="005C5F82">
      <w:pPr>
        <w:pStyle w:val="Sinespaciado"/>
        <w:jc w:val="both"/>
        <w:rPr>
          <w:rFonts w:ascii="Times New Roman" w:hAnsi="Times New Roman" w:cs="Times New Roman"/>
          <w:lang w:val="es-MX"/>
        </w:rPr>
      </w:pPr>
      <w:r w:rsidRPr="001D6156">
        <w:rPr>
          <w:rFonts w:ascii="Times New Roman" w:hAnsi="Times New Roman" w:cs="Times New Roman"/>
          <w:noProof/>
          <w:lang w:eastAsia="es-GT"/>
        </w:rPr>
        <w:drawing>
          <wp:inline distT="0" distB="0" distL="0" distR="0" wp14:anchorId="39F76D8E" wp14:editId="6432B40E">
            <wp:extent cx="2513490" cy="1603169"/>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8015" cy="1612433"/>
                    </a:xfrm>
                    <a:prstGeom prst="rect">
                      <a:avLst/>
                    </a:prstGeom>
                    <a:noFill/>
                  </pic:spPr>
                </pic:pic>
              </a:graphicData>
            </a:graphic>
          </wp:inline>
        </w:drawing>
      </w:r>
    </w:p>
    <w:p w:rsidR="005C5F82" w:rsidRPr="001D6156" w:rsidRDefault="005C5F82" w:rsidP="005C5F82">
      <w:pPr>
        <w:pStyle w:val="Sinespaciado"/>
        <w:jc w:val="both"/>
        <w:rPr>
          <w:rFonts w:ascii="Times New Roman" w:hAnsi="Times New Roman" w:cs="Times New Roman"/>
          <w:sz w:val="16"/>
        </w:rPr>
      </w:pPr>
      <w:r w:rsidRPr="001D6156">
        <w:rPr>
          <w:rFonts w:ascii="Times New Roman" w:hAnsi="Times New Roman" w:cs="Times New Roman"/>
          <w:sz w:val="16"/>
        </w:rPr>
        <w:t>Fuente: Dirección de Análisis y Política fiscal</w:t>
      </w:r>
    </w:p>
    <w:p w:rsidR="005C5F82" w:rsidRPr="001D6156" w:rsidRDefault="005C5F82" w:rsidP="005C5F82">
      <w:pPr>
        <w:pStyle w:val="Sinespaciado"/>
        <w:jc w:val="both"/>
        <w:rPr>
          <w:rFonts w:ascii="Times New Roman" w:hAnsi="Times New Roman" w:cs="Times New Roman"/>
        </w:rPr>
      </w:pPr>
    </w:p>
    <w:p w:rsidR="005C5F82" w:rsidRPr="001D6156" w:rsidRDefault="005C5F82" w:rsidP="005C5F82">
      <w:pPr>
        <w:pStyle w:val="Sinespaciado"/>
        <w:jc w:val="both"/>
        <w:rPr>
          <w:rFonts w:ascii="Times New Roman" w:hAnsi="Times New Roman" w:cs="Times New Roman"/>
          <w:lang w:val="es-MX"/>
        </w:rPr>
      </w:pPr>
      <w:r w:rsidRPr="001D6156">
        <w:rPr>
          <w:rFonts w:ascii="Times New Roman" w:hAnsi="Times New Roman" w:cs="Times New Roman"/>
          <w:lang w:val="es-MX"/>
        </w:rPr>
        <w:t xml:space="preserve">En lo que va del año, el comportamiento observado en el gasto, se debe en buena medida a la fuerte contención en rubros importantes como bienes y servicios y la inversión real directa, cuya variación interanual es negativa (contracción) de 10.5% y 50.8% respectivamente.  Por su parte, los rubros con mayor dinamismo de gasto son las transferencias corrientes institucionales, los intereses de la deuda pública, las remuneraciones, el pago de pensiones y los </w:t>
      </w:r>
      <w:r w:rsidRPr="001D6156">
        <w:rPr>
          <w:rFonts w:ascii="Times New Roman" w:hAnsi="Times New Roman" w:cs="Times New Roman"/>
          <w:lang w:val="es-MX"/>
        </w:rPr>
        <w:lastRenderedPageBreak/>
        <w:t xml:space="preserve">aportes de capital principalmente a las Municipalidades.   </w:t>
      </w:r>
    </w:p>
    <w:p w:rsidR="005C5F82" w:rsidRPr="001D6156" w:rsidRDefault="005C5F82" w:rsidP="005C5F82">
      <w:pPr>
        <w:pStyle w:val="Sinespaciado"/>
        <w:jc w:val="center"/>
        <w:rPr>
          <w:rFonts w:ascii="Times New Roman" w:hAnsi="Times New Roman" w:cs="Times New Roman"/>
          <w:b/>
          <w:lang w:val="es-MX"/>
        </w:rPr>
      </w:pPr>
    </w:p>
    <w:p w:rsidR="005C5F82" w:rsidRPr="001D6156" w:rsidRDefault="005C5F82" w:rsidP="005C5F82">
      <w:pPr>
        <w:pStyle w:val="Sinespaciado"/>
        <w:jc w:val="center"/>
        <w:rPr>
          <w:rFonts w:ascii="Times New Roman" w:hAnsi="Times New Roman" w:cs="Times New Roman"/>
          <w:b/>
          <w:lang w:val="es-MX"/>
        </w:rPr>
      </w:pPr>
      <w:r w:rsidRPr="001D6156">
        <w:rPr>
          <w:rFonts w:ascii="Times New Roman" w:hAnsi="Times New Roman" w:cs="Times New Roman"/>
          <w:b/>
          <w:lang w:val="es-MX"/>
        </w:rPr>
        <w:t>Principales Rubros de Gasto</w:t>
      </w:r>
    </w:p>
    <w:p w:rsidR="005C5F82" w:rsidRPr="001D6156" w:rsidRDefault="005C5F82" w:rsidP="005C5F82">
      <w:pPr>
        <w:pStyle w:val="Sinespaciado"/>
        <w:jc w:val="center"/>
        <w:rPr>
          <w:rFonts w:ascii="Times New Roman" w:hAnsi="Times New Roman" w:cs="Times New Roman"/>
          <w:sz w:val="18"/>
          <w:lang w:val="es-MX"/>
        </w:rPr>
      </w:pPr>
      <w:r w:rsidRPr="001D6156">
        <w:rPr>
          <w:rFonts w:ascii="Times New Roman" w:hAnsi="Times New Roman" w:cs="Times New Roman"/>
          <w:sz w:val="18"/>
          <w:lang w:val="es-MX"/>
        </w:rPr>
        <w:t>Variación Interanual 2014-2015</w:t>
      </w:r>
    </w:p>
    <w:p w:rsidR="005C5F82" w:rsidRPr="001D6156" w:rsidRDefault="005C5F82" w:rsidP="005C5F82">
      <w:pPr>
        <w:pStyle w:val="Sinespaciado"/>
        <w:jc w:val="both"/>
        <w:rPr>
          <w:rFonts w:ascii="Times New Roman" w:hAnsi="Times New Roman" w:cs="Times New Roman"/>
          <w:sz w:val="16"/>
        </w:rPr>
      </w:pPr>
      <w:r w:rsidRPr="001D6156">
        <w:rPr>
          <w:noProof/>
          <w:lang w:eastAsia="es-GT"/>
        </w:rPr>
        <w:drawing>
          <wp:inline distT="0" distB="0" distL="0" distR="0" wp14:anchorId="4D1C84FE" wp14:editId="5A26DB7D">
            <wp:extent cx="2410690" cy="1812688"/>
            <wp:effectExtent l="0" t="0" r="889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7264" cy="1817632"/>
                    </a:xfrm>
                    <a:prstGeom prst="rect">
                      <a:avLst/>
                    </a:prstGeom>
                    <a:noFill/>
                    <a:ln>
                      <a:noFill/>
                    </a:ln>
                  </pic:spPr>
                </pic:pic>
              </a:graphicData>
            </a:graphic>
          </wp:inline>
        </w:drawing>
      </w:r>
    </w:p>
    <w:p w:rsidR="005C5F82" w:rsidRPr="001D6156" w:rsidRDefault="005C5F82" w:rsidP="005C5F82">
      <w:pPr>
        <w:pStyle w:val="Sinespaciado"/>
        <w:jc w:val="both"/>
        <w:rPr>
          <w:rFonts w:ascii="Times New Roman" w:hAnsi="Times New Roman" w:cs="Times New Roman"/>
          <w:sz w:val="16"/>
        </w:rPr>
      </w:pPr>
      <w:r w:rsidRPr="001D6156">
        <w:rPr>
          <w:rFonts w:ascii="Times New Roman" w:hAnsi="Times New Roman" w:cs="Times New Roman"/>
          <w:sz w:val="16"/>
        </w:rPr>
        <w:t>Fuente: Dirección de Análisis y Política fiscal</w:t>
      </w:r>
    </w:p>
    <w:p w:rsidR="005C5F82" w:rsidRPr="001D6156" w:rsidRDefault="005C5F82" w:rsidP="005C5F82">
      <w:pPr>
        <w:pStyle w:val="Sinespaciado"/>
        <w:jc w:val="both"/>
        <w:rPr>
          <w:rFonts w:ascii="Times New Roman" w:hAnsi="Times New Roman" w:cs="Times New Roman"/>
          <w:lang w:val="es-MX"/>
        </w:rPr>
      </w:pPr>
    </w:p>
    <w:p w:rsidR="005C5F82" w:rsidRPr="001D6156" w:rsidRDefault="005C5F82" w:rsidP="005C5F82">
      <w:pPr>
        <w:pStyle w:val="Sinespaciado"/>
        <w:jc w:val="both"/>
        <w:rPr>
          <w:rFonts w:ascii="Times New Roman" w:hAnsi="Times New Roman" w:cs="Times New Roman"/>
        </w:rPr>
      </w:pPr>
      <w:r w:rsidRPr="001D6156">
        <w:rPr>
          <w:rFonts w:ascii="Times New Roman" w:hAnsi="Times New Roman" w:cs="Times New Roman"/>
          <w:lang w:val="es-MX"/>
        </w:rPr>
        <w:t xml:space="preserve">Es importante mencionar que dentro de la contención de gasto, sigue prevaleciendo una política de austeridad implícita que se observa en la contracción en algunos renglones considerados como superfluos, </w:t>
      </w:r>
      <w:r w:rsidRPr="001D6156">
        <w:rPr>
          <w:rFonts w:ascii="Times New Roman" w:hAnsi="Times New Roman" w:cs="Times New Roman"/>
        </w:rPr>
        <w:t xml:space="preserve">principalmente en rubros sensibles como: viáticos, equipo de transporte, combustible, divulgación e información, entre otros. </w:t>
      </w:r>
    </w:p>
    <w:p w:rsidR="005C5F82" w:rsidRPr="001D6156" w:rsidRDefault="005C5F82" w:rsidP="005C5F82">
      <w:pPr>
        <w:pStyle w:val="Sinespaciado"/>
        <w:jc w:val="both"/>
        <w:rPr>
          <w:rFonts w:ascii="Times New Roman" w:hAnsi="Times New Roman" w:cs="Times New Roman"/>
        </w:rPr>
      </w:pPr>
    </w:p>
    <w:p w:rsidR="005C5F82" w:rsidRPr="001D6156" w:rsidRDefault="005C5F82" w:rsidP="005C5F82">
      <w:pPr>
        <w:pStyle w:val="Sinespaciado"/>
        <w:jc w:val="both"/>
        <w:rPr>
          <w:rFonts w:ascii="Times New Roman" w:hAnsi="Times New Roman" w:cs="Times New Roman"/>
        </w:rPr>
      </w:pPr>
      <w:r w:rsidRPr="001D6156">
        <w:rPr>
          <w:rFonts w:ascii="Times New Roman" w:hAnsi="Times New Roman" w:cs="Times New Roman"/>
        </w:rPr>
        <w:t xml:space="preserve">Es importante indicar que los rubros mencionados no incluyen, en algunos casos, la ejecución de ministerios como gobernación, salud, y educación ya que por su naturaleza algunos de estos rubros son parte de los insumos críticos de estas entidades, (alimentación, combustibles, transporte de personas). </w:t>
      </w:r>
    </w:p>
    <w:p w:rsidR="005C5F82" w:rsidRPr="001D6156" w:rsidRDefault="005C5F82" w:rsidP="005C5F82">
      <w:pPr>
        <w:pStyle w:val="Sinespaciado"/>
        <w:jc w:val="both"/>
        <w:rPr>
          <w:rFonts w:ascii="Times New Roman" w:hAnsi="Times New Roman" w:cs="Times New Roman"/>
        </w:rPr>
      </w:pPr>
    </w:p>
    <w:p w:rsidR="005C5F82" w:rsidRPr="001D6156" w:rsidRDefault="005C5F82" w:rsidP="005C5F82">
      <w:pPr>
        <w:pStyle w:val="Sinespaciado"/>
        <w:jc w:val="both"/>
        <w:rPr>
          <w:rFonts w:ascii="Times New Roman" w:hAnsi="Times New Roman" w:cs="Times New Roman"/>
        </w:rPr>
      </w:pPr>
      <w:r w:rsidRPr="001D6156">
        <w:rPr>
          <w:rFonts w:ascii="Times New Roman" w:hAnsi="Times New Roman" w:cs="Times New Roman"/>
        </w:rPr>
        <w:t>El nivel de gasto superfluo es de Q 574 millones, con una contracción en lo que va de 2015, de 31.4%, dicho  nivel es el más bajo en más de 5 años.</w:t>
      </w:r>
    </w:p>
    <w:p w:rsidR="005C5F82" w:rsidRPr="001D6156" w:rsidRDefault="005C5F82" w:rsidP="005C5F82">
      <w:pPr>
        <w:pStyle w:val="Sinespaciado"/>
        <w:jc w:val="center"/>
        <w:rPr>
          <w:rFonts w:ascii="Times New Roman" w:hAnsi="Times New Roman" w:cs="Times New Roman"/>
          <w:lang w:val="es-MX"/>
        </w:rPr>
      </w:pPr>
    </w:p>
    <w:p w:rsidR="005C5F82" w:rsidRPr="001D6156" w:rsidRDefault="005C5F82" w:rsidP="005C5F82">
      <w:pPr>
        <w:pStyle w:val="Sinespaciado"/>
        <w:jc w:val="center"/>
        <w:rPr>
          <w:rFonts w:ascii="Times New Roman" w:hAnsi="Times New Roman" w:cs="Times New Roman"/>
          <w:b/>
        </w:rPr>
      </w:pPr>
      <w:r w:rsidRPr="001D6156">
        <w:rPr>
          <w:rFonts w:ascii="Times New Roman" w:hAnsi="Times New Roman" w:cs="Times New Roman"/>
          <w:lang w:val="es-MX"/>
        </w:rPr>
        <w:t xml:space="preserve">  </w:t>
      </w:r>
      <w:r w:rsidRPr="001D6156">
        <w:rPr>
          <w:rFonts w:ascii="Times New Roman" w:hAnsi="Times New Roman" w:cs="Times New Roman"/>
          <w:b/>
        </w:rPr>
        <w:t>Gasto Superfluo</w:t>
      </w:r>
    </w:p>
    <w:p w:rsidR="005C5F82" w:rsidRPr="001D6156" w:rsidRDefault="005C5F82" w:rsidP="005C5F82">
      <w:pPr>
        <w:pStyle w:val="Sinespaciado"/>
        <w:jc w:val="center"/>
        <w:rPr>
          <w:rFonts w:ascii="Times New Roman" w:hAnsi="Times New Roman" w:cs="Times New Roman"/>
          <w:sz w:val="14"/>
        </w:rPr>
      </w:pPr>
      <w:r w:rsidRPr="001D6156">
        <w:rPr>
          <w:rFonts w:ascii="Times New Roman" w:hAnsi="Times New Roman" w:cs="Times New Roman"/>
          <w:sz w:val="14"/>
        </w:rPr>
        <w:t>Acumulado a noviembre de cada año       Aumento por Rubro en 2015</w:t>
      </w:r>
    </w:p>
    <w:p w:rsidR="005C5F82" w:rsidRPr="001D6156" w:rsidRDefault="005C5F82" w:rsidP="005C5F82">
      <w:pPr>
        <w:pStyle w:val="Sinespaciado"/>
        <w:jc w:val="both"/>
        <w:rPr>
          <w:rFonts w:ascii="Times New Roman" w:hAnsi="Times New Roman" w:cs="Times New Roman"/>
        </w:rPr>
      </w:pPr>
      <w:r w:rsidRPr="001D6156">
        <w:rPr>
          <w:noProof/>
          <w:lang w:eastAsia="es-GT"/>
        </w:rPr>
        <w:lastRenderedPageBreak/>
        <w:drawing>
          <wp:inline distT="0" distB="0" distL="0" distR="0" wp14:anchorId="7AAAF19A" wp14:editId="0B038DD2">
            <wp:extent cx="2574104" cy="150846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1275" cy="1512671"/>
                    </a:xfrm>
                    <a:prstGeom prst="rect">
                      <a:avLst/>
                    </a:prstGeom>
                    <a:noFill/>
                    <a:ln>
                      <a:noFill/>
                    </a:ln>
                  </pic:spPr>
                </pic:pic>
              </a:graphicData>
            </a:graphic>
          </wp:inline>
        </w:drawing>
      </w:r>
    </w:p>
    <w:p w:rsidR="005C5F82" w:rsidRPr="001D6156" w:rsidRDefault="005C5F82" w:rsidP="005C5F82">
      <w:pPr>
        <w:pStyle w:val="Sinespaciado"/>
        <w:jc w:val="both"/>
        <w:rPr>
          <w:rFonts w:ascii="Times New Roman" w:hAnsi="Times New Roman" w:cs="Times New Roman"/>
          <w:sz w:val="16"/>
        </w:rPr>
      </w:pPr>
      <w:r w:rsidRPr="001D6156">
        <w:rPr>
          <w:rFonts w:ascii="Times New Roman" w:hAnsi="Times New Roman" w:cs="Times New Roman"/>
          <w:sz w:val="16"/>
        </w:rPr>
        <w:t>Fuente: Dirección de Análisis y Política fiscal</w:t>
      </w:r>
    </w:p>
    <w:p w:rsidR="005C5F82" w:rsidRPr="001D6156" w:rsidRDefault="005C5F82" w:rsidP="005C5F82">
      <w:pPr>
        <w:pStyle w:val="Sinespaciado"/>
        <w:rPr>
          <w:rFonts w:ascii="Times New Roman" w:hAnsi="Times New Roman" w:cs="Times New Roman"/>
          <w:b/>
          <w:lang w:val="es-MX"/>
        </w:rPr>
      </w:pPr>
    </w:p>
    <w:p w:rsidR="005C5F82" w:rsidRPr="001D6156" w:rsidRDefault="005C5F82" w:rsidP="005C5F82">
      <w:pPr>
        <w:pStyle w:val="Sinespaciado"/>
        <w:jc w:val="both"/>
        <w:rPr>
          <w:rFonts w:ascii="Times New Roman" w:hAnsi="Times New Roman" w:cs="Times New Roman"/>
          <w:lang w:val="es-MX"/>
        </w:rPr>
      </w:pPr>
      <w:r w:rsidRPr="001D6156">
        <w:rPr>
          <w:rFonts w:ascii="Times New Roman" w:hAnsi="Times New Roman" w:cs="Times New Roman"/>
          <w:lang w:val="es-MX"/>
        </w:rPr>
        <w:t>La ejecución presupuestaria a nivel institucional, refleja también la contención de gasto público, ya que el porcentaje de ejecución del presupuesto se ubica en 79.0%, nivel que está por debajo de lo obtenido en igual fecha de  2014 (80.2%) y menor al promedio del periodo 2008-2014 (81.9%).  La mayor parte de las entidades muestran una contracción en su ejecución que en cierta medida se refleja en el grado de ejecución observada como es el caso de comunicaciones, desarrollo, cultura, agricultura, economía; cuyos porcentajes de ejecución se ubican menores al 70%.  Por su parte, las entidades que muestran mayor dinamismo y que su ejecución se ubica por arriba del promedio institucional (79%) se encuentran: el servicio de la deuda, educación, trabajo, la PGN, defensa y las obligaciones del Estado.</w:t>
      </w:r>
    </w:p>
    <w:p w:rsidR="005C5F82" w:rsidRPr="001D6156" w:rsidRDefault="005C5F82" w:rsidP="005C5F82">
      <w:pPr>
        <w:pStyle w:val="Sinespaciado"/>
        <w:jc w:val="both"/>
        <w:rPr>
          <w:rFonts w:ascii="Times New Roman" w:hAnsi="Times New Roman" w:cs="Times New Roman"/>
          <w:lang w:val="es-MX"/>
        </w:rPr>
      </w:pPr>
      <w:r w:rsidRPr="001D6156">
        <w:rPr>
          <w:rFonts w:ascii="Times New Roman" w:hAnsi="Times New Roman" w:cs="Times New Roman"/>
          <w:lang w:val="es-MX"/>
        </w:rPr>
        <w:t xml:space="preserve">  </w:t>
      </w:r>
    </w:p>
    <w:p w:rsidR="005C5F82" w:rsidRPr="001D6156" w:rsidRDefault="005C5F82" w:rsidP="005C5F82">
      <w:pPr>
        <w:pStyle w:val="Sinespaciado"/>
        <w:jc w:val="center"/>
        <w:rPr>
          <w:rFonts w:ascii="Times New Roman" w:hAnsi="Times New Roman" w:cs="Times New Roman"/>
          <w:b/>
          <w:lang w:val="es-MX"/>
        </w:rPr>
      </w:pPr>
      <w:r w:rsidRPr="001D6156">
        <w:rPr>
          <w:rFonts w:ascii="Times New Roman" w:hAnsi="Times New Roman" w:cs="Times New Roman"/>
          <w:b/>
          <w:lang w:val="es-MX"/>
        </w:rPr>
        <w:t>Grado de Ejecución Presupuestaria</w:t>
      </w:r>
    </w:p>
    <w:p w:rsidR="005C5F82" w:rsidRPr="001D6156" w:rsidRDefault="005C5F82" w:rsidP="005C5F82">
      <w:pPr>
        <w:pStyle w:val="Sinespaciado"/>
        <w:jc w:val="center"/>
        <w:rPr>
          <w:rFonts w:ascii="Times New Roman" w:hAnsi="Times New Roman" w:cs="Times New Roman"/>
          <w:sz w:val="18"/>
          <w:lang w:val="es-MX"/>
        </w:rPr>
      </w:pPr>
      <w:r w:rsidRPr="001D6156">
        <w:rPr>
          <w:rFonts w:ascii="Times New Roman" w:hAnsi="Times New Roman" w:cs="Times New Roman"/>
          <w:sz w:val="18"/>
          <w:lang w:val="es-MX"/>
        </w:rPr>
        <w:t>A Noviembre de 2015</w:t>
      </w:r>
    </w:p>
    <w:p w:rsidR="005C5F82" w:rsidRPr="001D6156" w:rsidRDefault="005C5F82" w:rsidP="005C5F82">
      <w:pPr>
        <w:pStyle w:val="Sinespaciado"/>
        <w:jc w:val="center"/>
        <w:rPr>
          <w:rFonts w:ascii="Times New Roman" w:hAnsi="Times New Roman" w:cs="Times New Roman"/>
          <w:sz w:val="18"/>
          <w:lang w:val="es-MX"/>
        </w:rPr>
      </w:pPr>
      <w:r w:rsidRPr="001D6156">
        <w:rPr>
          <w:rFonts w:ascii="Times New Roman" w:hAnsi="Times New Roman" w:cs="Times New Roman"/>
          <w:sz w:val="18"/>
          <w:lang w:val="es-MX"/>
        </w:rPr>
        <w:t>Porcentajes</w:t>
      </w:r>
    </w:p>
    <w:p w:rsidR="005C5F82" w:rsidRDefault="005C5F82" w:rsidP="005C5F82">
      <w:pPr>
        <w:pStyle w:val="Sinespaciado"/>
        <w:jc w:val="both"/>
        <w:rPr>
          <w:rFonts w:ascii="Times New Roman" w:hAnsi="Times New Roman" w:cs="Times New Roman"/>
        </w:rPr>
      </w:pPr>
      <w:r>
        <w:rPr>
          <w:rFonts w:ascii="Times New Roman" w:hAnsi="Times New Roman" w:cs="Times New Roman"/>
          <w:noProof/>
          <w:lang w:eastAsia="es-GT"/>
        </w:rPr>
        <w:lastRenderedPageBreak/>
        <w:drawing>
          <wp:inline distT="0" distB="0" distL="0" distR="0" wp14:anchorId="457931A0" wp14:editId="5571A456">
            <wp:extent cx="2676525" cy="254317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87086" cy="2553210"/>
                    </a:xfrm>
                    <a:prstGeom prst="rect">
                      <a:avLst/>
                    </a:prstGeom>
                    <a:noFill/>
                  </pic:spPr>
                </pic:pic>
              </a:graphicData>
            </a:graphic>
          </wp:inline>
        </w:drawing>
      </w:r>
    </w:p>
    <w:p w:rsidR="005C5F82" w:rsidRDefault="005C5F82" w:rsidP="005C5F82">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5C5F82" w:rsidRDefault="005C5F82" w:rsidP="005C5F82">
      <w:pPr>
        <w:pStyle w:val="Sinespaciado"/>
        <w:jc w:val="both"/>
        <w:rPr>
          <w:rFonts w:ascii="Times New Roman" w:hAnsi="Times New Roman" w:cs="Times New Roman"/>
        </w:rPr>
      </w:pPr>
    </w:p>
    <w:p w:rsidR="00302AA3" w:rsidRPr="00633167" w:rsidRDefault="005C5F82" w:rsidP="005C5F82">
      <w:pPr>
        <w:pStyle w:val="Sinespaciado"/>
        <w:jc w:val="both"/>
        <w:rPr>
          <w:rFonts w:ascii="Times New Roman" w:hAnsi="Times New Roman" w:cs="Times New Roman"/>
          <w:color w:val="FF0000"/>
        </w:rPr>
      </w:pPr>
      <w:r>
        <w:rPr>
          <w:rFonts w:ascii="Times New Roman" w:hAnsi="Times New Roman" w:cs="Times New Roman"/>
        </w:rPr>
        <w:t>En términos de caja, noviembre fue un mes de alto nivel de ingresos debido a los vencimientos de impuestos como ISR e ISO cuyo vencimiento fue el último día hábil de octubre pero los recursos fueron captados en el Fondo Común hasta el 8 de noviembre.  Esta situación coadyuvó a reducir algunas obligaciones pendientes de pago.  Sin embargo, se tenía previsto que en noviembre se recibirían, el desembolso del préstamo de apoyo presupuestario del BID por US$ 125 millones y el complemento de la colocación de Bonos del Tesoro por Q 361.4 millones, situación que no ocurrió y que se espera se geste en diciembre.  Con estas operaciones prácticamente se estaría completando el financiamiento del déficit fiscal para 2015.</w:t>
      </w:r>
      <w:r w:rsidR="00D102CA" w:rsidRPr="00633167">
        <w:rPr>
          <w:rFonts w:ascii="Times New Roman" w:hAnsi="Times New Roman" w:cs="Times New Roman"/>
          <w:color w:val="FF0000"/>
        </w:rPr>
        <w:t xml:space="preserve"> </w:t>
      </w:r>
    </w:p>
    <w:p w:rsidR="00DD0E60" w:rsidRPr="00633167" w:rsidRDefault="00DD0E60" w:rsidP="00C2681C">
      <w:pPr>
        <w:pStyle w:val="Sinespaciado"/>
        <w:jc w:val="both"/>
        <w:rPr>
          <w:rFonts w:ascii="Times New Roman" w:hAnsi="Times New Roman" w:cs="Times New Roman"/>
          <w:color w:val="FF0000"/>
          <w:lang w:val="es-MX"/>
        </w:rPr>
      </w:pPr>
    </w:p>
    <w:p w:rsidR="00C43C45" w:rsidRPr="00633167" w:rsidRDefault="00C43C45" w:rsidP="00DD0E60">
      <w:pPr>
        <w:pStyle w:val="Sinespaciado"/>
        <w:rPr>
          <w:rFonts w:ascii="Times New Roman" w:hAnsi="Times New Roman" w:cs="Times New Roman"/>
          <w:color w:val="FF0000"/>
        </w:rPr>
        <w:sectPr w:rsidR="00C43C45" w:rsidRPr="00633167" w:rsidSect="00DD0E60">
          <w:type w:val="continuous"/>
          <w:pgSz w:w="12240" w:h="15840"/>
          <w:pgMar w:top="1627" w:right="1701" w:bottom="1417" w:left="1701" w:header="708" w:footer="708" w:gutter="0"/>
          <w:cols w:num="2" w:space="708"/>
          <w:docGrid w:linePitch="360"/>
        </w:sectPr>
      </w:pPr>
    </w:p>
    <w:p w:rsidR="00DD0E60" w:rsidRPr="002D334C" w:rsidRDefault="00DD0E60" w:rsidP="00DD0E60">
      <w:pPr>
        <w:pStyle w:val="Sinespaciado"/>
        <w:rPr>
          <w:rFonts w:ascii="Times New Roman" w:hAnsi="Times New Roman" w:cs="Times New Roman"/>
          <w:b/>
          <w:sz w:val="20"/>
        </w:rPr>
      </w:pPr>
    </w:p>
    <w:p w:rsidR="0013777B" w:rsidRPr="002D334C" w:rsidRDefault="00C77295" w:rsidP="00FD23D8">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jc w:val="center"/>
        <w:rPr>
          <w:rFonts w:ascii="Times New Roman" w:hAnsi="Times New Roman" w:cs="Times New Roman"/>
          <w:b/>
          <w:lang w:val="es-MX"/>
        </w:rPr>
      </w:pPr>
      <w:r w:rsidRPr="002D334C">
        <w:rPr>
          <w:rFonts w:ascii="Times New Roman" w:hAnsi="Times New Roman" w:cs="Times New Roman"/>
          <w:b/>
          <w:lang w:val="es-MX"/>
        </w:rPr>
        <w:t xml:space="preserve">Escenarios económicos nacional e internacional </w:t>
      </w:r>
    </w:p>
    <w:p w:rsidR="00C77295" w:rsidRPr="002D334C" w:rsidRDefault="00C77295" w:rsidP="0013777B">
      <w:pPr>
        <w:pStyle w:val="Sinespaciado"/>
      </w:pPr>
    </w:p>
    <w:p w:rsidR="00391A64" w:rsidRPr="002D334C" w:rsidRDefault="00391A64" w:rsidP="0013777B">
      <w:pPr>
        <w:pStyle w:val="Sinespaciado"/>
        <w:sectPr w:rsidR="00391A64" w:rsidRPr="002D334C" w:rsidSect="0013777B">
          <w:type w:val="continuous"/>
          <w:pgSz w:w="12240" w:h="15840"/>
          <w:pgMar w:top="1627" w:right="1701" w:bottom="1417" w:left="1701" w:header="708" w:footer="708" w:gutter="0"/>
          <w:cols w:space="708"/>
          <w:docGrid w:linePitch="360"/>
        </w:sectPr>
      </w:pPr>
    </w:p>
    <w:p w:rsidR="005034CF" w:rsidRDefault="003670BA" w:rsidP="002D334C">
      <w:pPr>
        <w:spacing w:after="0" w:line="240" w:lineRule="auto"/>
        <w:jc w:val="both"/>
        <w:rPr>
          <w:rFonts w:ascii="Times New Roman" w:hAnsi="Times New Roman" w:cs="Times New Roman"/>
          <w:lang w:val="es-MX"/>
        </w:rPr>
      </w:pPr>
      <w:r w:rsidRPr="002D334C">
        <w:rPr>
          <w:rFonts w:ascii="Times New Roman" w:hAnsi="Times New Roman" w:cs="Times New Roman"/>
          <w:lang w:val="es-MX"/>
        </w:rPr>
        <w:lastRenderedPageBreak/>
        <w:t xml:space="preserve">El escenario económico internacional en </w:t>
      </w:r>
      <w:r w:rsidR="00700D9C" w:rsidRPr="002D334C">
        <w:rPr>
          <w:rFonts w:ascii="Times New Roman" w:hAnsi="Times New Roman" w:cs="Times New Roman"/>
          <w:lang w:val="es-MX"/>
        </w:rPr>
        <w:t>noviembre</w:t>
      </w:r>
      <w:r w:rsidRPr="002D334C">
        <w:rPr>
          <w:rFonts w:ascii="Times New Roman" w:hAnsi="Times New Roman" w:cs="Times New Roman"/>
          <w:lang w:val="es-MX"/>
        </w:rPr>
        <w:t xml:space="preserve"> continúa </w:t>
      </w:r>
      <w:r w:rsidR="00700D9C" w:rsidRPr="002D334C">
        <w:rPr>
          <w:rFonts w:ascii="Times New Roman" w:hAnsi="Times New Roman" w:cs="Times New Roman"/>
          <w:lang w:val="es-MX"/>
        </w:rPr>
        <w:t>con un crecimiento moderado</w:t>
      </w:r>
      <w:r w:rsidRPr="002D334C">
        <w:rPr>
          <w:rFonts w:ascii="Times New Roman" w:hAnsi="Times New Roman" w:cs="Times New Roman"/>
          <w:lang w:val="es-MX"/>
        </w:rPr>
        <w:t>,</w:t>
      </w:r>
      <w:r w:rsidR="00700D9C" w:rsidRPr="002D334C">
        <w:rPr>
          <w:rFonts w:ascii="Times New Roman" w:hAnsi="Times New Roman" w:cs="Times New Roman"/>
          <w:lang w:val="es-MX"/>
        </w:rPr>
        <w:t xml:space="preserve"> siendo la actividad económica de </w:t>
      </w:r>
      <w:r w:rsidR="005034CF">
        <w:rPr>
          <w:rFonts w:ascii="Times New Roman" w:hAnsi="Times New Roman" w:cs="Times New Roman"/>
          <w:lang w:val="es-MX"/>
        </w:rPr>
        <w:t>EEUU</w:t>
      </w:r>
      <w:r w:rsidR="00700D9C" w:rsidRPr="002D334C">
        <w:rPr>
          <w:rFonts w:ascii="Times New Roman" w:hAnsi="Times New Roman" w:cs="Times New Roman"/>
          <w:lang w:val="es-MX"/>
        </w:rPr>
        <w:t xml:space="preserve"> </w:t>
      </w:r>
      <w:r w:rsidR="004A7A50" w:rsidRPr="002D334C">
        <w:rPr>
          <w:rFonts w:ascii="Times New Roman" w:hAnsi="Times New Roman" w:cs="Times New Roman"/>
          <w:lang w:val="es-MX"/>
        </w:rPr>
        <w:t>el</w:t>
      </w:r>
      <w:r w:rsidR="00700D9C" w:rsidRPr="002D334C">
        <w:rPr>
          <w:rFonts w:ascii="Times New Roman" w:hAnsi="Times New Roman" w:cs="Times New Roman"/>
          <w:lang w:val="es-MX"/>
        </w:rPr>
        <w:t xml:space="preserve"> principal </w:t>
      </w:r>
      <w:r w:rsidR="004A7A50" w:rsidRPr="002D334C">
        <w:rPr>
          <w:rFonts w:ascii="Times New Roman" w:hAnsi="Times New Roman" w:cs="Times New Roman"/>
          <w:lang w:val="es-MX"/>
        </w:rPr>
        <w:t>protagonista</w:t>
      </w:r>
      <w:r w:rsidR="00700D9C" w:rsidRPr="002D334C">
        <w:rPr>
          <w:rFonts w:ascii="Times New Roman" w:hAnsi="Times New Roman" w:cs="Times New Roman"/>
          <w:lang w:val="es-MX"/>
        </w:rPr>
        <w:t xml:space="preserve"> de</w:t>
      </w:r>
      <w:r w:rsidR="0087661E" w:rsidRPr="002D334C">
        <w:rPr>
          <w:rFonts w:ascii="Times New Roman" w:hAnsi="Times New Roman" w:cs="Times New Roman"/>
          <w:lang w:val="es-MX"/>
        </w:rPr>
        <w:t xml:space="preserve"> dicho crecimiento</w:t>
      </w:r>
      <w:r w:rsidR="004A7A50" w:rsidRPr="002D334C">
        <w:rPr>
          <w:rFonts w:ascii="Times New Roman" w:hAnsi="Times New Roman" w:cs="Times New Roman"/>
          <w:lang w:val="es-MX"/>
        </w:rPr>
        <w:t>,</w:t>
      </w:r>
      <w:r w:rsidR="00905F97" w:rsidRPr="002D334C">
        <w:rPr>
          <w:rFonts w:ascii="Times New Roman" w:hAnsi="Times New Roman" w:cs="Times New Roman"/>
          <w:lang w:val="es-MX"/>
        </w:rPr>
        <w:t xml:space="preserve"> a pesar del resultado del PIB correspondiente al tercer trimestre que fue mucho menor de lo esperado; </w:t>
      </w:r>
      <w:r w:rsidR="0005787E" w:rsidRPr="002D334C">
        <w:rPr>
          <w:rFonts w:ascii="Times New Roman" w:hAnsi="Times New Roman" w:cs="Times New Roman"/>
          <w:lang w:val="es-MX"/>
        </w:rPr>
        <w:t>la economía estadounidense evidencia</w:t>
      </w:r>
      <w:r w:rsidR="00E146C2" w:rsidRPr="002D334C">
        <w:rPr>
          <w:rFonts w:ascii="Times New Roman" w:hAnsi="Times New Roman" w:cs="Times New Roman"/>
          <w:lang w:val="es-MX"/>
        </w:rPr>
        <w:t xml:space="preserve"> mejoras en el mercado laboral, aumento en el gasto del consumidor y baja en combustibles</w:t>
      </w:r>
      <w:r w:rsidR="004A7A50" w:rsidRPr="002D334C">
        <w:rPr>
          <w:rFonts w:ascii="Times New Roman" w:hAnsi="Times New Roman" w:cs="Times New Roman"/>
          <w:lang w:val="es-MX"/>
        </w:rPr>
        <w:t xml:space="preserve"> como principal impulso de dicho</w:t>
      </w:r>
      <w:r w:rsidR="00E146C2" w:rsidRPr="002D334C">
        <w:rPr>
          <w:rFonts w:ascii="Times New Roman" w:hAnsi="Times New Roman" w:cs="Times New Roman"/>
          <w:lang w:val="es-MX"/>
        </w:rPr>
        <w:t xml:space="preserve"> </w:t>
      </w:r>
      <w:r w:rsidR="00AC5A63" w:rsidRPr="002D334C">
        <w:rPr>
          <w:rFonts w:ascii="Times New Roman" w:hAnsi="Times New Roman" w:cs="Times New Roman"/>
          <w:lang w:val="es-MX"/>
        </w:rPr>
        <w:t>comportamiento</w:t>
      </w:r>
      <w:r w:rsidR="0005787E" w:rsidRPr="002D334C">
        <w:rPr>
          <w:rFonts w:ascii="Times New Roman" w:hAnsi="Times New Roman" w:cs="Times New Roman"/>
          <w:lang w:val="es-MX"/>
        </w:rPr>
        <w:t xml:space="preserve">, al </w:t>
      </w:r>
      <w:r w:rsidR="0005787E" w:rsidRPr="002D334C">
        <w:rPr>
          <w:rFonts w:ascii="Times New Roman" w:hAnsi="Times New Roman" w:cs="Times New Roman"/>
          <w:lang w:val="es-MX"/>
        </w:rPr>
        <w:lastRenderedPageBreak/>
        <w:t xml:space="preserve">punto de que la </w:t>
      </w:r>
      <w:r w:rsidR="005034CF">
        <w:rPr>
          <w:rFonts w:ascii="Times New Roman" w:hAnsi="Times New Roman" w:cs="Times New Roman"/>
          <w:lang w:val="es-MX"/>
        </w:rPr>
        <w:t>Fed</w:t>
      </w:r>
      <w:r w:rsidR="0005787E" w:rsidRPr="002D334C">
        <w:rPr>
          <w:rFonts w:ascii="Times New Roman" w:hAnsi="Times New Roman" w:cs="Times New Roman"/>
          <w:lang w:val="es-MX"/>
        </w:rPr>
        <w:t xml:space="preserve"> </w:t>
      </w:r>
      <w:r w:rsidR="00BE0BE2" w:rsidRPr="002D334C">
        <w:rPr>
          <w:rFonts w:ascii="Times New Roman" w:hAnsi="Times New Roman" w:cs="Times New Roman"/>
          <w:lang w:val="es-MX"/>
        </w:rPr>
        <w:t xml:space="preserve">muy probablemente </w:t>
      </w:r>
      <w:r w:rsidR="0005787E" w:rsidRPr="002D334C">
        <w:rPr>
          <w:rFonts w:ascii="Times New Roman" w:hAnsi="Times New Roman" w:cs="Times New Roman"/>
          <w:lang w:val="es-MX"/>
        </w:rPr>
        <w:t>aumente los tipos de interés por primera vez en casi una década.</w:t>
      </w:r>
      <w:r w:rsidR="00EE4CF1" w:rsidRPr="002D334C">
        <w:rPr>
          <w:rFonts w:ascii="Times New Roman" w:hAnsi="Times New Roman" w:cs="Times New Roman"/>
          <w:lang w:val="es-MX"/>
        </w:rPr>
        <w:t xml:space="preserve">  </w:t>
      </w:r>
    </w:p>
    <w:p w:rsidR="005034CF" w:rsidRDefault="005034CF" w:rsidP="002D334C">
      <w:pPr>
        <w:spacing w:after="0" w:line="240" w:lineRule="auto"/>
        <w:jc w:val="both"/>
        <w:rPr>
          <w:rFonts w:ascii="Times New Roman" w:hAnsi="Times New Roman" w:cs="Times New Roman"/>
          <w:lang w:val="es-MX"/>
        </w:rPr>
      </w:pPr>
    </w:p>
    <w:p w:rsidR="005034CF" w:rsidRDefault="005034CF" w:rsidP="005034CF">
      <w:pPr>
        <w:pStyle w:val="Prrafodelista"/>
        <w:ind w:left="0"/>
        <w:jc w:val="both"/>
        <w:rPr>
          <w:rFonts w:cs="Times New Roman"/>
          <w:sz w:val="22"/>
          <w:lang w:val="es-MX"/>
        </w:rPr>
      </w:pPr>
      <w:r w:rsidRPr="002D334C">
        <w:rPr>
          <w:rFonts w:cs="Times New Roman"/>
          <w:sz w:val="22"/>
          <w:lang w:val="es-MX"/>
        </w:rPr>
        <w:t xml:space="preserve">Este mes se dio a conocer el informe elaborado por los doce bancos estatales estadounidenses denominado Libro Beige de la Fed, en donde destaca un crecimiento de ritmo bastante modesto en la economía de la mayoría de los </w:t>
      </w:r>
      <w:r>
        <w:rPr>
          <w:rFonts w:cs="Times New Roman"/>
          <w:sz w:val="22"/>
          <w:lang w:val="es-MX"/>
        </w:rPr>
        <w:t>12</w:t>
      </w:r>
      <w:r w:rsidRPr="002D334C">
        <w:rPr>
          <w:rFonts w:cs="Times New Roman"/>
          <w:sz w:val="22"/>
          <w:lang w:val="es-MX"/>
        </w:rPr>
        <w:t xml:space="preserve"> distritos estadounidenses.  En concreto, el sector manufacturero ha experimentado </w:t>
      </w:r>
      <w:r w:rsidRPr="002D334C">
        <w:rPr>
          <w:rFonts w:cs="Times New Roman"/>
          <w:sz w:val="22"/>
          <w:lang w:val="es-MX"/>
        </w:rPr>
        <w:lastRenderedPageBreak/>
        <w:t>resultados diversos según las regiones, debido a los bajos precios de las materias primas, la débil demanda y el fortalecimiento del dólar; existe un crecimiento del consumo en la mayoría de distritos y existe un crecimiento modesto del mercado inmobiliario.</w:t>
      </w:r>
    </w:p>
    <w:p w:rsidR="00C65730" w:rsidRPr="002D334C" w:rsidRDefault="00C65730" w:rsidP="005034CF">
      <w:pPr>
        <w:pStyle w:val="Prrafodelista"/>
        <w:ind w:left="0"/>
        <w:jc w:val="both"/>
        <w:rPr>
          <w:rFonts w:cs="Times New Roman"/>
          <w:sz w:val="22"/>
          <w:lang w:val="es-MX"/>
        </w:rPr>
      </w:pPr>
    </w:p>
    <w:p w:rsidR="005034CF" w:rsidRPr="002D334C" w:rsidRDefault="005034CF" w:rsidP="005034CF">
      <w:pPr>
        <w:pStyle w:val="Prrafodelista"/>
        <w:ind w:left="0"/>
        <w:jc w:val="both"/>
        <w:rPr>
          <w:rFonts w:cs="Times New Roman"/>
          <w:sz w:val="22"/>
          <w:lang w:val="es-MX"/>
        </w:rPr>
      </w:pPr>
      <w:r w:rsidRPr="002D334C">
        <w:rPr>
          <w:rFonts w:cs="Times New Roman"/>
          <w:sz w:val="22"/>
          <w:lang w:val="es-MX"/>
        </w:rPr>
        <w:t>El índice de desempleo en Estados Unidos se mantuvo bastante optimista en noviembre, con una creación de 211,000 nuevos puestos de trabajo, siendo el sector de la construcción el más destacado creando 46,000 nuevos puestos, seguido por el sector sa</w:t>
      </w:r>
      <w:r w:rsidR="00C65730">
        <w:rPr>
          <w:rFonts w:cs="Times New Roman"/>
          <w:sz w:val="22"/>
          <w:lang w:val="es-MX"/>
        </w:rPr>
        <w:t xml:space="preserve">lud con 24,000 nuevos puestos; </w:t>
      </w:r>
      <w:bookmarkStart w:id="0" w:name="_GoBack"/>
      <w:bookmarkEnd w:id="0"/>
      <w:r w:rsidRPr="002D334C">
        <w:rPr>
          <w:rFonts w:cs="Times New Roman"/>
          <w:sz w:val="22"/>
          <w:lang w:val="es-MX"/>
        </w:rPr>
        <w:t xml:space="preserve">en cuanto a salarios por hora, quedaron en noviembre en un promedio de US$ 25.25 y han aumentado 2.3% durante los últimos 12 meses. </w:t>
      </w:r>
    </w:p>
    <w:p w:rsidR="005034CF" w:rsidRDefault="005034CF" w:rsidP="002D334C">
      <w:pPr>
        <w:spacing w:after="0" w:line="240" w:lineRule="auto"/>
        <w:jc w:val="both"/>
        <w:rPr>
          <w:rFonts w:ascii="Times New Roman" w:hAnsi="Times New Roman" w:cs="Times New Roman"/>
          <w:lang w:val="es-MX"/>
        </w:rPr>
      </w:pPr>
    </w:p>
    <w:p w:rsidR="002D334C" w:rsidRPr="002D334C" w:rsidRDefault="00086C30" w:rsidP="005034CF">
      <w:pPr>
        <w:spacing w:after="0" w:line="240" w:lineRule="auto"/>
        <w:jc w:val="both"/>
        <w:rPr>
          <w:rFonts w:cs="Times New Roman"/>
          <w:lang w:val="es-MX"/>
        </w:rPr>
      </w:pPr>
      <w:r w:rsidRPr="002D334C">
        <w:rPr>
          <w:rFonts w:ascii="Times New Roman" w:hAnsi="Times New Roman" w:cs="Times New Roman"/>
          <w:lang w:val="es-MX"/>
        </w:rPr>
        <w:t>L</w:t>
      </w:r>
      <w:r w:rsidR="00EE4CF1" w:rsidRPr="002D334C">
        <w:rPr>
          <w:rFonts w:ascii="Times New Roman" w:hAnsi="Times New Roman" w:cs="Times New Roman"/>
          <w:lang w:val="es-MX"/>
        </w:rPr>
        <w:t>a</w:t>
      </w:r>
      <w:r w:rsidRPr="002D334C">
        <w:rPr>
          <w:rFonts w:ascii="Times New Roman" w:hAnsi="Times New Roman" w:cs="Times New Roman"/>
          <w:lang w:val="es-MX"/>
        </w:rPr>
        <w:t xml:space="preserve"> </w:t>
      </w:r>
      <w:r w:rsidR="005034CF">
        <w:rPr>
          <w:rFonts w:ascii="Times New Roman" w:hAnsi="Times New Roman" w:cs="Times New Roman"/>
          <w:lang w:val="es-MX"/>
        </w:rPr>
        <w:t xml:space="preserve">Eurozona </w:t>
      </w:r>
      <w:r w:rsidR="00EE4CF1" w:rsidRPr="002D334C">
        <w:rPr>
          <w:rFonts w:ascii="Times New Roman" w:hAnsi="Times New Roman" w:cs="Times New Roman"/>
          <w:lang w:val="es-MX"/>
        </w:rPr>
        <w:t xml:space="preserve">por su parte, </w:t>
      </w:r>
      <w:r w:rsidR="005034CF">
        <w:rPr>
          <w:rFonts w:ascii="Times New Roman" w:hAnsi="Times New Roman" w:cs="Times New Roman"/>
          <w:lang w:val="es-MX"/>
        </w:rPr>
        <w:t>sigue un</w:t>
      </w:r>
      <w:r w:rsidRPr="002D334C">
        <w:rPr>
          <w:rFonts w:ascii="Times New Roman" w:hAnsi="Times New Roman" w:cs="Times New Roman"/>
          <w:lang w:val="es-MX"/>
        </w:rPr>
        <w:t xml:space="preserve"> crecimiento débil y </w:t>
      </w:r>
      <w:r w:rsidR="00EE4CF1" w:rsidRPr="002D334C">
        <w:rPr>
          <w:rFonts w:ascii="Times New Roman" w:hAnsi="Times New Roman" w:cs="Times New Roman"/>
          <w:lang w:val="es-MX"/>
        </w:rPr>
        <w:t xml:space="preserve"> </w:t>
      </w:r>
      <w:r w:rsidRPr="002D334C">
        <w:rPr>
          <w:rFonts w:ascii="Times New Roman" w:hAnsi="Times New Roman" w:cs="Times New Roman"/>
          <w:lang w:val="es-MX"/>
        </w:rPr>
        <w:br/>
        <w:t>la</w:t>
      </w:r>
      <w:r w:rsidR="0087661E" w:rsidRPr="002D334C">
        <w:rPr>
          <w:rFonts w:ascii="Times New Roman" w:hAnsi="Times New Roman" w:cs="Times New Roman"/>
          <w:lang w:val="es-MX"/>
        </w:rPr>
        <w:t xml:space="preserve"> </w:t>
      </w:r>
      <w:r w:rsidR="00EE4CF1" w:rsidRPr="002D334C">
        <w:rPr>
          <w:rFonts w:ascii="Times New Roman" w:hAnsi="Times New Roman" w:cs="Times New Roman"/>
          <w:lang w:val="es-MX"/>
        </w:rPr>
        <w:t>baja inflación</w:t>
      </w:r>
      <w:r w:rsidR="002965B6" w:rsidRPr="002D334C">
        <w:rPr>
          <w:rFonts w:ascii="Times New Roman" w:hAnsi="Times New Roman" w:cs="Times New Roman"/>
          <w:lang w:val="es-MX"/>
        </w:rPr>
        <w:t xml:space="preserve"> mostrada en lo que va del año</w:t>
      </w:r>
      <w:r w:rsidRPr="002D334C">
        <w:rPr>
          <w:rFonts w:ascii="Times New Roman" w:hAnsi="Times New Roman" w:cs="Times New Roman"/>
          <w:lang w:val="es-MX"/>
        </w:rPr>
        <w:t xml:space="preserve">. Los resultados de los principales indicadores </w:t>
      </w:r>
      <w:r w:rsidR="002965B6" w:rsidRPr="002D334C">
        <w:rPr>
          <w:rFonts w:ascii="Times New Roman" w:hAnsi="Times New Roman" w:cs="Times New Roman"/>
          <w:lang w:val="es-MX"/>
        </w:rPr>
        <w:t>económicos en noviembre registraron una expansión de la actividad económica distribuida uniformemente entre el sector manufacturero y el sector servicios en todos los países de la zona excepto en Francia, lo que mejora las expectativas de que exista un mayor crecimiento económico en el cuarto trimestre.</w:t>
      </w:r>
      <w:r w:rsidR="00EE4CF1" w:rsidRPr="002D334C">
        <w:rPr>
          <w:rFonts w:ascii="Times New Roman" w:hAnsi="Times New Roman" w:cs="Times New Roman"/>
          <w:lang w:val="es-MX"/>
        </w:rPr>
        <w:t xml:space="preserve"> </w:t>
      </w:r>
      <w:r w:rsidR="00416B79" w:rsidRPr="002D334C">
        <w:rPr>
          <w:rFonts w:ascii="Times New Roman" w:hAnsi="Times New Roman" w:cs="Times New Roman"/>
          <w:lang w:val="es-MX"/>
        </w:rPr>
        <w:t xml:space="preserve"> </w:t>
      </w:r>
      <w:r w:rsidR="00EE4CF1" w:rsidRPr="002D334C">
        <w:rPr>
          <w:rFonts w:ascii="Times New Roman" w:hAnsi="Times New Roman" w:cs="Times New Roman"/>
          <w:lang w:val="es-MX"/>
        </w:rPr>
        <w:t xml:space="preserve">  </w:t>
      </w:r>
    </w:p>
    <w:p w:rsidR="00EC042F" w:rsidRPr="002D334C" w:rsidRDefault="00EC042F" w:rsidP="002D334C">
      <w:pPr>
        <w:pStyle w:val="Prrafodelista"/>
        <w:ind w:left="0"/>
        <w:jc w:val="both"/>
        <w:rPr>
          <w:rFonts w:cs="Times New Roman"/>
          <w:sz w:val="22"/>
          <w:lang w:val="es-MX"/>
        </w:rPr>
      </w:pPr>
    </w:p>
    <w:p w:rsidR="00F22F4D" w:rsidRPr="002D334C" w:rsidRDefault="00F22F4D" w:rsidP="002D334C">
      <w:pPr>
        <w:pStyle w:val="Prrafodelista"/>
        <w:ind w:left="0"/>
        <w:jc w:val="both"/>
        <w:rPr>
          <w:rFonts w:cs="Times New Roman"/>
          <w:sz w:val="22"/>
          <w:lang w:val="es-MX"/>
        </w:rPr>
      </w:pPr>
      <w:r w:rsidRPr="002D334C">
        <w:rPr>
          <w:rFonts w:cs="Times New Roman"/>
          <w:sz w:val="22"/>
          <w:lang w:val="es-MX"/>
        </w:rPr>
        <w:t>La Comisión Europea consideró en el informe de Bruselas facilitado este mes, un crecimiento del PIB de la zona euro de 1.6%, una décima mayor de lo estimado anteriormente y se acelerará hasta un ritmo del 1.8% en el 2016, condicionado al crecimiento del consumo privado, de la baja de la inflación y de las condiciones más favorables de financiación.</w:t>
      </w:r>
    </w:p>
    <w:p w:rsidR="00F22F4D" w:rsidRDefault="00F22F4D" w:rsidP="002D334C">
      <w:pPr>
        <w:pStyle w:val="Prrafodelista"/>
        <w:ind w:left="0"/>
        <w:jc w:val="both"/>
        <w:rPr>
          <w:rFonts w:cs="Times New Roman"/>
          <w:sz w:val="22"/>
          <w:lang w:val="es-MX"/>
        </w:rPr>
      </w:pPr>
    </w:p>
    <w:p w:rsidR="00F410A0" w:rsidRPr="002D334C" w:rsidRDefault="00F410A0" w:rsidP="002D334C">
      <w:pPr>
        <w:pStyle w:val="Prrafodelista"/>
        <w:ind w:left="0"/>
        <w:jc w:val="both"/>
        <w:rPr>
          <w:rFonts w:cs="Times New Roman"/>
          <w:sz w:val="22"/>
          <w:lang w:val="es-MX"/>
        </w:rPr>
      </w:pPr>
      <w:r w:rsidRPr="002D334C">
        <w:rPr>
          <w:rFonts w:cs="Times New Roman"/>
          <w:sz w:val="22"/>
          <w:lang w:val="es-MX"/>
        </w:rPr>
        <w:t xml:space="preserve">En China, la actividad industrial se contrajo en octubre, según el resultado del índice PMI del sector manufacturero que disminuyo a 47.2 desde los 48.3 puntos de septiembre, reduciendo por octavo mes consecutivo su ritmo de producción; dicho dato a criterio de los expertos, alienta la esperanza de que el fuerte bache que padece el sector industrial chino podría ya estar tocando fondo.  Los pedidos en exportaciones no permiten que caiga aún más la actividad industrial, sin </w:t>
      </w:r>
      <w:r w:rsidRPr="002D334C">
        <w:rPr>
          <w:rFonts w:cs="Times New Roman"/>
          <w:sz w:val="22"/>
          <w:lang w:val="es-MX"/>
        </w:rPr>
        <w:lastRenderedPageBreak/>
        <w:t>embargo todavía es insuficiente como para favorecer un repunte del PIB chino en el último trimestre del año.</w:t>
      </w:r>
    </w:p>
    <w:p w:rsidR="003670BA" w:rsidRPr="002D334C" w:rsidRDefault="003670BA" w:rsidP="002D334C">
      <w:pPr>
        <w:pStyle w:val="Prrafodelista"/>
        <w:ind w:left="0"/>
        <w:jc w:val="both"/>
        <w:rPr>
          <w:rFonts w:cs="Times New Roman"/>
          <w:sz w:val="22"/>
          <w:lang w:val="es-MX"/>
        </w:rPr>
      </w:pPr>
    </w:p>
    <w:p w:rsidR="00F410A0" w:rsidRPr="002D334C" w:rsidRDefault="003670BA" w:rsidP="002D334C">
      <w:pPr>
        <w:pStyle w:val="Prrafodelista"/>
        <w:ind w:left="0"/>
        <w:jc w:val="both"/>
        <w:rPr>
          <w:rFonts w:cs="Times New Roman"/>
          <w:sz w:val="22"/>
          <w:lang w:val="es-MX"/>
        </w:rPr>
      </w:pPr>
      <w:r w:rsidRPr="002D334C">
        <w:rPr>
          <w:rFonts w:cs="Times New Roman"/>
          <w:sz w:val="22"/>
          <w:lang w:val="es-MX"/>
        </w:rPr>
        <w:t xml:space="preserve">En el ámbito nacional, el comportamiento de los principales indicadores del ciclo económico, </w:t>
      </w:r>
      <w:r w:rsidR="00F410A0" w:rsidRPr="002D334C">
        <w:rPr>
          <w:rFonts w:cs="Times New Roman"/>
          <w:sz w:val="22"/>
          <w:lang w:val="es-MX"/>
        </w:rPr>
        <w:t>indican un comportamiento de la actividad económica dentro del rango de crecimiento anual previsto para 2015, un buen desempeño de los indicadores que contabilizan los ingresos por concepto de remesas familiares y del crédito bancario al sector privado; la inflación continúa siendo influenciada por la caída en los precios internacionales de las materias primas, principalmente del petróleo y sus derivados que a octubre se ubicó en 2.23% y se espera que en diciembre se ubique en 2.46%.   En la medida en la que se desvanezca el efecto de la caída en los precios del petróleo, la inflación empezaría a converger al valor de la meta de inflación de 4.0% +/- 1 punto porcentual.</w:t>
      </w:r>
    </w:p>
    <w:p w:rsidR="003670BA" w:rsidRPr="002D334C" w:rsidRDefault="003670BA" w:rsidP="002D334C">
      <w:pPr>
        <w:spacing w:after="0" w:line="240" w:lineRule="auto"/>
        <w:jc w:val="both"/>
        <w:rPr>
          <w:rFonts w:ascii="Times New Roman" w:hAnsi="Times New Roman" w:cs="Times New Roman"/>
          <w:lang w:val="es-MX"/>
        </w:rPr>
      </w:pPr>
    </w:p>
    <w:p w:rsidR="003B45AB" w:rsidRPr="002D334C" w:rsidRDefault="00514A0D" w:rsidP="002D334C">
      <w:pPr>
        <w:pStyle w:val="Prrafodelista"/>
        <w:ind w:left="0"/>
        <w:jc w:val="both"/>
        <w:rPr>
          <w:rFonts w:cs="Times New Roman"/>
          <w:sz w:val="22"/>
          <w:lang w:val="es-MX"/>
        </w:rPr>
      </w:pPr>
      <w:r w:rsidRPr="002D334C">
        <w:rPr>
          <w:rFonts w:cs="Times New Roman"/>
          <w:sz w:val="22"/>
          <w:lang w:val="es-MX"/>
        </w:rPr>
        <w:t>Las expectativas del escenario económico interno permanecen consistentes con la estimación de cr</w:t>
      </w:r>
      <w:r w:rsidR="003B45AB" w:rsidRPr="002D334C">
        <w:rPr>
          <w:rFonts w:cs="Times New Roman"/>
          <w:sz w:val="22"/>
          <w:lang w:val="es-MX"/>
        </w:rPr>
        <w:t>ecimiento de entre 3.3% y 3.9%, se estima que el PIB real registrará un crecimiento de 3.7% en 2015 y de 3.9% en 2016, siendo los principales factores que podrían incurrir dicho resultado son la trayectoria en los precios de los combustibles, la evolución del precio internacional del petróleo, el desempeño de la política fiscal, la evolución de las tasas de interés y el fortalecimiento del mercado interno, según el Banco de Guatemala.</w:t>
      </w:r>
    </w:p>
    <w:p w:rsidR="003B45AB" w:rsidRPr="002D334C" w:rsidRDefault="003B45AB" w:rsidP="002D334C">
      <w:pPr>
        <w:pStyle w:val="Prrafodelista"/>
        <w:ind w:left="0"/>
        <w:jc w:val="both"/>
        <w:rPr>
          <w:rFonts w:cs="Times New Roman"/>
          <w:sz w:val="22"/>
          <w:lang w:val="es-MX"/>
        </w:rPr>
      </w:pPr>
    </w:p>
    <w:p w:rsidR="00E61573" w:rsidRPr="002D334C" w:rsidRDefault="00514A0D" w:rsidP="002D334C">
      <w:pPr>
        <w:pStyle w:val="Prrafodelista"/>
        <w:ind w:left="0"/>
        <w:jc w:val="both"/>
        <w:rPr>
          <w:rFonts w:cs="Times New Roman"/>
          <w:sz w:val="22"/>
          <w:lang w:val="es-MX"/>
        </w:rPr>
      </w:pPr>
      <w:r w:rsidRPr="002D334C">
        <w:rPr>
          <w:rFonts w:cs="Times New Roman"/>
          <w:sz w:val="22"/>
          <w:lang w:val="es-MX"/>
        </w:rPr>
        <w:t xml:space="preserve">Este mes, </w:t>
      </w:r>
      <w:r w:rsidR="008F3ADB" w:rsidRPr="002D334C">
        <w:rPr>
          <w:rFonts w:cs="Times New Roman"/>
          <w:sz w:val="22"/>
          <w:lang w:val="es-MX"/>
        </w:rPr>
        <w:t>l</w:t>
      </w:r>
      <w:r w:rsidR="002D334C" w:rsidRPr="002D334C">
        <w:rPr>
          <w:rFonts w:cs="Times New Roman"/>
          <w:sz w:val="22"/>
          <w:lang w:val="es-MX"/>
        </w:rPr>
        <w:t xml:space="preserve">a Junta Monetaria, </w:t>
      </w:r>
      <w:r w:rsidR="008F3ADB" w:rsidRPr="002D334C">
        <w:rPr>
          <w:rFonts w:cs="Times New Roman"/>
          <w:sz w:val="22"/>
          <w:lang w:val="es-MX"/>
        </w:rPr>
        <w:t>decidió mantener</w:t>
      </w:r>
      <w:r w:rsidR="00EC042F" w:rsidRPr="002D334C">
        <w:rPr>
          <w:rFonts w:cs="Times New Roman"/>
          <w:sz w:val="22"/>
          <w:lang w:val="es-MX"/>
        </w:rPr>
        <w:t xml:space="preserve"> el nivel de la tasa de interés </w:t>
      </w:r>
      <w:r w:rsidR="008F3ADB" w:rsidRPr="002D334C">
        <w:rPr>
          <w:rFonts w:cs="Times New Roman"/>
          <w:sz w:val="22"/>
          <w:lang w:val="es-MX"/>
        </w:rPr>
        <w:t xml:space="preserve">líder de la política monetaria </w:t>
      </w:r>
      <w:r w:rsidR="00EC042F" w:rsidRPr="002D334C">
        <w:rPr>
          <w:rFonts w:cs="Times New Roman"/>
          <w:sz w:val="22"/>
          <w:lang w:val="es-MX"/>
        </w:rPr>
        <w:t>e</w:t>
      </w:r>
      <w:r w:rsidR="008F3ADB" w:rsidRPr="002D334C">
        <w:rPr>
          <w:rFonts w:cs="Times New Roman"/>
          <w:sz w:val="22"/>
          <w:lang w:val="es-MX"/>
        </w:rPr>
        <w:t>n</w:t>
      </w:r>
      <w:r w:rsidR="00EC042F" w:rsidRPr="002D334C">
        <w:rPr>
          <w:rFonts w:cs="Times New Roman"/>
          <w:sz w:val="22"/>
          <w:lang w:val="es-MX"/>
        </w:rPr>
        <w:t xml:space="preserve"> </w:t>
      </w:r>
      <w:r w:rsidR="008F3ADB" w:rsidRPr="002D334C">
        <w:rPr>
          <w:rFonts w:cs="Times New Roman"/>
          <w:sz w:val="22"/>
          <w:lang w:val="es-MX"/>
        </w:rPr>
        <w:t>3.</w:t>
      </w:r>
      <w:r w:rsidR="00EC042F" w:rsidRPr="002D334C">
        <w:rPr>
          <w:rFonts w:cs="Times New Roman"/>
          <w:sz w:val="22"/>
          <w:lang w:val="es-MX"/>
        </w:rPr>
        <w:t xml:space="preserve">0%, en base a la consideración de que la actividad económica mundial continúa recuperándose, como resultado del desempeño de las  economías avanzadas, aunque a un ritmo moderado;  y </w:t>
      </w:r>
      <w:r w:rsidR="00B2631D" w:rsidRPr="002D334C">
        <w:rPr>
          <w:rFonts w:cs="Times New Roman"/>
          <w:sz w:val="22"/>
          <w:lang w:val="es-MX"/>
        </w:rPr>
        <w:t>a</w:t>
      </w:r>
      <w:r w:rsidR="00EC042F" w:rsidRPr="002D334C">
        <w:rPr>
          <w:rFonts w:cs="Times New Roman"/>
          <w:sz w:val="22"/>
          <w:lang w:val="es-MX"/>
        </w:rPr>
        <w:t xml:space="preserve">l desempeño de la actividad económica </w:t>
      </w:r>
      <w:r w:rsidR="00B2631D" w:rsidRPr="002D334C">
        <w:rPr>
          <w:rFonts w:cs="Times New Roman"/>
          <w:sz w:val="22"/>
          <w:lang w:val="es-MX"/>
        </w:rPr>
        <w:t xml:space="preserve">que </w:t>
      </w:r>
      <w:r w:rsidR="00EC042F" w:rsidRPr="002D334C">
        <w:rPr>
          <w:rFonts w:cs="Times New Roman"/>
          <w:sz w:val="22"/>
          <w:lang w:val="es-MX"/>
        </w:rPr>
        <w:t xml:space="preserve">continúa </w:t>
      </w:r>
      <w:r w:rsidR="00B2631D" w:rsidRPr="002D334C">
        <w:rPr>
          <w:rFonts w:cs="Times New Roman"/>
          <w:sz w:val="22"/>
          <w:lang w:val="es-MX"/>
        </w:rPr>
        <w:t>en la senda</w:t>
      </w:r>
      <w:r w:rsidR="004D5ED5" w:rsidRPr="002D334C">
        <w:rPr>
          <w:rFonts w:cs="Times New Roman"/>
          <w:sz w:val="22"/>
          <w:lang w:val="es-MX"/>
        </w:rPr>
        <w:t xml:space="preserve"> espera</w:t>
      </w:r>
      <w:r w:rsidR="00EC042F" w:rsidRPr="002D334C">
        <w:rPr>
          <w:rFonts w:cs="Times New Roman"/>
          <w:sz w:val="22"/>
          <w:lang w:val="es-MX"/>
        </w:rPr>
        <w:t>, apoyado entre otros factores, por la evolución del consumo privado, las remesas familiares y el crédito bancario</w:t>
      </w:r>
      <w:r w:rsidR="004D5ED5" w:rsidRPr="002D334C">
        <w:rPr>
          <w:rFonts w:cs="Times New Roman"/>
          <w:sz w:val="22"/>
          <w:lang w:val="es-MX"/>
        </w:rPr>
        <w:t>.</w:t>
      </w:r>
    </w:p>
    <w:p w:rsidR="008E347B" w:rsidRPr="00633167" w:rsidRDefault="008E347B" w:rsidP="008E347B">
      <w:pPr>
        <w:spacing w:after="0" w:line="240" w:lineRule="auto"/>
        <w:jc w:val="both"/>
        <w:rPr>
          <w:rFonts w:ascii="Times New Roman" w:hAnsi="Times New Roman" w:cs="Times New Roman"/>
          <w:color w:val="FF0000"/>
          <w:lang w:val="es-MX"/>
        </w:rPr>
      </w:pPr>
    </w:p>
    <w:p w:rsidR="0013777B" w:rsidRPr="00633167" w:rsidRDefault="0013777B" w:rsidP="0013777B">
      <w:pPr>
        <w:pStyle w:val="Sinespaciado"/>
        <w:pBdr>
          <w:top w:val="single" w:sz="12" w:space="1" w:color="auto"/>
          <w:left w:val="single" w:sz="12" w:space="4" w:color="auto"/>
          <w:bottom w:val="single" w:sz="12" w:space="1" w:color="auto"/>
          <w:right w:val="single" w:sz="12" w:space="4" w:color="auto"/>
        </w:pBdr>
        <w:shd w:val="clear" w:color="auto" w:fill="C6D9F1" w:themeFill="text2" w:themeFillTint="33"/>
        <w:rPr>
          <w:rFonts w:ascii="Times New Roman" w:hAnsi="Times New Roman" w:cs="Times New Roman"/>
          <w:b/>
          <w:color w:val="FF0000"/>
          <w:sz w:val="12"/>
          <w:szCs w:val="12"/>
          <w:lang w:val="es-MX"/>
        </w:rPr>
        <w:sectPr w:rsidR="0013777B" w:rsidRPr="00633167" w:rsidSect="00BD010A">
          <w:type w:val="continuous"/>
          <w:pgSz w:w="12240" w:h="15840"/>
          <w:pgMar w:top="1627" w:right="1701" w:bottom="1417" w:left="1701" w:header="708" w:footer="708" w:gutter="0"/>
          <w:cols w:num="2" w:space="708"/>
          <w:docGrid w:linePitch="360"/>
        </w:sectPr>
      </w:pPr>
    </w:p>
    <w:p w:rsidR="00BD010A" w:rsidRPr="00633167" w:rsidRDefault="00BD010A" w:rsidP="00363CC7">
      <w:pPr>
        <w:pStyle w:val="Sinespaciado"/>
        <w:rPr>
          <w:color w:val="FF0000"/>
          <w:lang w:val="es-MX"/>
        </w:rPr>
        <w:sectPr w:rsidR="00BD010A" w:rsidRPr="00633167" w:rsidSect="00BD010A">
          <w:type w:val="continuous"/>
          <w:pgSz w:w="12240" w:h="15840"/>
          <w:pgMar w:top="1627" w:right="1701" w:bottom="1417" w:left="1701" w:header="708" w:footer="708" w:gutter="0"/>
          <w:cols w:space="708"/>
          <w:docGrid w:linePitch="360"/>
        </w:sectPr>
      </w:pPr>
    </w:p>
    <w:p w:rsidR="00D031AE" w:rsidRPr="00633167" w:rsidRDefault="00D031AE" w:rsidP="00B64B0B">
      <w:pPr>
        <w:spacing w:after="0" w:line="240" w:lineRule="auto"/>
        <w:jc w:val="center"/>
        <w:rPr>
          <w:rFonts w:ascii="Times New Roman" w:hAnsi="Times New Roman" w:cs="Times New Roman"/>
          <w:color w:val="FF0000"/>
        </w:rPr>
      </w:pPr>
    </w:p>
    <w:p w:rsidR="00411A5E" w:rsidRPr="00633167" w:rsidRDefault="00411A5E" w:rsidP="00CF7969">
      <w:pPr>
        <w:spacing w:after="120" w:line="240" w:lineRule="auto"/>
        <w:rPr>
          <w:rFonts w:ascii="Times New Roman" w:hAnsi="Times New Roman" w:cs="Times New Roman"/>
          <w:b/>
          <w:color w:val="FF0000"/>
        </w:rPr>
      </w:pPr>
    </w:p>
    <w:sectPr w:rsidR="00411A5E" w:rsidRPr="00633167" w:rsidSect="007C6AD8">
      <w:type w:val="continuous"/>
      <w:pgSz w:w="12240" w:h="15840"/>
      <w:pgMar w:top="1417" w:right="146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3CC" w:rsidRDefault="008433CC" w:rsidP="00A6098E">
      <w:pPr>
        <w:spacing w:after="0" w:line="240" w:lineRule="auto"/>
      </w:pPr>
      <w:r>
        <w:separator/>
      </w:r>
    </w:p>
  </w:endnote>
  <w:endnote w:type="continuationSeparator" w:id="0">
    <w:p w:rsidR="008433CC" w:rsidRDefault="008433CC" w:rsidP="00A60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1606882331"/>
      <w:docPartObj>
        <w:docPartGallery w:val="Page Numbers (Bottom of Page)"/>
        <w:docPartUnique/>
      </w:docPartObj>
    </w:sdtPr>
    <w:sdtEndPr/>
    <w:sdtContent>
      <w:p w:rsidR="00514A0D" w:rsidRDefault="00514A0D">
        <w:pPr>
          <w:pStyle w:val="Piedepgina"/>
          <w:jc w:val="right"/>
        </w:pPr>
        <w:r w:rsidRPr="001D7CAE">
          <w:rPr>
            <w:noProof/>
            <w:color w:val="0F243E" w:themeColor="text2" w:themeShade="80"/>
            <w:lang w:eastAsia="es-GT"/>
          </w:rPr>
          <mc:AlternateContent>
            <mc:Choice Requires="wps">
              <w:drawing>
                <wp:anchor distT="4294967295" distB="4294967295" distL="114300" distR="114300" simplePos="0" relativeHeight="251663360" behindDoc="0" locked="0" layoutInCell="1" allowOverlap="1" wp14:anchorId="2E7CF9B6" wp14:editId="0B84987B">
                  <wp:simplePos x="0" y="0"/>
                  <wp:positionH relativeFrom="column">
                    <wp:posOffset>1986915</wp:posOffset>
                  </wp:positionH>
                  <wp:positionV relativeFrom="paragraph">
                    <wp:posOffset>-63452</wp:posOffset>
                  </wp:positionV>
                  <wp:extent cx="4010025" cy="0"/>
                  <wp:effectExtent l="19050" t="38100" r="66675" b="114300"/>
                  <wp:wrapNone/>
                  <wp:docPr id="37"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12700" cmpd="sng">
                            <a:solidFill>
                              <a:srgbClr val="4579B8"/>
                            </a:solidFill>
                            <a:round/>
                            <a:headEnd/>
                            <a:tailEn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C02DA8E" id="6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5pt" to="47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" strokecolor="#4579b8" strokeweight="1pt">
                  <v:shadow on="t" color="black" opacity="26214f" origin="-.5,-.5" offset=".74836mm,.74836mm"/>
                  <o:lock v:ext="edit" shapetype="f"/>
                </v:line>
              </w:pict>
            </mc:Fallback>
          </mc:AlternateContent>
        </w:r>
        <w:r w:rsidRPr="001D7CAE">
          <w:rPr>
            <w:rFonts w:ascii="Times New Roman" w:hAnsi="Times New Roman" w:cs="Times New Roman"/>
            <w:color w:val="0F243E" w:themeColor="text2" w:themeShade="80"/>
            <w:sz w:val="20"/>
            <w:lang w:val="es-ES"/>
          </w:rPr>
          <w:t xml:space="preserve">Dirección de Análisis y Política Fiscal                                </w:t>
        </w:r>
        <w:r w:rsidRPr="001D7CAE">
          <w:rPr>
            <w:color w:val="0F243E" w:themeColor="text2" w:themeShade="80"/>
            <w:lang w:val="es-ES"/>
          </w:rPr>
          <w:t xml:space="preserve">   </w:t>
        </w:r>
        <w:r w:rsidRPr="00144D97">
          <w:rPr>
            <w:rFonts w:ascii="Times New Roman" w:hAnsi="Times New Roman" w:cs="Times New Roman"/>
            <w:color w:val="4F81BD" w:themeColor="accent1"/>
            <w:sz w:val="16"/>
            <w:lang w:val="es-ES"/>
          </w:rPr>
          <w:t xml:space="preserve">Página </w:t>
        </w:r>
        <w:r w:rsidRPr="00144D97">
          <w:rPr>
            <w:rFonts w:ascii="Times New Roman" w:hAnsi="Times New Roman" w:cs="Times New Roman"/>
            <w:color w:val="4F81BD" w:themeColor="accent1"/>
            <w:sz w:val="16"/>
          </w:rPr>
          <w:fldChar w:fldCharType="begin"/>
        </w:r>
        <w:r w:rsidRPr="00144D97">
          <w:rPr>
            <w:rFonts w:ascii="Times New Roman" w:hAnsi="Times New Roman" w:cs="Times New Roman"/>
            <w:color w:val="4F81BD" w:themeColor="accent1"/>
            <w:sz w:val="16"/>
          </w:rPr>
          <w:instrText>PAGE   \* MERGEFORMAT</w:instrText>
        </w:r>
        <w:r w:rsidRPr="00144D97">
          <w:rPr>
            <w:rFonts w:ascii="Times New Roman" w:hAnsi="Times New Roman" w:cs="Times New Roman"/>
            <w:color w:val="4F81BD" w:themeColor="accent1"/>
            <w:sz w:val="16"/>
          </w:rPr>
          <w:fldChar w:fldCharType="separate"/>
        </w:r>
        <w:r w:rsidR="00C65730" w:rsidRPr="00C65730">
          <w:rPr>
            <w:rFonts w:ascii="Times New Roman" w:hAnsi="Times New Roman" w:cs="Times New Roman"/>
            <w:noProof/>
            <w:color w:val="4F81BD" w:themeColor="accent1"/>
            <w:sz w:val="16"/>
            <w:lang w:val="es-ES"/>
          </w:rPr>
          <w:t>6</w:t>
        </w:r>
        <w:r w:rsidRPr="00144D97">
          <w:rPr>
            <w:rFonts w:ascii="Times New Roman" w:hAnsi="Times New Roman" w:cs="Times New Roman"/>
            <w:color w:val="4F81BD" w:themeColor="accent1"/>
            <w:sz w:val="16"/>
          </w:rPr>
          <w:fldChar w:fldCharType="end"/>
        </w:r>
        <w:r>
          <w:rPr>
            <w:lang w:val="es-ES"/>
          </w:rPr>
          <w:t xml:space="preserve"> </w:t>
        </w:r>
      </w:p>
    </w:sdtContent>
  </w:sdt>
  <w:p w:rsidR="00514A0D" w:rsidRDefault="00514A0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156" w:rsidRDefault="001D6156" w:rsidP="001D6156">
    <w:pPr>
      <w:pStyle w:val="Piedepgina"/>
      <w:ind w:firstLine="3540"/>
      <w:jc w:val="right"/>
    </w:pPr>
    <w:r w:rsidRPr="001D7CAE">
      <w:rPr>
        <w:noProof/>
        <w:color w:val="0F243E" w:themeColor="text2" w:themeShade="80"/>
        <w:lang w:eastAsia="es-GT"/>
      </w:rPr>
      <mc:AlternateContent>
        <mc:Choice Requires="wps">
          <w:drawing>
            <wp:anchor distT="4294967295" distB="4294967295" distL="114300" distR="114300" simplePos="0" relativeHeight="251671552" behindDoc="0" locked="0" layoutInCell="1" allowOverlap="1" wp14:anchorId="64449183" wp14:editId="358F4B0C">
              <wp:simplePos x="0" y="0"/>
              <wp:positionH relativeFrom="column">
                <wp:posOffset>2063115</wp:posOffset>
              </wp:positionH>
              <wp:positionV relativeFrom="paragraph">
                <wp:posOffset>-56515</wp:posOffset>
              </wp:positionV>
              <wp:extent cx="4010025" cy="0"/>
              <wp:effectExtent l="19050" t="38100" r="66675" b="114300"/>
              <wp:wrapNone/>
              <wp:docPr id="21"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12700" cmpd="sng">
                        <a:solidFill>
                          <a:srgbClr val="4579B8"/>
                        </a:solidFill>
                        <a:round/>
                        <a:headEnd/>
                        <a:tailEn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57891D" id="6 Conector recto"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2.45pt,-4.45pt" to="478.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" strokecolor="#4579b8" strokeweight="1pt">
              <v:shadow on="t" color="black" opacity="26214f" origin="-.5,-.5" offset=".74836mm,.74836mm"/>
              <o:lock v:ext="edit" shapetype="f"/>
            </v:line>
          </w:pict>
        </mc:Fallback>
      </mc:AlternateContent>
    </w:r>
    <w:r w:rsidRPr="001D7CAE">
      <w:rPr>
        <w:rFonts w:ascii="Times New Roman" w:hAnsi="Times New Roman" w:cs="Times New Roman"/>
        <w:color w:val="0F243E" w:themeColor="text2" w:themeShade="80"/>
        <w:sz w:val="20"/>
        <w:lang w:val="es-ES"/>
      </w:rPr>
      <w:t>Dirección de Análisis y Política Fiscal</w:t>
    </w:r>
    <w:r w:rsidRPr="001D7CAE">
      <w:rPr>
        <w:noProof/>
        <w:color w:val="0F243E" w:themeColor="text2" w:themeShade="80"/>
        <w:lang w:eastAsia="es-GT"/>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3CC" w:rsidRDefault="008433CC" w:rsidP="00A6098E">
      <w:pPr>
        <w:spacing w:after="0" w:line="240" w:lineRule="auto"/>
      </w:pPr>
      <w:r>
        <w:separator/>
      </w:r>
    </w:p>
  </w:footnote>
  <w:footnote w:type="continuationSeparator" w:id="0">
    <w:p w:rsidR="008433CC" w:rsidRDefault="008433CC" w:rsidP="00A60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A0D" w:rsidRPr="004920BA" w:rsidRDefault="001D7CAE" w:rsidP="004F33E6">
    <w:pPr>
      <w:pStyle w:val="Encabezado"/>
      <w:jc w:val="right"/>
      <w:rPr>
        <w:rFonts w:ascii="Times New Roman" w:hAnsi="Times New Roman"/>
        <w:b/>
        <w:color w:val="0F243E" w:themeColor="text2" w:themeShade="80"/>
      </w:rPr>
    </w:pPr>
    <w:r>
      <w:rPr>
        <w:rFonts w:ascii="Times New Roman" w:hAnsi="Times New Roman" w:cs="Times New Roman"/>
        <w:noProof/>
        <w:color w:val="1F497D"/>
        <w:sz w:val="24"/>
        <w:szCs w:val="24"/>
        <w:lang w:eastAsia="es-GT"/>
      </w:rPr>
      <w:drawing>
        <wp:anchor distT="0" distB="0" distL="114300" distR="114300" simplePos="0" relativeHeight="251665408" behindDoc="0" locked="0" layoutInCell="1" allowOverlap="1" wp14:anchorId="7D1F2367" wp14:editId="2E9E19A9">
          <wp:simplePos x="0" y="0"/>
          <wp:positionH relativeFrom="column">
            <wp:posOffset>-260985</wp:posOffset>
          </wp:positionH>
          <wp:positionV relativeFrom="paragraph">
            <wp:posOffset>-230505</wp:posOffset>
          </wp:positionV>
          <wp:extent cx="2219325" cy="666115"/>
          <wp:effectExtent l="0" t="0" r="9525" b="635"/>
          <wp:wrapSquare wrapText="bothSides"/>
          <wp:docPr id="12" name="Imagen 12" descr="Descripción: C:\Users\rrodas\AppData\Roaming\Microsoft\Firmas\Firma 2015\Firma800x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rrodas\AppData\Roaming\Microsoft\Firmas\Firma 2015\Firma800x95.jpg"/>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60441"/>
                  <a:stretch/>
                </pic:blipFill>
                <pic:spPr bwMode="auto">
                  <a:xfrm>
                    <a:off x="0" y="0"/>
                    <a:ext cx="2219325" cy="666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4A0D" w:rsidRPr="004920BA">
      <w:rPr>
        <w:rFonts w:ascii="Times New Roman" w:hAnsi="Times New Roman"/>
        <w:b/>
        <w:color w:val="0F243E" w:themeColor="text2" w:themeShade="80"/>
      </w:rPr>
      <w:t xml:space="preserve">                                               Informe de las Finanzas Públicas </w:t>
    </w:r>
  </w:p>
  <w:p w:rsidR="00514A0D" w:rsidRDefault="00514A0D" w:rsidP="004F33E6">
    <w:pPr>
      <w:pStyle w:val="Encabezado"/>
      <w:jc w:val="right"/>
      <w:rPr>
        <w:rFonts w:ascii="Times New Roman" w:hAnsi="Times New Roman"/>
        <w:color w:val="0F243E" w:themeColor="text2" w:themeShade="80"/>
        <w:sz w:val="20"/>
        <w:szCs w:val="20"/>
      </w:rPr>
    </w:pPr>
    <w:r w:rsidRPr="004920BA">
      <w:rPr>
        <w:noProof/>
        <w:color w:val="0F243E" w:themeColor="text2" w:themeShade="80"/>
        <w:lang w:eastAsia="es-GT"/>
      </w:rPr>
      <mc:AlternateContent>
        <mc:Choice Requires="wps">
          <w:drawing>
            <wp:anchor distT="4294967295" distB="4294967295" distL="114300" distR="114300" simplePos="0" relativeHeight="251659264" behindDoc="0" locked="0" layoutInCell="1" allowOverlap="1" wp14:anchorId="024B29D0" wp14:editId="188FB3A2">
              <wp:simplePos x="0" y="0"/>
              <wp:positionH relativeFrom="column">
                <wp:posOffset>1986915</wp:posOffset>
              </wp:positionH>
              <wp:positionV relativeFrom="paragraph">
                <wp:posOffset>146050</wp:posOffset>
              </wp:positionV>
              <wp:extent cx="4010025" cy="0"/>
              <wp:effectExtent l="19050" t="38100" r="66675" b="114300"/>
              <wp:wrapNone/>
              <wp:docPr id="2"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12700" cmpd="sng">
                        <a:solidFill>
                          <a:srgbClr val="4579B8"/>
                        </a:solidFill>
                        <a:round/>
                        <a:headEnd/>
                        <a:tailEn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0CB08D5" id="6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6.45pt,11.5pt" to="472.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" strokecolor="#4579b8" strokeweight="1pt">
              <v:shadow on="t" color="black" opacity="26214f" origin="-.5,-.5" offset=".74836mm,.74836mm"/>
              <o:lock v:ext="edit" shapetype="f"/>
            </v:line>
          </w:pict>
        </mc:Fallback>
      </mc:AlternateContent>
    </w:r>
    <w:r w:rsidRPr="004920BA">
      <w:rPr>
        <w:rFonts w:ascii="Times New Roman" w:hAnsi="Times New Roman"/>
        <w:b/>
        <w:color w:val="0F243E" w:themeColor="text2" w:themeShade="80"/>
      </w:rPr>
      <w:t xml:space="preserve"> </w:t>
    </w:r>
    <w:r w:rsidRPr="004920BA">
      <w:rPr>
        <w:rFonts w:ascii="Times New Roman" w:hAnsi="Times New Roman"/>
        <w:b/>
        <w:color w:val="0F243E" w:themeColor="text2" w:themeShade="80"/>
      </w:rPr>
      <w:tab/>
      <w:t xml:space="preserve">                                                            </w:t>
    </w:r>
    <w:r>
      <w:rPr>
        <w:rFonts w:ascii="Times New Roman" w:hAnsi="Times New Roman"/>
        <w:color w:val="0F243E" w:themeColor="text2" w:themeShade="80"/>
        <w:sz w:val="20"/>
        <w:szCs w:val="20"/>
      </w:rPr>
      <w:t>Noviembre</w:t>
    </w:r>
    <w:r w:rsidR="001D7CAE">
      <w:rPr>
        <w:rFonts w:ascii="Times New Roman" w:hAnsi="Times New Roman"/>
        <w:color w:val="0F243E" w:themeColor="text2" w:themeShade="80"/>
        <w:sz w:val="20"/>
        <w:szCs w:val="20"/>
      </w:rPr>
      <w:t xml:space="preserve"> 2015</w:t>
    </w:r>
  </w:p>
  <w:p w:rsidR="00514A0D" w:rsidRDefault="00514A0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8A" w:rsidRDefault="001D6156">
    <w:pPr>
      <w:pStyle w:val="Encabezado"/>
    </w:pPr>
    <w:r w:rsidRPr="004920BA">
      <w:rPr>
        <w:noProof/>
        <w:color w:val="0F243E" w:themeColor="text2" w:themeShade="80"/>
        <w:lang w:eastAsia="es-GT"/>
      </w:rPr>
      <mc:AlternateContent>
        <mc:Choice Requires="wps">
          <w:drawing>
            <wp:anchor distT="4294967295" distB="4294967295" distL="114300" distR="114300" simplePos="0" relativeHeight="251669504" behindDoc="0" locked="0" layoutInCell="1" allowOverlap="1" wp14:anchorId="067AEAEF" wp14:editId="34938F38">
              <wp:simplePos x="0" y="0"/>
              <wp:positionH relativeFrom="column">
                <wp:posOffset>2072640</wp:posOffset>
              </wp:positionH>
              <wp:positionV relativeFrom="paragraph">
                <wp:posOffset>268605</wp:posOffset>
              </wp:positionV>
              <wp:extent cx="4010025" cy="0"/>
              <wp:effectExtent l="19050" t="38100" r="66675" b="114300"/>
              <wp:wrapNone/>
              <wp:docPr id="19"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010025" cy="0"/>
                      </a:xfrm>
                      <a:prstGeom prst="line">
                        <a:avLst/>
                      </a:prstGeom>
                      <a:noFill/>
                      <a:ln w="12700" cmpd="sng">
                        <a:solidFill>
                          <a:srgbClr val="4579B8"/>
                        </a:solidFill>
                        <a:round/>
                        <a:headEnd/>
                        <a:tailEn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2103B9B" id="6 Conector recto"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3.2pt,21.15pt" to="478.9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" strokecolor="#4579b8" strokeweight="1pt">
              <v:shadow on="t" color="black" opacity="26214f" origin="-.5,-.5" offset=".74836mm,.74836mm"/>
              <o:lock v:ext="edit" shapetype="f"/>
            </v:line>
          </w:pict>
        </mc:Fallback>
      </mc:AlternateContent>
    </w:r>
    <w:r w:rsidR="00F3558A">
      <w:rPr>
        <w:rFonts w:ascii="Times New Roman" w:hAnsi="Times New Roman" w:cs="Times New Roman"/>
        <w:noProof/>
        <w:color w:val="1F497D"/>
        <w:sz w:val="24"/>
        <w:szCs w:val="24"/>
        <w:lang w:eastAsia="es-GT"/>
      </w:rPr>
      <w:drawing>
        <wp:anchor distT="0" distB="0" distL="114300" distR="114300" simplePos="0" relativeHeight="251667456" behindDoc="0" locked="0" layoutInCell="1" allowOverlap="1" wp14:anchorId="0F6134A6" wp14:editId="1F2D7D2D">
          <wp:simplePos x="0" y="0"/>
          <wp:positionH relativeFrom="column">
            <wp:posOffset>-175260</wp:posOffset>
          </wp:positionH>
          <wp:positionV relativeFrom="paragraph">
            <wp:posOffset>-259080</wp:posOffset>
          </wp:positionV>
          <wp:extent cx="2219325" cy="666115"/>
          <wp:effectExtent l="0" t="0" r="9525" b="635"/>
          <wp:wrapSquare wrapText="bothSides"/>
          <wp:docPr id="17" name="Imagen 17" descr="Descripción: C:\Users\rrodas\AppData\Roaming\Microsoft\Firmas\Firma 2015\Firma800x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C:\Users\rrodas\AppData\Roaming\Microsoft\Firmas\Firma 2015\Firma800x95.jpg"/>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60441"/>
                  <a:stretch/>
                </pic:blipFill>
                <pic:spPr bwMode="auto">
                  <a:xfrm>
                    <a:off x="0" y="0"/>
                    <a:ext cx="2219325" cy="666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E0245"/>
    <w:multiLevelType w:val="hybridMultilevel"/>
    <w:tmpl w:val="64A6897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0E6C7D70"/>
    <w:multiLevelType w:val="hybridMultilevel"/>
    <w:tmpl w:val="F84E84CE"/>
    <w:lvl w:ilvl="0" w:tplc="100A0003">
      <w:start w:val="1"/>
      <w:numFmt w:val="bullet"/>
      <w:lvlText w:val="o"/>
      <w:lvlJc w:val="left"/>
      <w:pPr>
        <w:ind w:left="360" w:hanging="360"/>
      </w:pPr>
      <w:rPr>
        <w:rFonts w:ascii="Courier New" w:hAnsi="Courier New" w:cs="Courier New"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 w15:restartNumberingAfterBreak="0">
    <w:nsid w:val="17F126D8"/>
    <w:multiLevelType w:val="hybridMultilevel"/>
    <w:tmpl w:val="BC5A8266"/>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1E6B3375"/>
    <w:multiLevelType w:val="hybridMultilevel"/>
    <w:tmpl w:val="A810E6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34EB554F"/>
    <w:multiLevelType w:val="hybridMultilevel"/>
    <w:tmpl w:val="0F3E003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15:restartNumberingAfterBreak="0">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52E54F57"/>
    <w:multiLevelType w:val="hybridMultilevel"/>
    <w:tmpl w:val="25C8AD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52F01983"/>
    <w:multiLevelType w:val="hybridMultilevel"/>
    <w:tmpl w:val="C5BEC198"/>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15:restartNumberingAfterBreak="0">
    <w:nsid w:val="650D750F"/>
    <w:multiLevelType w:val="hybridMultilevel"/>
    <w:tmpl w:val="13BC78F2"/>
    <w:lvl w:ilvl="0" w:tplc="100A0003">
      <w:start w:val="1"/>
      <w:numFmt w:val="bullet"/>
      <w:lvlText w:val="o"/>
      <w:lvlJc w:val="left"/>
      <w:pPr>
        <w:ind w:left="360" w:hanging="360"/>
      </w:pPr>
      <w:rPr>
        <w:rFonts w:ascii="Courier New" w:hAnsi="Courier New" w:cs="Courier New"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 w15:restartNumberingAfterBreak="0">
    <w:nsid w:val="7B042D2F"/>
    <w:multiLevelType w:val="hybridMultilevel"/>
    <w:tmpl w:val="4482B690"/>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7"/>
  </w:num>
  <w:num w:numId="4">
    <w:abstractNumId w:val="6"/>
  </w:num>
  <w:num w:numId="5">
    <w:abstractNumId w:val="0"/>
  </w:num>
  <w:num w:numId="6">
    <w:abstractNumId w:val="8"/>
  </w:num>
  <w:num w:numId="7">
    <w:abstractNumId w:val="1"/>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19D"/>
    <w:rsid w:val="0000279B"/>
    <w:rsid w:val="00006163"/>
    <w:rsid w:val="0001103E"/>
    <w:rsid w:val="000144B8"/>
    <w:rsid w:val="00014EF9"/>
    <w:rsid w:val="000218E4"/>
    <w:rsid w:val="000223DF"/>
    <w:rsid w:val="00023D4B"/>
    <w:rsid w:val="0002491C"/>
    <w:rsid w:val="000325F1"/>
    <w:rsid w:val="00036F95"/>
    <w:rsid w:val="00052A94"/>
    <w:rsid w:val="0005787E"/>
    <w:rsid w:val="000615FB"/>
    <w:rsid w:val="00064896"/>
    <w:rsid w:val="0006628E"/>
    <w:rsid w:val="00085D70"/>
    <w:rsid w:val="00086C30"/>
    <w:rsid w:val="00087F6F"/>
    <w:rsid w:val="00096A84"/>
    <w:rsid w:val="000A0045"/>
    <w:rsid w:val="000B12B4"/>
    <w:rsid w:val="000C208B"/>
    <w:rsid w:val="000C45CB"/>
    <w:rsid w:val="000D3651"/>
    <w:rsid w:val="000D4124"/>
    <w:rsid w:val="000F05F1"/>
    <w:rsid w:val="000F1C17"/>
    <w:rsid w:val="000F3399"/>
    <w:rsid w:val="00104BCC"/>
    <w:rsid w:val="0011325F"/>
    <w:rsid w:val="0011615B"/>
    <w:rsid w:val="00121DB5"/>
    <w:rsid w:val="001304C1"/>
    <w:rsid w:val="001312E2"/>
    <w:rsid w:val="00133C2E"/>
    <w:rsid w:val="0013777B"/>
    <w:rsid w:val="00143392"/>
    <w:rsid w:val="00144D97"/>
    <w:rsid w:val="00147046"/>
    <w:rsid w:val="00153937"/>
    <w:rsid w:val="00175604"/>
    <w:rsid w:val="0017625F"/>
    <w:rsid w:val="001776C1"/>
    <w:rsid w:val="00180A63"/>
    <w:rsid w:val="00185C2A"/>
    <w:rsid w:val="00187E46"/>
    <w:rsid w:val="00190529"/>
    <w:rsid w:val="00192BF3"/>
    <w:rsid w:val="00193091"/>
    <w:rsid w:val="001930BE"/>
    <w:rsid w:val="001A5C5B"/>
    <w:rsid w:val="001A77F0"/>
    <w:rsid w:val="001C18D9"/>
    <w:rsid w:val="001C65B4"/>
    <w:rsid w:val="001C7E42"/>
    <w:rsid w:val="001D5FFD"/>
    <w:rsid w:val="001D6156"/>
    <w:rsid w:val="001D7CAE"/>
    <w:rsid w:val="001F6B3A"/>
    <w:rsid w:val="001F7AAA"/>
    <w:rsid w:val="00202D3E"/>
    <w:rsid w:val="00213F7F"/>
    <w:rsid w:val="0023606E"/>
    <w:rsid w:val="002379E4"/>
    <w:rsid w:val="00241A5F"/>
    <w:rsid w:val="00243EBC"/>
    <w:rsid w:val="00250FFF"/>
    <w:rsid w:val="00251CC0"/>
    <w:rsid w:val="00254173"/>
    <w:rsid w:val="00260F96"/>
    <w:rsid w:val="002648CE"/>
    <w:rsid w:val="002673C1"/>
    <w:rsid w:val="00280FEF"/>
    <w:rsid w:val="002965B6"/>
    <w:rsid w:val="002A1B95"/>
    <w:rsid w:val="002C56BD"/>
    <w:rsid w:val="002C63C8"/>
    <w:rsid w:val="002D334C"/>
    <w:rsid w:val="002D56D4"/>
    <w:rsid w:val="002E1DC3"/>
    <w:rsid w:val="002E4033"/>
    <w:rsid w:val="002E519C"/>
    <w:rsid w:val="002E5DD8"/>
    <w:rsid w:val="002F2C00"/>
    <w:rsid w:val="002F7F16"/>
    <w:rsid w:val="003019EB"/>
    <w:rsid w:val="00302AA3"/>
    <w:rsid w:val="003059BA"/>
    <w:rsid w:val="00307B5A"/>
    <w:rsid w:val="00321919"/>
    <w:rsid w:val="00331657"/>
    <w:rsid w:val="00337B72"/>
    <w:rsid w:val="003403D7"/>
    <w:rsid w:val="00340DF7"/>
    <w:rsid w:val="003427C9"/>
    <w:rsid w:val="003467E1"/>
    <w:rsid w:val="00347112"/>
    <w:rsid w:val="00347136"/>
    <w:rsid w:val="0035145C"/>
    <w:rsid w:val="0035710A"/>
    <w:rsid w:val="00361D91"/>
    <w:rsid w:val="00363CC7"/>
    <w:rsid w:val="00364591"/>
    <w:rsid w:val="003670BA"/>
    <w:rsid w:val="003673D2"/>
    <w:rsid w:val="00390B00"/>
    <w:rsid w:val="00391A64"/>
    <w:rsid w:val="003A1AFD"/>
    <w:rsid w:val="003A2318"/>
    <w:rsid w:val="003A6548"/>
    <w:rsid w:val="003B2B5F"/>
    <w:rsid w:val="003B3B5C"/>
    <w:rsid w:val="003B45AB"/>
    <w:rsid w:val="003B53E4"/>
    <w:rsid w:val="003C1D41"/>
    <w:rsid w:val="003D0A2F"/>
    <w:rsid w:val="003E474A"/>
    <w:rsid w:val="003E4AE1"/>
    <w:rsid w:val="003F15E8"/>
    <w:rsid w:val="003F1A34"/>
    <w:rsid w:val="003F5CC7"/>
    <w:rsid w:val="003F790A"/>
    <w:rsid w:val="00401ADD"/>
    <w:rsid w:val="00402D20"/>
    <w:rsid w:val="00411A5E"/>
    <w:rsid w:val="00412884"/>
    <w:rsid w:val="00414A9B"/>
    <w:rsid w:val="00415FEB"/>
    <w:rsid w:val="00416B79"/>
    <w:rsid w:val="004178D1"/>
    <w:rsid w:val="004216E9"/>
    <w:rsid w:val="00424759"/>
    <w:rsid w:val="00432456"/>
    <w:rsid w:val="00434261"/>
    <w:rsid w:val="004346A4"/>
    <w:rsid w:val="004404D5"/>
    <w:rsid w:val="00447E22"/>
    <w:rsid w:val="00452C37"/>
    <w:rsid w:val="00455923"/>
    <w:rsid w:val="00461623"/>
    <w:rsid w:val="00463C49"/>
    <w:rsid w:val="004761EA"/>
    <w:rsid w:val="00477CEF"/>
    <w:rsid w:val="00481460"/>
    <w:rsid w:val="00484805"/>
    <w:rsid w:val="00497A4C"/>
    <w:rsid w:val="004A4B43"/>
    <w:rsid w:val="004A7194"/>
    <w:rsid w:val="004A7A50"/>
    <w:rsid w:val="004B5EA8"/>
    <w:rsid w:val="004B67DD"/>
    <w:rsid w:val="004C3723"/>
    <w:rsid w:val="004C3829"/>
    <w:rsid w:val="004C7CB8"/>
    <w:rsid w:val="004D102C"/>
    <w:rsid w:val="004D119D"/>
    <w:rsid w:val="004D175D"/>
    <w:rsid w:val="004D1837"/>
    <w:rsid w:val="004D25DB"/>
    <w:rsid w:val="004D5ED5"/>
    <w:rsid w:val="004E0E28"/>
    <w:rsid w:val="004E298E"/>
    <w:rsid w:val="004E2AA7"/>
    <w:rsid w:val="004E7747"/>
    <w:rsid w:val="004F33E6"/>
    <w:rsid w:val="004F6C0D"/>
    <w:rsid w:val="00502602"/>
    <w:rsid w:val="005034CF"/>
    <w:rsid w:val="0050369A"/>
    <w:rsid w:val="00511309"/>
    <w:rsid w:val="00513CC1"/>
    <w:rsid w:val="00514A0D"/>
    <w:rsid w:val="00517088"/>
    <w:rsid w:val="00517B6F"/>
    <w:rsid w:val="005208A8"/>
    <w:rsid w:val="0052651D"/>
    <w:rsid w:val="00536E71"/>
    <w:rsid w:val="005374A7"/>
    <w:rsid w:val="0054349D"/>
    <w:rsid w:val="00552AE0"/>
    <w:rsid w:val="005535BC"/>
    <w:rsid w:val="00561ED2"/>
    <w:rsid w:val="005715C1"/>
    <w:rsid w:val="00591262"/>
    <w:rsid w:val="00593B7D"/>
    <w:rsid w:val="005A1C38"/>
    <w:rsid w:val="005A4805"/>
    <w:rsid w:val="005A67B2"/>
    <w:rsid w:val="005B0ABD"/>
    <w:rsid w:val="005B307F"/>
    <w:rsid w:val="005B353A"/>
    <w:rsid w:val="005B665F"/>
    <w:rsid w:val="005B70C8"/>
    <w:rsid w:val="005C206F"/>
    <w:rsid w:val="005C5F82"/>
    <w:rsid w:val="005D40DF"/>
    <w:rsid w:val="005D44F3"/>
    <w:rsid w:val="005D49B9"/>
    <w:rsid w:val="005D50AE"/>
    <w:rsid w:val="005D5F5D"/>
    <w:rsid w:val="005D6A2E"/>
    <w:rsid w:val="005E3FB4"/>
    <w:rsid w:val="005F055F"/>
    <w:rsid w:val="005F0A80"/>
    <w:rsid w:val="005F35B6"/>
    <w:rsid w:val="005F4407"/>
    <w:rsid w:val="005F51A7"/>
    <w:rsid w:val="005F6A2D"/>
    <w:rsid w:val="00602D97"/>
    <w:rsid w:val="00604231"/>
    <w:rsid w:val="0061149F"/>
    <w:rsid w:val="0061268A"/>
    <w:rsid w:val="006158C9"/>
    <w:rsid w:val="00616245"/>
    <w:rsid w:val="00621B84"/>
    <w:rsid w:val="00631978"/>
    <w:rsid w:val="00633167"/>
    <w:rsid w:val="006431F0"/>
    <w:rsid w:val="006447EF"/>
    <w:rsid w:val="00647B24"/>
    <w:rsid w:val="00651BD9"/>
    <w:rsid w:val="006604BF"/>
    <w:rsid w:val="00665599"/>
    <w:rsid w:val="006700AA"/>
    <w:rsid w:val="00682276"/>
    <w:rsid w:val="006869AC"/>
    <w:rsid w:val="00691863"/>
    <w:rsid w:val="0069219D"/>
    <w:rsid w:val="006A1460"/>
    <w:rsid w:val="006A1DF4"/>
    <w:rsid w:val="006A41E1"/>
    <w:rsid w:val="006B195A"/>
    <w:rsid w:val="006B54A8"/>
    <w:rsid w:val="006D7DB2"/>
    <w:rsid w:val="006E1511"/>
    <w:rsid w:val="006F1F3C"/>
    <w:rsid w:val="006F4743"/>
    <w:rsid w:val="006F6B33"/>
    <w:rsid w:val="00700D9C"/>
    <w:rsid w:val="0070602D"/>
    <w:rsid w:val="00716EC6"/>
    <w:rsid w:val="00717219"/>
    <w:rsid w:val="00725167"/>
    <w:rsid w:val="00735F1A"/>
    <w:rsid w:val="00736B2A"/>
    <w:rsid w:val="00737E9D"/>
    <w:rsid w:val="00744BE8"/>
    <w:rsid w:val="00745745"/>
    <w:rsid w:val="00747124"/>
    <w:rsid w:val="0075132A"/>
    <w:rsid w:val="007521DF"/>
    <w:rsid w:val="007523F2"/>
    <w:rsid w:val="00752D0A"/>
    <w:rsid w:val="007555A9"/>
    <w:rsid w:val="00761DC6"/>
    <w:rsid w:val="007657FE"/>
    <w:rsid w:val="0076615E"/>
    <w:rsid w:val="00767783"/>
    <w:rsid w:val="0077568B"/>
    <w:rsid w:val="00791653"/>
    <w:rsid w:val="00793ED4"/>
    <w:rsid w:val="007A582C"/>
    <w:rsid w:val="007B1BEA"/>
    <w:rsid w:val="007B2B63"/>
    <w:rsid w:val="007B4CA9"/>
    <w:rsid w:val="007B4E74"/>
    <w:rsid w:val="007C192C"/>
    <w:rsid w:val="007C2981"/>
    <w:rsid w:val="007C5BFA"/>
    <w:rsid w:val="007C6AD8"/>
    <w:rsid w:val="007E44A6"/>
    <w:rsid w:val="0080534A"/>
    <w:rsid w:val="008142D3"/>
    <w:rsid w:val="00820BB6"/>
    <w:rsid w:val="00820F08"/>
    <w:rsid w:val="0082136D"/>
    <w:rsid w:val="00830E8B"/>
    <w:rsid w:val="00833EAC"/>
    <w:rsid w:val="0083521C"/>
    <w:rsid w:val="008433CC"/>
    <w:rsid w:val="00861F4B"/>
    <w:rsid w:val="0087661E"/>
    <w:rsid w:val="00884F24"/>
    <w:rsid w:val="008A11BA"/>
    <w:rsid w:val="008A3FC4"/>
    <w:rsid w:val="008A402F"/>
    <w:rsid w:val="008B278F"/>
    <w:rsid w:val="008B416B"/>
    <w:rsid w:val="008B6457"/>
    <w:rsid w:val="008B691C"/>
    <w:rsid w:val="008C6F05"/>
    <w:rsid w:val="008D2678"/>
    <w:rsid w:val="008D31D1"/>
    <w:rsid w:val="008D7CCF"/>
    <w:rsid w:val="008E347B"/>
    <w:rsid w:val="008F393E"/>
    <w:rsid w:val="008F3ADB"/>
    <w:rsid w:val="008F5C87"/>
    <w:rsid w:val="008F6273"/>
    <w:rsid w:val="008F711C"/>
    <w:rsid w:val="009005BD"/>
    <w:rsid w:val="00905DA8"/>
    <w:rsid w:val="00905F97"/>
    <w:rsid w:val="0090797A"/>
    <w:rsid w:val="009104F5"/>
    <w:rsid w:val="00924808"/>
    <w:rsid w:val="00927322"/>
    <w:rsid w:val="00934ECA"/>
    <w:rsid w:val="009430F9"/>
    <w:rsid w:val="009436A6"/>
    <w:rsid w:val="009441F3"/>
    <w:rsid w:val="00946345"/>
    <w:rsid w:val="00954227"/>
    <w:rsid w:val="00957AD9"/>
    <w:rsid w:val="00960998"/>
    <w:rsid w:val="009926B0"/>
    <w:rsid w:val="00997630"/>
    <w:rsid w:val="009A4D6F"/>
    <w:rsid w:val="009B155E"/>
    <w:rsid w:val="009B2773"/>
    <w:rsid w:val="009B2AEC"/>
    <w:rsid w:val="009B6438"/>
    <w:rsid w:val="009C51F5"/>
    <w:rsid w:val="009D14D4"/>
    <w:rsid w:val="009D355D"/>
    <w:rsid w:val="009E2242"/>
    <w:rsid w:val="009E7CF4"/>
    <w:rsid w:val="009F2B02"/>
    <w:rsid w:val="00A03A90"/>
    <w:rsid w:val="00A05327"/>
    <w:rsid w:val="00A055EA"/>
    <w:rsid w:val="00A14E8E"/>
    <w:rsid w:val="00A17E2A"/>
    <w:rsid w:val="00A34DC6"/>
    <w:rsid w:val="00A5549C"/>
    <w:rsid w:val="00A5672F"/>
    <w:rsid w:val="00A6098E"/>
    <w:rsid w:val="00A61899"/>
    <w:rsid w:val="00A62B01"/>
    <w:rsid w:val="00A7715A"/>
    <w:rsid w:val="00A77604"/>
    <w:rsid w:val="00A8387B"/>
    <w:rsid w:val="00A96C4E"/>
    <w:rsid w:val="00A96D93"/>
    <w:rsid w:val="00AA0AA8"/>
    <w:rsid w:val="00AA1CD3"/>
    <w:rsid w:val="00AA2396"/>
    <w:rsid w:val="00AA5DA7"/>
    <w:rsid w:val="00AB2BB4"/>
    <w:rsid w:val="00AC013B"/>
    <w:rsid w:val="00AC1177"/>
    <w:rsid w:val="00AC144F"/>
    <w:rsid w:val="00AC1844"/>
    <w:rsid w:val="00AC4F76"/>
    <w:rsid w:val="00AC5A63"/>
    <w:rsid w:val="00AE060E"/>
    <w:rsid w:val="00AE3079"/>
    <w:rsid w:val="00AE5569"/>
    <w:rsid w:val="00AF23F8"/>
    <w:rsid w:val="00AF7D0D"/>
    <w:rsid w:val="00B05E5B"/>
    <w:rsid w:val="00B15D96"/>
    <w:rsid w:val="00B22062"/>
    <w:rsid w:val="00B22209"/>
    <w:rsid w:val="00B23003"/>
    <w:rsid w:val="00B2535B"/>
    <w:rsid w:val="00B2631D"/>
    <w:rsid w:val="00B3428E"/>
    <w:rsid w:val="00B4449D"/>
    <w:rsid w:val="00B4557B"/>
    <w:rsid w:val="00B52DE1"/>
    <w:rsid w:val="00B53352"/>
    <w:rsid w:val="00B5403F"/>
    <w:rsid w:val="00B613E3"/>
    <w:rsid w:val="00B64B0B"/>
    <w:rsid w:val="00B73AA3"/>
    <w:rsid w:val="00B73E4A"/>
    <w:rsid w:val="00B76F0B"/>
    <w:rsid w:val="00B77569"/>
    <w:rsid w:val="00B81700"/>
    <w:rsid w:val="00B924BC"/>
    <w:rsid w:val="00B9355A"/>
    <w:rsid w:val="00BA47A5"/>
    <w:rsid w:val="00BA6D30"/>
    <w:rsid w:val="00BB148F"/>
    <w:rsid w:val="00BC66A3"/>
    <w:rsid w:val="00BD010A"/>
    <w:rsid w:val="00BD1CE6"/>
    <w:rsid w:val="00BD3E3B"/>
    <w:rsid w:val="00BE0BE2"/>
    <w:rsid w:val="00BE38F1"/>
    <w:rsid w:val="00BE3C73"/>
    <w:rsid w:val="00BE7AF5"/>
    <w:rsid w:val="00C045C6"/>
    <w:rsid w:val="00C071AD"/>
    <w:rsid w:val="00C1022E"/>
    <w:rsid w:val="00C17F92"/>
    <w:rsid w:val="00C2681C"/>
    <w:rsid w:val="00C35836"/>
    <w:rsid w:val="00C35E71"/>
    <w:rsid w:val="00C43C45"/>
    <w:rsid w:val="00C54E14"/>
    <w:rsid w:val="00C65730"/>
    <w:rsid w:val="00C758CD"/>
    <w:rsid w:val="00C77295"/>
    <w:rsid w:val="00C8084A"/>
    <w:rsid w:val="00C9060C"/>
    <w:rsid w:val="00C941B7"/>
    <w:rsid w:val="00C94B24"/>
    <w:rsid w:val="00C96DB6"/>
    <w:rsid w:val="00CA6323"/>
    <w:rsid w:val="00CA7FBA"/>
    <w:rsid w:val="00CB3DF3"/>
    <w:rsid w:val="00CC4212"/>
    <w:rsid w:val="00CC55A3"/>
    <w:rsid w:val="00CC671B"/>
    <w:rsid w:val="00CD19A7"/>
    <w:rsid w:val="00CD387F"/>
    <w:rsid w:val="00CE325C"/>
    <w:rsid w:val="00CE3391"/>
    <w:rsid w:val="00CE65F2"/>
    <w:rsid w:val="00CF75CE"/>
    <w:rsid w:val="00CF7969"/>
    <w:rsid w:val="00D005FE"/>
    <w:rsid w:val="00D031AE"/>
    <w:rsid w:val="00D0565B"/>
    <w:rsid w:val="00D102CA"/>
    <w:rsid w:val="00D129AD"/>
    <w:rsid w:val="00D15F20"/>
    <w:rsid w:val="00D22FD7"/>
    <w:rsid w:val="00D32286"/>
    <w:rsid w:val="00D34F5F"/>
    <w:rsid w:val="00D43F6D"/>
    <w:rsid w:val="00D456DA"/>
    <w:rsid w:val="00D525BC"/>
    <w:rsid w:val="00D628B2"/>
    <w:rsid w:val="00D66D79"/>
    <w:rsid w:val="00D757F6"/>
    <w:rsid w:val="00D846CF"/>
    <w:rsid w:val="00D8643B"/>
    <w:rsid w:val="00D93A08"/>
    <w:rsid w:val="00D95551"/>
    <w:rsid w:val="00DA0020"/>
    <w:rsid w:val="00DA4EAF"/>
    <w:rsid w:val="00DA5076"/>
    <w:rsid w:val="00DA62B0"/>
    <w:rsid w:val="00DB315D"/>
    <w:rsid w:val="00DC01D4"/>
    <w:rsid w:val="00DC14E7"/>
    <w:rsid w:val="00DC3AAF"/>
    <w:rsid w:val="00DC4925"/>
    <w:rsid w:val="00DC663F"/>
    <w:rsid w:val="00DC7C33"/>
    <w:rsid w:val="00DD0E60"/>
    <w:rsid w:val="00DD2511"/>
    <w:rsid w:val="00DD60A3"/>
    <w:rsid w:val="00DD6CEE"/>
    <w:rsid w:val="00DE02BD"/>
    <w:rsid w:val="00DE6986"/>
    <w:rsid w:val="00DF15DF"/>
    <w:rsid w:val="00E056DD"/>
    <w:rsid w:val="00E124C2"/>
    <w:rsid w:val="00E14339"/>
    <w:rsid w:val="00E146C2"/>
    <w:rsid w:val="00E16CD1"/>
    <w:rsid w:val="00E238E4"/>
    <w:rsid w:val="00E25C89"/>
    <w:rsid w:val="00E2792F"/>
    <w:rsid w:val="00E31BD0"/>
    <w:rsid w:val="00E36A9A"/>
    <w:rsid w:val="00E3720E"/>
    <w:rsid w:val="00E40CB4"/>
    <w:rsid w:val="00E40D59"/>
    <w:rsid w:val="00E469EE"/>
    <w:rsid w:val="00E47D28"/>
    <w:rsid w:val="00E51331"/>
    <w:rsid w:val="00E56744"/>
    <w:rsid w:val="00E61573"/>
    <w:rsid w:val="00E61CD5"/>
    <w:rsid w:val="00E64B19"/>
    <w:rsid w:val="00E81CCE"/>
    <w:rsid w:val="00E85926"/>
    <w:rsid w:val="00E86E51"/>
    <w:rsid w:val="00E927F8"/>
    <w:rsid w:val="00EB2D42"/>
    <w:rsid w:val="00EB7660"/>
    <w:rsid w:val="00EC042F"/>
    <w:rsid w:val="00EC7647"/>
    <w:rsid w:val="00ED1F79"/>
    <w:rsid w:val="00ED5771"/>
    <w:rsid w:val="00ED79F5"/>
    <w:rsid w:val="00ED7FC0"/>
    <w:rsid w:val="00EE043D"/>
    <w:rsid w:val="00EE237D"/>
    <w:rsid w:val="00EE4CF1"/>
    <w:rsid w:val="00EF0BFB"/>
    <w:rsid w:val="00EF703A"/>
    <w:rsid w:val="00F00EA5"/>
    <w:rsid w:val="00F14190"/>
    <w:rsid w:val="00F17C21"/>
    <w:rsid w:val="00F22F4D"/>
    <w:rsid w:val="00F34B28"/>
    <w:rsid w:val="00F3558A"/>
    <w:rsid w:val="00F36362"/>
    <w:rsid w:val="00F4033A"/>
    <w:rsid w:val="00F410A0"/>
    <w:rsid w:val="00F414F3"/>
    <w:rsid w:val="00F45FF3"/>
    <w:rsid w:val="00F4658E"/>
    <w:rsid w:val="00F47CFF"/>
    <w:rsid w:val="00F54283"/>
    <w:rsid w:val="00F66544"/>
    <w:rsid w:val="00F75980"/>
    <w:rsid w:val="00F844E6"/>
    <w:rsid w:val="00F92177"/>
    <w:rsid w:val="00F93173"/>
    <w:rsid w:val="00F95FDF"/>
    <w:rsid w:val="00F96354"/>
    <w:rsid w:val="00FB1906"/>
    <w:rsid w:val="00FB3B65"/>
    <w:rsid w:val="00FB4E25"/>
    <w:rsid w:val="00FB64DD"/>
    <w:rsid w:val="00FC1BD7"/>
    <w:rsid w:val="00FC449D"/>
    <w:rsid w:val="00FC7ADA"/>
    <w:rsid w:val="00FD23D8"/>
    <w:rsid w:val="00FF498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5402B"/>
  <w15:docId w15:val="{0B115326-7DC2-4BF7-9B37-AE5FE396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C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E5DD8"/>
    <w:pPr>
      <w:spacing w:after="0" w:line="240" w:lineRule="auto"/>
    </w:pPr>
  </w:style>
  <w:style w:type="paragraph" w:styleId="Textodeglobo">
    <w:name w:val="Balloon Text"/>
    <w:basedOn w:val="Normal"/>
    <w:link w:val="TextodegloboCar"/>
    <w:uiPriority w:val="99"/>
    <w:semiHidden/>
    <w:unhideWhenUsed/>
    <w:rsid w:val="00C94B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B24"/>
    <w:rPr>
      <w:rFonts w:ascii="Tahoma" w:hAnsi="Tahoma" w:cs="Tahoma"/>
      <w:sz w:val="16"/>
      <w:szCs w:val="16"/>
    </w:rPr>
  </w:style>
  <w:style w:type="paragraph" w:styleId="Encabezado">
    <w:name w:val="header"/>
    <w:basedOn w:val="Normal"/>
    <w:link w:val="EncabezadoCar"/>
    <w:uiPriority w:val="99"/>
    <w:unhideWhenUsed/>
    <w:rsid w:val="00A609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98E"/>
  </w:style>
  <w:style w:type="paragraph" w:styleId="Piedepgina">
    <w:name w:val="footer"/>
    <w:basedOn w:val="Normal"/>
    <w:link w:val="PiedepginaCar"/>
    <w:uiPriority w:val="99"/>
    <w:unhideWhenUsed/>
    <w:rsid w:val="00A609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098E"/>
  </w:style>
  <w:style w:type="paragraph" w:styleId="NormalWeb">
    <w:name w:val="Normal (Web)"/>
    <w:basedOn w:val="Normal"/>
    <w:uiPriority w:val="99"/>
    <w:unhideWhenUsed/>
    <w:rsid w:val="004F33E6"/>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customStyle="1" w:styleId="SinespaciadoCar">
    <w:name w:val="Sin espaciado Car"/>
    <w:basedOn w:val="Fuentedeprrafopredeter"/>
    <w:link w:val="Sinespaciado"/>
    <w:uiPriority w:val="1"/>
    <w:locked/>
    <w:rsid w:val="004F33E6"/>
  </w:style>
  <w:style w:type="character" w:styleId="Hipervnculo">
    <w:name w:val="Hyperlink"/>
    <w:basedOn w:val="Fuentedeprrafopredeter"/>
    <w:uiPriority w:val="99"/>
    <w:unhideWhenUsed/>
    <w:rsid w:val="006B54A8"/>
    <w:rPr>
      <w:color w:val="0000FF" w:themeColor="hyperlink"/>
      <w:u w:val="single"/>
    </w:rPr>
  </w:style>
  <w:style w:type="paragraph" w:styleId="Textonotapie">
    <w:name w:val="footnote text"/>
    <w:basedOn w:val="Normal"/>
    <w:link w:val="TextonotapieCar"/>
    <w:uiPriority w:val="99"/>
    <w:semiHidden/>
    <w:unhideWhenUsed/>
    <w:rsid w:val="006F1F3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F1F3C"/>
    <w:rPr>
      <w:sz w:val="20"/>
      <w:szCs w:val="20"/>
    </w:rPr>
  </w:style>
  <w:style w:type="character" w:styleId="Refdenotaalpie">
    <w:name w:val="footnote reference"/>
    <w:basedOn w:val="Fuentedeprrafopredeter"/>
    <w:uiPriority w:val="99"/>
    <w:semiHidden/>
    <w:unhideWhenUsed/>
    <w:rsid w:val="006F1F3C"/>
    <w:rPr>
      <w:vertAlign w:val="superscript"/>
    </w:rPr>
  </w:style>
  <w:style w:type="paragraph" w:styleId="Prrafodelista">
    <w:name w:val="List Paragraph"/>
    <w:basedOn w:val="Normal"/>
    <w:uiPriority w:val="34"/>
    <w:qFormat/>
    <w:rsid w:val="00391A64"/>
    <w:pPr>
      <w:spacing w:after="0" w:line="240" w:lineRule="auto"/>
      <w:ind w:left="720"/>
      <w:contextualSpacing/>
    </w:pPr>
    <w:rPr>
      <w:rFonts w:ascii="Times New Roman" w:hAnsi="Times New Roman"/>
      <w:sz w:val="24"/>
    </w:rPr>
  </w:style>
  <w:style w:type="paragraph" w:styleId="Textosinformato">
    <w:name w:val="Plain Text"/>
    <w:basedOn w:val="Normal"/>
    <w:link w:val="TextosinformatoCar"/>
    <w:uiPriority w:val="99"/>
    <w:unhideWhenUsed/>
    <w:rsid w:val="00A96C4E"/>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A96C4E"/>
    <w:rPr>
      <w:rFonts w:ascii="Calibri" w:hAnsi="Calibri"/>
      <w:szCs w:val="21"/>
    </w:rPr>
  </w:style>
  <w:style w:type="paragraph" w:customStyle="1" w:styleId="Default">
    <w:name w:val="Default"/>
    <w:rsid w:val="003A6548"/>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A62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8957">
      <w:bodyDiv w:val="1"/>
      <w:marLeft w:val="0"/>
      <w:marRight w:val="0"/>
      <w:marTop w:val="0"/>
      <w:marBottom w:val="0"/>
      <w:divBdr>
        <w:top w:val="none" w:sz="0" w:space="0" w:color="auto"/>
        <w:left w:val="none" w:sz="0" w:space="0" w:color="auto"/>
        <w:bottom w:val="none" w:sz="0" w:space="0" w:color="auto"/>
        <w:right w:val="none" w:sz="0" w:space="0" w:color="auto"/>
      </w:divBdr>
    </w:div>
    <w:div w:id="181012802">
      <w:bodyDiv w:val="1"/>
      <w:marLeft w:val="0"/>
      <w:marRight w:val="0"/>
      <w:marTop w:val="0"/>
      <w:marBottom w:val="0"/>
      <w:divBdr>
        <w:top w:val="none" w:sz="0" w:space="0" w:color="auto"/>
        <w:left w:val="none" w:sz="0" w:space="0" w:color="auto"/>
        <w:bottom w:val="none" w:sz="0" w:space="0" w:color="auto"/>
        <w:right w:val="none" w:sz="0" w:space="0" w:color="auto"/>
      </w:divBdr>
    </w:div>
    <w:div w:id="192307437">
      <w:bodyDiv w:val="1"/>
      <w:marLeft w:val="0"/>
      <w:marRight w:val="0"/>
      <w:marTop w:val="0"/>
      <w:marBottom w:val="0"/>
      <w:divBdr>
        <w:top w:val="none" w:sz="0" w:space="0" w:color="auto"/>
        <w:left w:val="none" w:sz="0" w:space="0" w:color="auto"/>
        <w:bottom w:val="none" w:sz="0" w:space="0" w:color="auto"/>
        <w:right w:val="none" w:sz="0" w:space="0" w:color="auto"/>
      </w:divBdr>
    </w:div>
    <w:div w:id="304236382">
      <w:bodyDiv w:val="1"/>
      <w:marLeft w:val="0"/>
      <w:marRight w:val="0"/>
      <w:marTop w:val="0"/>
      <w:marBottom w:val="0"/>
      <w:divBdr>
        <w:top w:val="none" w:sz="0" w:space="0" w:color="auto"/>
        <w:left w:val="none" w:sz="0" w:space="0" w:color="auto"/>
        <w:bottom w:val="none" w:sz="0" w:space="0" w:color="auto"/>
        <w:right w:val="none" w:sz="0" w:space="0" w:color="auto"/>
      </w:divBdr>
    </w:div>
    <w:div w:id="564528982">
      <w:bodyDiv w:val="1"/>
      <w:marLeft w:val="0"/>
      <w:marRight w:val="0"/>
      <w:marTop w:val="0"/>
      <w:marBottom w:val="0"/>
      <w:divBdr>
        <w:top w:val="none" w:sz="0" w:space="0" w:color="auto"/>
        <w:left w:val="none" w:sz="0" w:space="0" w:color="auto"/>
        <w:bottom w:val="none" w:sz="0" w:space="0" w:color="auto"/>
        <w:right w:val="none" w:sz="0" w:space="0" w:color="auto"/>
      </w:divBdr>
    </w:div>
    <w:div w:id="874539955">
      <w:bodyDiv w:val="1"/>
      <w:marLeft w:val="0"/>
      <w:marRight w:val="0"/>
      <w:marTop w:val="0"/>
      <w:marBottom w:val="0"/>
      <w:divBdr>
        <w:top w:val="none" w:sz="0" w:space="0" w:color="auto"/>
        <w:left w:val="none" w:sz="0" w:space="0" w:color="auto"/>
        <w:bottom w:val="none" w:sz="0" w:space="0" w:color="auto"/>
        <w:right w:val="none" w:sz="0" w:space="0" w:color="auto"/>
      </w:divBdr>
    </w:div>
    <w:div w:id="880827965">
      <w:bodyDiv w:val="1"/>
      <w:marLeft w:val="0"/>
      <w:marRight w:val="0"/>
      <w:marTop w:val="0"/>
      <w:marBottom w:val="0"/>
      <w:divBdr>
        <w:top w:val="none" w:sz="0" w:space="0" w:color="auto"/>
        <w:left w:val="none" w:sz="0" w:space="0" w:color="auto"/>
        <w:bottom w:val="none" w:sz="0" w:space="0" w:color="auto"/>
        <w:right w:val="none" w:sz="0" w:space="0" w:color="auto"/>
      </w:divBdr>
    </w:div>
    <w:div w:id="975719788">
      <w:bodyDiv w:val="1"/>
      <w:marLeft w:val="0"/>
      <w:marRight w:val="0"/>
      <w:marTop w:val="0"/>
      <w:marBottom w:val="0"/>
      <w:divBdr>
        <w:top w:val="none" w:sz="0" w:space="0" w:color="auto"/>
        <w:left w:val="none" w:sz="0" w:space="0" w:color="auto"/>
        <w:bottom w:val="none" w:sz="0" w:space="0" w:color="auto"/>
        <w:right w:val="none" w:sz="0" w:space="0" w:color="auto"/>
      </w:divBdr>
    </w:div>
    <w:div w:id="1333409051">
      <w:bodyDiv w:val="1"/>
      <w:marLeft w:val="0"/>
      <w:marRight w:val="0"/>
      <w:marTop w:val="0"/>
      <w:marBottom w:val="0"/>
      <w:divBdr>
        <w:top w:val="none" w:sz="0" w:space="0" w:color="auto"/>
        <w:left w:val="none" w:sz="0" w:space="0" w:color="auto"/>
        <w:bottom w:val="none" w:sz="0" w:space="0" w:color="auto"/>
        <w:right w:val="none" w:sz="0" w:space="0" w:color="auto"/>
      </w:divBdr>
    </w:div>
    <w:div w:id="152189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cid:image001.jpg@01D12382.AFFB7CF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1.jpg@01D12382.AFFB7C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B5485-C350-4A44-A181-627F6786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2213</Words>
  <Characters>12173</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Informe mensual de las Finanzas Públicas Noviembre 2015</vt:lpstr>
      <vt:lpstr/>
    </vt:vector>
  </TitlesOfParts>
  <Company>Microsoft</Company>
  <LinksUpToDate>false</LinksUpToDate>
  <CharactersWithSpaces>14358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mensual de las Finanzas Públicas Noviembre 2015</dc:title>
  <dc:creator>Raymundo Rodas Anleu</dc:creator>
  <cp:lastModifiedBy>Saul Enrique De León Meneses</cp:lastModifiedBy>
  <cp:revision>2</cp:revision>
  <cp:lastPrinted>2014-03-08T04:17:00Z</cp:lastPrinted>
  <dcterms:created xsi:type="dcterms:W3CDTF">2018-05-14T21:59:00Z</dcterms:created>
  <dcterms:modified xsi:type="dcterms:W3CDTF">2018-05-14T21:59:00Z</dcterms:modified>
</cp:coreProperties>
</file>