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3B4D01" w:rsidRDefault="00950874"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3B4D01" w:rsidSect="00754057">
          <w:headerReference w:type="default" r:id="rId9"/>
          <w:footerReference w:type="default" r:id="rId10"/>
          <w:pgSz w:w="12240" w:h="15840" w:code="1"/>
          <w:pgMar w:top="1418" w:right="1418" w:bottom="1418" w:left="1418" w:header="709" w:footer="709" w:gutter="0"/>
          <w:cols w:space="708"/>
          <w:docGrid w:linePitch="360"/>
        </w:sectPr>
      </w:pPr>
      <w:r w:rsidRPr="003B4D01">
        <w:rPr>
          <w:rFonts w:ascii="Times New Roman" w:hAnsi="Times New Roman" w:cs="Times New Roman"/>
          <w:b/>
          <w:lang w:val="es-MX"/>
        </w:rPr>
        <w:t>Febrero</w:t>
      </w:r>
      <w:r w:rsidR="00C646C4" w:rsidRPr="003B4D01">
        <w:rPr>
          <w:rFonts w:ascii="Times New Roman" w:hAnsi="Times New Roman" w:cs="Times New Roman"/>
          <w:b/>
          <w:lang w:val="es-MX"/>
        </w:rPr>
        <w:t xml:space="preserve"> cierra con superávit</w:t>
      </w:r>
      <w:r w:rsidR="00157402" w:rsidRPr="003B4D01">
        <w:rPr>
          <w:rFonts w:ascii="Times New Roman" w:hAnsi="Times New Roman" w:cs="Times New Roman"/>
          <w:b/>
          <w:lang w:val="es-MX"/>
        </w:rPr>
        <w:t xml:space="preserve"> fiscal </w:t>
      </w:r>
    </w:p>
    <w:p w:rsidR="007D4651" w:rsidRPr="003B4D01" w:rsidRDefault="007D4651" w:rsidP="007D4651">
      <w:pPr>
        <w:pStyle w:val="Sinespaciado"/>
        <w:rPr>
          <w:rFonts w:ascii="Times New Roman" w:hAnsi="Times New Roman" w:cs="Times New Roman"/>
          <w:b/>
          <w:sz w:val="18"/>
          <w:lang w:val="es-MX"/>
        </w:rPr>
      </w:pPr>
    </w:p>
    <w:p w:rsidR="007D4651" w:rsidRPr="00951729" w:rsidRDefault="007D4651" w:rsidP="007D4651">
      <w:pPr>
        <w:pStyle w:val="Sinespaciado"/>
        <w:jc w:val="center"/>
        <w:rPr>
          <w:rFonts w:ascii="Times New Roman" w:hAnsi="Times New Roman" w:cs="Times New Roman"/>
          <w:b/>
          <w:color w:val="FF0000"/>
          <w:lang w:val="es-MX"/>
        </w:rPr>
      </w:pPr>
    </w:p>
    <w:p w:rsidR="009C4027" w:rsidRPr="00951729" w:rsidRDefault="009C4027" w:rsidP="007D4651">
      <w:pPr>
        <w:pStyle w:val="Sinespaciado"/>
        <w:jc w:val="center"/>
        <w:rPr>
          <w:rFonts w:ascii="Times New Roman" w:hAnsi="Times New Roman" w:cs="Times New Roman"/>
          <w:b/>
          <w:color w:val="FF0000"/>
          <w:lang w:val="es-MX"/>
        </w:rPr>
        <w:sectPr w:rsidR="009C4027" w:rsidRPr="00951729" w:rsidSect="004E358C">
          <w:type w:val="continuous"/>
          <w:pgSz w:w="12240" w:h="15840"/>
          <w:pgMar w:top="1417" w:right="1701" w:bottom="1417" w:left="1701" w:header="708" w:footer="708" w:gutter="0"/>
          <w:cols w:space="708"/>
          <w:docGrid w:linePitch="360"/>
        </w:sectPr>
      </w:pPr>
    </w:p>
    <w:p w:rsidR="007D4651" w:rsidRPr="00951729" w:rsidRDefault="003B4D01" w:rsidP="008F312E">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como en años anteriores,</w:t>
      </w:r>
      <w:r w:rsidRPr="00F92177">
        <w:rPr>
          <w:rFonts w:ascii="Times New Roman" w:hAnsi="Times New Roman" w:cs="Times New Roman"/>
          <w:lang w:val="es-MX"/>
        </w:rPr>
        <w:t xml:space="preserve"> 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28 de febrero de 2017 en</w:t>
      </w:r>
      <w:r w:rsidRPr="00F92177">
        <w:rPr>
          <w:rFonts w:ascii="Times New Roman" w:hAnsi="Times New Roman" w:cs="Times New Roman"/>
          <w:lang w:val="es-MX"/>
        </w:rPr>
        <w:t xml:space="preserve"> Q</w:t>
      </w:r>
      <w:r>
        <w:rPr>
          <w:rFonts w:ascii="Times New Roman" w:hAnsi="Times New Roman" w:cs="Times New Roman"/>
          <w:lang w:val="es-MX"/>
        </w:rPr>
        <w:t xml:space="preserve"> 535.4</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superávit está determinado por el nivel de recaudación tributaria y porque la ejecución de gasto público sigue siendo bastante moderada, aunque las expectativas es que dicho gasto </w:t>
      </w:r>
      <w:r>
        <w:rPr>
          <w:rFonts w:ascii="Times New Roman" w:hAnsi="Times New Roman" w:cs="Times New Roman"/>
          <w:lang w:val="es-MX"/>
        </w:rPr>
        <w:lastRenderedPageBreak/>
        <w:t xml:space="preserve">aumente al finalizar el cuatrimestre derivado de la programación financiera autorizada para dicho periodo, por lo que el resultado fiscal tendería a disminuir salvo que los ingresos fiscales aumenten fuertemente derivado de medidas administrativas por parte de la SAT. </w:t>
      </w:r>
    </w:p>
    <w:p w:rsidR="007D4651" w:rsidRPr="00951729" w:rsidRDefault="007D4651" w:rsidP="007D4651">
      <w:pPr>
        <w:pStyle w:val="Sinespaciado"/>
        <w:jc w:val="both"/>
        <w:rPr>
          <w:rFonts w:ascii="Times New Roman" w:hAnsi="Times New Roman" w:cs="Times New Roman"/>
          <w:color w:val="FF0000"/>
          <w:lang w:val="es-MX"/>
        </w:rPr>
      </w:pPr>
    </w:p>
    <w:p w:rsidR="007D4651" w:rsidRPr="00951729" w:rsidRDefault="007D4651" w:rsidP="007D4651">
      <w:pPr>
        <w:pStyle w:val="Sinespaciado"/>
        <w:jc w:val="center"/>
        <w:rPr>
          <w:rFonts w:ascii="Times New Roman" w:hAnsi="Times New Roman" w:cs="Times New Roman"/>
          <w:b/>
          <w:color w:val="FF0000"/>
          <w:lang w:val="es-MX"/>
        </w:rPr>
        <w:sectPr w:rsidR="007D4651" w:rsidRPr="00951729" w:rsidSect="004E358C">
          <w:type w:val="continuous"/>
          <w:pgSz w:w="12240" w:h="15840"/>
          <w:pgMar w:top="1417" w:right="1701" w:bottom="1417" w:left="1701" w:header="708" w:footer="708" w:gutter="0"/>
          <w:cols w:num="2" w:space="708"/>
          <w:docGrid w:linePitch="360"/>
        </w:sectPr>
      </w:pPr>
    </w:p>
    <w:p w:rsidR="007D4651" w:rsidRPr="00951729" w:rsidRDefault="007D4651" w:rsidP="00033B8E">
      <w:pPr>
        <w:pStyle w:val="Sinespaciado"/>
        <w:rPr>
          <w:rFonts w:ascii="Times New Roman" w:hAnsi="Times New Roman" w:cs="Times New Roman"/>
          <w:b/>
          <w:color w:val="FF0000"/>
          <w:lang w:val="es-MX"/>
        </w:rPr>
      </w:pPr>
    </w:p>
    <w:p w:rsidR="009C4027" w:rsidRPr="00951729" w:rsidRDefault="009C4027" w:rsidP="007D4651">
      <w:pPr>
        <w:pStyle w:val="Sinespaciado"/>
        <w:jc w:val="center"/>
        <w:rPr>
          <w:rFonts w:ascii="Times New Roman" w:hAnsi="Times New Roman" w:cs="Times New Roman"/>
          <w:b/>
          <w:color w:val="FF0000"/>
          <w:lang w:val="es-MX"/>
        </w:rPr>
      </w:pPr>
    </w:p>
    <w:p w:rsidR="009C4027" w:rsidRPr="00951729" w:rsidRDefault="009C4027" w:rsidP="007D4651">
      <w:pPr>
        <w:pStyle w:val="Sinespaciado"/>
        <w:jc w:val="center"/>
        <w:rPr>
          <w:rFonts w:ascii="Times New Roman" w:hAnsi="Times New Roman" w:cs="Times New Roman"/>
          <w:b/>
          <w:color w:val="FF0000"/>
          <w:lang w:val="es-MX"/>
        </w:rPr>
        <w:sectPr w:rsidR="009C4027" w:rsidRPr="00951729" w:rsidSect="007D4651">
          <w:type w:val="continuous"/>
          <w:pgSz w:w="12240" w:h="15840" w:code="1"/>
          <w:pgMar w:top="1418" w:right="1418" w:bottom="1418" w:left="1418" w:header="709" w:footer="709" w:gutter="0"/>
          <w:cols w:num="2" w:space="708"/>
          <w:docGrid w:linePitch="360"/>
        </w:sectPr>
      </w:pPr>
    </w:p>
    <w:p w:rsidR="00950874" w:rsidRPr="003B4D01" w:rsidRDefault="00950874" w:rsidP="00950874">
      <w:pPr>
        <w:pStyle w:val="Sinespaciado"/>
        <w:jc w:val="center"/>
        <w:rPr>
          <w:rFonts w:ascii="Times New Roman" w:hAnsi="Times New Roman" w:cs="Times New Roman"/>
          <w:b/>
          <w:lang w:val="es-MX"/>
        </w:rPr>
      </w:pPr>
      <w:r w:rsidRPr="003B4D01">
        <w:rPr>
          <w:rFonts w:ascii="Times New Roman" w:hAnsi="Times New Roman" w:cs="Times New Roman"/>
          <w:b/>
          <w:lang w:val="es-MX"/>
        </w:rPr>
        <w:lastRenderedPageBreak/>
        <w:t>Resultado Presupuestario</w:t>
      </w:r>
    </w:p>
    <w:p w:rsidR="009C4027" w:rsidRPr="00033B8E" w:rsidRDefault="00950874" w:rsidP="00033B8E">
      <w:pPr>
        <w:pStyle w:val="Sinespaciado"/>
        <w:jc w:val="center"/>
        <w:rPr>
          <w:rFonts w:ascii="Times New Roman" w:hAnsi="Times New Roman" w:cs="Times New Roman"/>
          <w:sz w:val="18"/>
          <w:lang w:val="es-MX"/>
        </w:rPr>
      </w:pPr>
      <w:r w:rsidRPr="003B4D01">
        <w:rPr>
          <w:rFonts w:ascii="Times New Roman" w:hAnsi="Times New Roman" w:cs="Times New Roman"/>
          <w:sz w:val="18"/>
          <w:lang w:val="es-MX"/>
        </w:rPr>
        <w:t>Millones de quetzales</w:t>
      </w:r>
    </w:p>
    <w:p w:rsidR="007D4651" w:rsidRPr="00951729" w:rsidRDefault="003B4D01" w:rsidP="007D4651">
      <w:pPr>
        <w:pStyle w:val="Sinespaciado"/>
        <w:jc w:val="center"/>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18C5C5D8" wp14:editId="7643BF0A">
            <wp:extent cx="4870519" cy="2402541"/>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304" cy="2413287"/>
                    </a:xfrm>
                    <a:prstGeom prst="rect">
                      <a:avLst/>
                    </a:prstGeom>
                    <a:noFill/>
                  </pic:spPr>
                </pic:pic>
              </a:graphicData>
            </a:graphic>
          </wp:inline>
        </w:drawing>
      </w:r>
    </w:p>
    <w:p w:rsidR="007D4651" w:rsidRPr="003B4D01" w:rsidRDefault="00033B8E" w:rsidP="00033B8E">
      <w:pPr>
        <w:pStyle w:val="Sinespaciado"/>
        <w:ind w:left="708"/>
        <w:jc w:val="both"/>
        <w:rPr>
          <w:rFonts w:ascii="Times New Roman" w:hAnsi="Times New Roman" w:cs="Times New Roman"/>
          <w:sz w:val="14"/>
        </w:rPr>
      </w:pPr>
      <w:r>
        <w:rPr>
          <w:rFonts w:ascii="Times New Roman" w:hAnsi="Times New Roman" w:cs="Times New Roman"/>
          <w:sz w:val="14"/>
        </w:rPr>
        <w:t xml:space="preserve">         </w:t>
      </w:r>
      <w:r w:rsidR="007D4651" w:rsidRPr="003B4D01">
        <w:rPr>
          <w:rFonts w:ascii="Times New Roman" w:hAnsi="Times New Roman" w:cs="Times New Roman"/>
          <w:sz w:val="14"/>
        </w:rPr>
        <w:t>Fuente: Dirección de Análisis y Política fiscal</w:t>
      </w:r>
    </w:p>
    <w:p w:rsidR="00DF71A8" w:rsidRPr="00951729" w:rsidRDefault="00DF71A8" w:rsidP="007D4651">
      <w:pPr>
        <w:spacing w:after="0" w:line="240" w:lineRule="auto"/>
        <w:rPr>
          <w:rFonts w:ascii="Times New Roman" w:hAnsi="Times New Roman" w:cs="Times New Roman"/>
          <w:color w:val="FF0000"/>
          <w:lang w:val="es-MX"/>
        </w:rPr>
      </w:pPr>
    </w:p>
    <w:p w:rsidR="009C4027" w:rsidRPr="00951729" w:rsidRDefault="009C4027" w:rsidP="007D4651">
      <w:pPr>
        <w:spacing w:after="0" w:line="240" w:lineRule="auto"/>
        <w:rPr>
          <w:rFonts w:ascii="Times New Roman" w:hAnsi="Times New Roman" w:cs="Times New Roman"/>
          <w:color w:val="FF0000"/>
          <w:lang w:val="es-MX"/>
        </w:rPr>
        <w:sectPr w:rsidR="009C4027" w:rsidRPr="00951729" w:rsidSect="007D4651">
          <w:type w:val="continuous"/>
          <w:pgSz w:w="12240" w:h="15840" w:code="1"/>
          <w:pgMar w:top="1418" w:right="1418" w:bottom="1418" w:left="1418" w:header="709" w:footer="709" w:gutter="0"/>
          <w:cols w:space="708"/>
          <w:docGrid w:linePitch="360"/>
        </w:sectPr>
      </w:pPr>
    </w:p>
    <w:p w:rsidR="00E16925" w:rsidRPr="00951729" w:rsidRDefault="00E3382E" w:rsidP="007B3D0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951729">
        <w:rPr>
          <w:rFonts w:ascii="Times New Roman" w:hAnsi="Times New Roman" w:cs="Times New Roman"/>
          <w:b/>
          <w:lang w:val="es-MX"/>
        </w:rPr>
        <w:lastRenderedPageBreak/>
        <w:t>Nuevamente la</w:t>
      </w:r>
      <w:r w:rsidR="007B3D0C" w:rsidRPr="00951729">
        <w:rPr>
          <w:rFonts w:ascii="Times New Roman" w:hAnsi="Times New Roman" w:cs="Times New Roman"/>
          <w:b/>
          <w:lang w:val="es-MX"/>
        </w:rPr>
        <w:t xml:space="preserve"> meta </w:t>
      </w:r>
      <w:r w:rsidR="005A03A9" w:rsidRPr="00951729">
        <w:rPr>
          <w:rFonts w:ascii="Times New Roman" w:hAnsi="Times New Roman" w:cs="Times New Roman"/>
          <w:b/>
          <w:lang w:val="es-MX"/>
        </w:rPr>
        <w:t xml:space="preserve">de recaudación no se </w:t>
      </w:r>
      <w:r w:rsidRPr="00951729">
        <w:rPr>
          <w:rFonts w:ascii="Times New Roman" w:hAnsi="Times New Roman" w:cs="Times New Roman"/>
          <w:b/>
          <w:lang w:val="es-MX"/>
        </w:rPr>
        <w:t>alcanzó</w:t>
      </w:r>
    </w:p>
    <w:p w:rsidR="00E16925" w:rsidRPr="00951729" w:rsidRDefault="00E16925" w:rsidP="00E16925">
      <w:pPr>
        <w:rPr>
          <w:rFonts w:ascii="Times New Roman" w:hAnsi="Times New Roman" w:cs="Times New Roman"/>
          <w:b/>
          <w:color w:val="FF0000"/>
          <w:lang w:val="es-MX"/>
        </w:rPr>
        <w:sectPr w:rsidR="00E16925" w:rsidRPr="00951729"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p>
    <w:p w:rsidR="00E16925" w:rsidRPr="00951729" w:rsidRDefault="00E16925" w:rsidP="00E16925">
      <w:pPr>
        <w:pStyle w:val="Sinespaciado"/>
        <w:rPr>
          <w:rFonts w:ascii="Times New Roman" w:hAnsi="Times New Roman" w:cs="Times New Roman"/>
          <w:b/>
          <w:color w:val="FF0000"/>
          <w:sz w:val="18"/>
          <w:lang w:val="es-MX"/>
        </w:rPr>
      </w:pPr>
    </w:p>
    <w:p w:rsidR="00E16925" w:rsidRPr="004C12EA" w:rsidRDefault="00E16925" w:rsidP="00E16925">
      <w:pPr>
        <w:pStyle w:val="Sinespaciado"/>
        <w:jc w:val="center"/>
        <w:rPr>
          <w:rFonts w:ascii="Times New Roman" w:hAnsi="Times New Roman" w:cs="Times New Roman"/>
          <w:b/>
          <w:color w:val="FF0000"/>
          <w:sz w:val="20"/>
          <w:lang w:val="es-MX"/>
        </w:rPr>
      </w:pPr>
    </w:p>
    <w:p w:rsidR="00343A5D" w:rsidRPr="00951729" w:rsidRDefault="00343A5D" w:rsidP="00E16925">
      <w:pPr>
        <w:pStyle w:val="Sinespaciado"/>
        <w:jc w:val="center"/>
        <w:rPr>
          <w:rFonts w:ascii="Times New Roman" w:hAnsi="Times New Roman" w:cs="Times New Roman"/>
          <w:b/>
          <w:color w:val="FF0000"/>
          <w:sz w:val="28"/>
          <w:lang w:val="es-MX"/>
        </w:rPr>
        <w:sectPr w:rsidR="00343A5D" w:rsidRPr="00951729" w:rsidSect="004E358C">
          <w:type w:val="continuous"/>
          <w:pgSz w:w="12240" w:h="15840"/>
          <w:pgMar w:top="1417" w:right="1701" w:bottom="1417" w:left="1701" w:header="708" w:footer="708" w:gutter="0"/>
          <w:cols w:space="708"/>
          <w:docGrid w:linePitch="360"/>
        </w:sectPr>
      </w:pPr>
    </w:p>
    <w:p w:rsidR="00951729" w:rsidRDefault="00951729" w:rsidP="00951729">
      <w:pPr>
        <w:spacing w:after="0" w:line="240" w:lineRule="auto"/>
        <w:jc w:val="both"/>
        <w:rPr>
          <w:rFonts w:ascii="Times New Roman" w:hAnsi="Times New Roman" w:cs="Times New Roman"/>
          <w:lang w:val="es-MX"/>
        </w:rPr>
      </w:pPr>
      <w:r w:rsidRPr="0086227B">
        <w:rPr>
          <w:rFonts w:ascii="Times New Roman" w:hAnsi="Times New Roman" w:cs="Times New Roman"/>
          <w:lang w:val="es-MX"/>
        </w:rPr>
        <w:lastRenderedPageBreak/>
        <w:t>Cifras preliminares de recaudación dan cuenta del incumplimiento de la meta</w:t>
      </w:r>
      <w:r>
        <w:rPr>
          <w:rFonts w:ascii="Times New Roman" w:hAnsi="Times New Roman" w:cs="Times New Roman"/>
          <w:lang w:val="es-MX"/>
        </w:rPr>
        <w:t xml:space="preserve"> </w:t>
      </w:r>
      <w:r w:rsidRPr="0086227B">
        <w:rPr>
          <w:rFonts w:ascii="Times New Roman" w:hAnsi="Times New Roman" w:cs="Times New Roman"/>
          <w:lang w:val="es-MX"/>
        </w:rPr>
        <w:t>de recaudación de febrero</w:t>
      </w:r>
      <w:r>
        <w:rPr>
          <w:rFonts w:ascii="Times New Roman" w:hAnsi="Times New Roman" w:cs="Times New Roman"/>
          <w:lang w:val="es-MX"/>
        </w:rPr>
        <w:t xml:space="preserve"> establecida en presupuesto</w:t>
      </w:r>
      <w:r>
        <w:rPr>
          <w:rStyle w:val="Refdenotaalpie"/>
          <w:rFonts w:ascii="Times New Roman" w:hAnsi="Times New Roman" w:cs="Times New Roman"/>
          <w:lang w:val="es-MX"/>
        </w:rPr>
        <w:footnoteReference w:id="1"/>
      </w:r>
      <w:r>
        <w:rPr>
          <w:rFonts w:ascii="Times New Roman" w:hAnsi="Times New Roman" w:cs="Times New Roman"/>
          <w:lang w:val="es-MX"/>
        </w:rPr>
        <w:t xml:space="preserve">, </w:t>
      </w:r>
      <w:r w:rsidRPr="0086227B">
        <w:rPr>
          <w:rFonts w:ascii="Times New Roman" w:hAnsi="Times New Roman" w:cs="Times New Roman"/>
          <w:lang w:val="es-MX"/>
        </w:rPr>
        <w:t>derivado de este comportamiento se genera una brecha</w:t>
      </w:r>
      <w:r>
        <w:rPr>
          <w:rFonts w:ascii="Times New Roman" w:hAnsi="Times New Roman" w:cs="Times New Roman"/>
          <w:lang w:val="es-MX"/>
        </w:rPr>
        <w:t xml:space="preserve"> negativa </w:t>
      </w:r>
      <w:r w:rsidRPr="0086227B">
        <w:rPr>
          <w:rFonts w:ascii="Times New Roman" w:hAnsi="Times New Roman" w:cs="Times New Roman"/>
          <w:lang w:val="es-MX"/>
        </w:rPr>
        <w:t>acumulada</w:t>
      </w:r>
      <w:r>
        <w:rPr>
          <w:rFonts w:ascii="Times New Roman" w:hAnsi="Times New Roman" w:cs="Times New Roman"/>
          <w:lang w:val="es-MX"/>
        </w:rPr>
        <w:t xml:space="preserve"> de recaudación </w:t>
      </w:r>
      <w:r w:rsidRPr="0086227B">
        <w:rPr>
          <w:rFonts w:ascii="Times New Roman" w:hAnsi="Times New Roman" w:cs="Times New Roman"/>
          <w:lang w:val="es-MX"/>
        </w:rPr>
        <w:t>de Q</w:t>
      </w:r>
      <w:r>
        <w:rPr>
          <w:rFonts w:ascii="Times New Roman" w:hAnsi="Times New Roman" w:cs="Times New Roman"/>
          <w:lang w:val="es-MX"/>
        </w:rPr>
        <w:t xml:space="preserve"> 536.8 </w:t>
      </w:r>
      <w:r w:rsidRPr="0086227B">
        <w:rPr>
          <w:rFonts w:ascii="Times New Roman" w:hAnsi="Times New Roman" w:cs="Times New Roman"/>
          <w:lang w:val="es-MX"/>
        </w:rPr>
        <w:t>millones</w:t>
      </w:r>
      <w:r>
        <w:rPr>
          <w:rFonts w:ascii="Times New Roman" w:hAnsi="Times New Roman" w:cs="Times New Roman"/>
          <w:lang w:val="es-MX"/>
        </w:rPr>
        <w:t xml:space="preserve"> respecto a dicha meta</w:t>
      </w:r>
      <w:r w:rsidRPr="0086227B">
        <w:rPr>
          <w:rFonts w:ascii="Times New Roman" w:hAnsi="Times New Roman" w:cs="Times New Roman"/>
          <w:lang w:val="es-MX"/>
        </w:rPr>
        <w:t xml:space="preserve">, factores que determinan este comportamiento son el bajo rendimiento en el IVA total y en </w:t>
      </w:r>
      <w:r w:rsidRPr="0086227B">
        <w:rPr>
          <w:rFonts w:ascii="Times New Roman" w:hAnsi="Times New Roman" w:cs="Times New Roman"/>
          <w:lang w:val="es-MX"/>
        </w:rPr>
        <w:lastRenderedPageBreak/>
        <w:t xml:space="preserve">impuestos como los derechos arancelarios, </w:t>
      </w:r>
      <w:r>
        <w:rPr>
          <w:rFonts w:ascii="Times New Roman" w:hAnsi="Times New Roman" w:cs="Times New Roman"/>
          <w:lang w:val="es-MX"/>
        </w:rPr>
        <w:t xml:space="preserve"> </w:t>
      </w:r>
      <w:r w:rsidRPr="0086227B">
        <w:rPr>
          <w:rFonts w:ascii="Times New Roman" w:hAnsi="Times New Roman" w:cs="Times New Roman"/>
          <w:lang w:val="es-MX"/>
        </w:rPr>
        <w:t xml:space="preserve">derivados del petróleo y algunos </w:t>
      </w:r>
      <w:r>
        <w:rPr>
          <w:rFonts w:ascii="Times New Roman" w:hAnsi="Times New Roman" w:cs="Times New Roman"/>
          <w:lang w:val="es-MX"/>
        </w:rPr>
        <w:t xml:space="preserve">impuestos </w:t>
      </w:r>
      <w:r w:rsidRPr="0086227B">
        <w:rPr>
          <w:rFonts w:ascii="Times New Roman" w:hAnsi="Times New Roman" w:cs="Times New Roman"/>
          <w:lang w:val="es-MX"/>
        </w:rPr>
        <w:t>específicos como el de distribución de bebidas y el de tabacos</w:t>
      </w:r>
      <w:r>
        <w:rPr>
          <w:rFonts w:ascii="Times New Roman" w:hAnsi="Times New Roman" w:cs="Times New Roman"/>
          <w:lang w:val="es-MX"/>
        </w:rPr>
        <w:t xml:space="preserve"> entre otros</w:t>
      </w:r>
      <w:r w:rsidRPr="0086227B">
        <w:rPr>
          <w:rFonts w:ascii="Times New Roman" w:hAnsi="Times New Roman" w:cs="Times New Roman"/>
          <w:lang w:val="es-MX"/>
        </w:rPr>
        <w:t>.</w:t>
      </w:r>
    </w:p>
    <w:p w:rsidR="00951729" w:rsidRDefault="00951729" w:rsidP="00951729">
      <w:pPr>
        <w:spacing w:after="0" w:line="240" w:lineRule="auto"/>
        <w:jc w:val="both"/>
        <w:rPr>
          <w:rFonts w:ascii="Times New Roman" w:hAnsi="Times New Roman" w:cs="Times New Roman"/>
          <w:lang w:val="es-MX"/>
        </w:rPr>
      </w:pPr>
      <w:r>
        <w:rPr>
          <w:rFonts w:ascii="Times New Roman" w:hAnsi="Times New Roman" w:cs="Times New Roman"/>
          <w:lang w:val="es-MX"/>
        </w:rPr>
        <w:t xml:space="preserve">Con relación al año anterior se tiene un crecimiento de 7.4%, se observa una mejoría respecto a la recaudación de 2016 en impuestos asociados al comercio exterior, impuesto a la renta y en el IVA asociado al consumo interno. </w:t>
      </w:r>
    </w:p>
    <w:p w:rsidR="00343A5D" w:rsidRDefault="00343A5D" w:rsidP="00E3382E">
      <w:pPr>
        <w:spacing w:after="0" w:line="240" w:lineRule="auto"/>
        <w:jc w:val="both"/>
        <w:rPr>
          <w:rFonts w:ascii="Times New Roman" w:hAnsi="Times New Roman" w:cs="Times New Roman"/>
          <w:color w:val="FF0000"/>
          <w:lang w:val="es-MX"/>
        </w:rPr>
      </w:pPr>
    </w:p>
    <w:p w:rsidR="003F46A5" w:rsidRPr="00951729" w:rsidRDefault="003F46A5" w:rsidP="00E3382E">
      <w:pPr>
        <w:spacing w:after="0" w:line="240" w:lineRule="auto"/>
        <w:jc w:val="both"/>
        <w:rPr>
          <w:rFonts w:ascii="Times New Roman" w:hAnsi="Times New Roman" w:cs="Times New Roman"/>
          <w:color w:val="FF0000"/>
          <w:lang w:val="es-MX"/>
        </w:rPr>
      </w:pPr>
    </w:p>
    <w:p w:rsidR="00E3382E" w:rsidRPr="00951729" w:rsidRDefault="00E3382E" w:rsidP="00E3382E">
      <w:pPr>
        <w:spacing w:after="0" w:line="240" w:lineRule="auto"/>
        <w:jc w:val="center"/>
        <w:rPr>
          <w:rFonts w:ascii="Times New Roman" w:hAnsi="Times New Roman" w:cs="Times New Roman"/>
          <w:b/>
          <w:lang w:val="es-MX"/>
        </w:rPr>
      </w:pPr>
      <w:r w:rsidRPr="00951729">
        <w:rPr>
          <w:rFonts w:ascii="Times New Roman" w:hAnsi="Times New Roman" w:cs="Times New Roman"/>
          <w:b/>
          <w:lang w:val="es-MX"/>
        </w:rPr>
        <w:lastRenderedPageBreak/>
        <w:t>Variación de recaudación acumulada</w:t>
      </w:r>
    </w:p>
    <w:p w:rsidR="00E3382E" w:rsidRPr="00951729" w:rsidRDefault="00E3382E" w:rsidP="00E3382E">
      <w:pPr>
        <w:spacing w:after="0" w:line="240" w:lineRule="auto"/>
        <w:jc w:val="center"/>
        <w:rPr>
          <w:rFonts w:ascii="Times New Roman" w:hAnsi="Times New Roman" w:cs="Times New Roman"/>
          <w:sz w:val="18"/>
          <w:lang w:val="es-MX"/>
        </w:rPr>
      </w:pPr>
      <w:r w:rsidRPr="00951729">
        <w:rPr>
          <w:rFonts w:ascii="Times New Roman" w:hAnsi="Times New Roman" w:cs="Times New Roman"/>
          <w:sz w:val="18"/>
          <w:lang w:val="es-MX"/>
        </w:rPr>
        <w:t>Millones de quetzales</w:t>
      </w:r>
    </w:p>
    <w:p w:rsidR="00E3382E" w:rsidRPr="00951729" w:rsidRDefault="00951729" w:rsidP="00E3382E">
      <w:pPr>
        <w:spacing w:after="0" w:line="240" w:lineRule="auto"/>
        <w:jc w:val="both"/>
        <w:rPr>
          <w:rFonts w:ascii="Times New Roman" w:hAnsi="Times New Roman" w:cs="Times New Roman"/>
          <w:color w:val="FF0000"/>
          <w:lang w:val="es-MX"/>
        </w:rPr>
      </w:pPr>
      <w:r w:rsidRPr="008564C7">
        <w:rPr>
          <w:rFonts w:ascii="Times New Roman" w:hAnsi="Times New Roman" w:cs="Times New Roman"/>
          <w:noProof/>
          <w:highlight w:val="red"/>
          <w:lang w:eastAsia="es-GT"/>
        </w:rPr>
        <w:drawing>
          <wp:inline distT="0" distB="0" distL="0" distR="0" wp14:anchorId="4E5B3846" wp14:editId="1C8AC6B9">
            <wp:extent cx="2537011" cy="2868706"/>
            <wp:effectExtent l="0" t="0" r="0" b="825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3382E" w:rsidRPr="00951729">
        <w:rPr>
          <w:rFonts w:ascii="Times New Roman" w:hAnsi="Times New Roman" w:cs="Times New Roman"/>
          <w:sz w:val="14"/>
          <w:lang w:val="es-MX"/>
        </w:rPr>
        <w:t>Fuente: Dirección de Análisis y Política Fiscal</w:t>
      </w:r>
    </w:p>
    <w:p w:rsidR="00E3382E" w:rsidRPr="00951729" w:rsidRDefault="00E3382E" w:rsidP="00E3382E">
      <w:pPr>
        <w:spacing w:after="0" w:line="240" w:lineRule="auto"/>
        <w:jc w:val="both"/>
        <w:rPr>
          <w:rFonts w:ascii="Times New Roman" w:hAnsi="Times New Roman" w:cs="Times New Roman"/>
          <w:b/>
          <w:color w:val="FF0000"/>
          <w:lang w:val="es-MX"/>
        </w:rPr>
      </w:pPr>
    </w:p>
    <w:p w:rsidR="00951729" w:rsidRPr="00ED6C3A" w:rsidRDefault="00951729" w:rsidP="00ED6C3A">
      <w:pPr>
        <w:spacing w:after="0" w:line="240" w:lineRule="auto"/>
        <w:jc w:val="both"/>
        <w:rPr>
          <w:rFonts w:ascii="Times New Roman" w:hAnsi="Times New Roman" w:cs="Times New Roman"/>
          <w:b/>
          <w:lang w:val="es-MX"/>
        </w:rPr>
      </w:pPr>
      <w:r w:rsidRPr="00F3141C">
        <w:rPr>
          <w:rFonts w:ascii="Times New Roman" w:hAnsi="Times New Roman" w:cs="Times New Roman"/>
          <w:b/>
          <w:lang w:val="es-MX"/>
        </w:rPr>
        <w:t>Impuesto al valor agregado</w:t>
      </w:r>
      <w:r w:rsidR="00ED6C3A">
        <w:rPr>
          <w:rFonts w:ascii="Times New Roman" w:hAnsi="Times New Roman" w:cs="Times New Roman"/>
          <w:b/>
          <w:lang w:val="es-MX"/>
        </w:rPr>
        <w:t xml:space="preserve">.  </w:t>
      </w:r>
      <w:r w:rsidRPr="0086227B">
        <w:rPr>
          <w:rFonts w:ascii="Times New Roman" w:hAnsi="Times New Roman" w:cs="Times New Roman"/>
          <w:lang w:val="es-MX"/>
        </w:rPr>
        <w:t xml:space="preserve">De este impuesto podemos indicar que </w:t>
      </w:r>
      <w:r>
        <w:rPr>
          <w:rFonts w:ascii="Times New Roman" w:hAnsi="Times New Roman" w:cs="Times New Roman"/>
          <w:lang w:val="es-MX"/>
        </w:rPr>
        <w:t xml:space="preserve">de </w:t>
      </w:r>
      <w:r w:rsidRPr="00ED6C3A">
        <w:rPr>
          <w:rFonts w:ascii="Times New Roman" w:hAnsi="Times New Roman" w:cs="Times New Roman"/>
          <w:noProof/>
          <w:lang w:eastAsia="es-GT"/>
        </w:rPr>
        <w:t>manera acumulada presenta una brecha negativa de recaudación de Q 309.4 millones que puede estar influenciada por una baja recaudación en el IVA asociado al consumo interno y al IVA asociado a las importaciones además de la inclusión de medidas administrativas por un monto de Q 209 millones que al parecer no se ejecutaron.</w:t>
      </w:r>
    </w:p>
    <w:p w:rsidR="00ED6C3A" w:rsidRPr="00ED6C3A" w:rsidRDefault="00951729" w:rsidP="00ED6C3A">
      <w:pPr>
        <w:pStyle w:val="Sinespaciado"/>
        <w:jc w:val="both"/>
        <w:rPr>
          <w:rFonts w:ascii="Times New Roman" w:hAnsi="Times New Roman" w:cs="Times New Roman"/>
          <w:noProof/>
          <w:lang w:eastAsia="es-GT"/>
        </w:rPr>
      </w:pPr>
      <w:r w:rsidRPr="00ED6C3A">
        <w:rPr>
          <w:rFonts w:ascii="Times New Roman" w:hAnsi="Times New Roman" w:cs="Times New Roman"/>
          <w:noProof/>
          <w:lang w:eastAsia="es-GT"/>
        </w:rPr>
        <w:t>De manera interanual el IVA total tiene un crecimiento de 7.9% (Q 304.7 millones).</w:t>
      </w:r>
    </w:p>
    <w:p w:rsidR="00ED6C3A" w:rsidRPr="00ED6C3A" w:rsidRDefault="00ED6C3A" w:rsidP="00ED6C3A">
      <w:pPr>
        <w:pStyle w:val="Sinespaciado"/>
        <w:jc w:val="both"/>
        <w:rPr>
          <w:rFonts w:ascii="Times New Roman" w:hAnsi="Times New Roman" w:cs="Times New Roman"/>
          <w:noProof/>
          <w:lang w:eastAsia="es-GT"/>
        </w:rPr>
      </w:pPr>
    </w:p>
    <w:p w:rsidR="00ED6C3A" w:rsidRDefault="00951729" w:rsidP="00ED6C3A">
      <w:pPr>
        <w:pStyle w:val="Sinespaciado"/>
        <w:jc w:val="both"/>
        <w:rPr>
          <w:rFonts w:ascii="Times New Roman" w:hAnsi="Times New Roman" w:cs="Times New Roman"/>
          <w:noProof/>
          <w:lang w:eastAsia="es-GT"/>
        </w:rPr>
      </w:pPr>
      <w:r w:rsidRPr="00ED6C3A">
        <w:rPr>
          <w:rFonts w:ascii="Times New Roman" w:hAnsi="Times New Roman" w:cs="Times New Roman"/>
          <w:b/>
          <w:noProof/>
          <w:lang w:eastAsia="es-GT"/>
        </w:rPr>
        <w:t>Impuesto sobre la renta</w:t>
      </w:r>
      <w:r w:rsidR="00ED6C3A">
        <w:rPr>
          <w:rFonts w:ascii="Times New Roman" w:hAnsi="Times New Roman" w:cs="Times New Roman"/>
          <w:b/>
          <w:noProof/>
          <w:lang w:eastAsia="es-GT"/>
        </w:rPr>
        <w:t xml:space="preserve">.  </w:t>
      </w:r>
      <w:r w:rsidRPr="00ED6C3A">
        <w:rPr>
          <w:rFonts w:ascii="Times New Roman" w:hAnsi="Times New Roman" w:cs="Times New Roman"/>
          <w:noProof/>
          <w:lang w:eastAsia="es-GT"/>
        </w:rPr>
        <w:t>Este impuesto de manera acumulada supera la meta establecida en</w:t>
      </w:r>
      <w:r w:rsidR="00ED6C3A">
        <w:rPr>
          <w:rFonts w:ascii="Times New Roman" w:hAnsi="Times New Roman" w:cs="Times New Roman"/>
          <w:noProof/>
          <w:lang w:eastAsia="es-GT"/>
        </w:rPr>
        <w:t xml:space="preserve">   </w:t>
      </w:r>
      <w:r w:rsidRPr="00ED6C3A">
        <w:rPr>
          <w:rFonts w:ascii="Times New Roman" w:hAnsi="Times New Roman" w:cs="Times New Roman"/>
          <w:noProof/>
          <w:lang w:eastAsia="es-GT"/>
        </w:rPr>
        <w:t xml:space="preserve">presupuesto </w:t>
      </w:r>
      <w:r w:rsidR="00ED6C3A">
        <w:rPr>
          <w:rFonts w:ascii="Times New Roman" w:hAnsi="Times New Roman" w:cs="Times New Roman"/>
          <w:noProof/>
          <w:lang w:eastAsia="es-GT"/>
        </w:rPr>
        <w:t xml:space="preserve">    </w:t>
      </w:r>
      <w:r w:rsidRPr="00ED6C3A">
        <w:rPr>
          <w:rFonts w:ascii="Times New Roman" w:hAnsi="Times New Roman" w:cs="Times New Roman"/>
          <w:noProof/>
          <w:lang w:eastAsia="es-GT"/>
        </w:rPr>
        <w:t>por</w:t>
      </w:r>
      <w:r w:rsidR="00ED6C3A">
        <w:rPr>
          <w:rFonts w:ascii="Times New Roman" w:hAnsi="Times New Roman" w:cs="Times New Roman"/>
          <w:noProof/>
          <w:lang w:eastAsia="es-GT"/>
        </w:rPr>
        <w:t xml:space="preserve">  </w:t>
      </w:r>
      <w:r w:rsidRPr="00ED6C3A">
        <w:rPr>
          <w:rFonts w:ascii="Times New Roman" w:hAnsi="Times New Roman" w:cs="Times New Roman"/>
          <w:noProof/>
          <w:lang w:eastAsia="es-GT"/>
        </w:rPr>
        <w:t xml:space="preserve"> Q 65.9 </w:t>
      </w:r>
      <w:r w:rsidR="00ED6C3A">
        <w:rPr>
          <w:rFonts w:ascii="Times New Roman" w:hAnsi="Times New Roman" w:cs="Times New Roman"/>
          <w:noProof/>
          <w:lang w:eastAsia="es-GT"/>
        </w:rPr>
        <w:t xml:space="preserve"> </w:t>
      </w:r>
      <w:r w:rsidRPr="00ED6C3A">
        <w:rPr>
          <w:rFonts w:ascii="Times New Roman" w:hAnsi="Times New Roman" w:cs="Times New Roman"/>
          <w:noProof/>
          <w:lang w:eastAsia="es-GT"/>
        </w:rPr>
        <w:t>millones, con</w:t>
      </w:r>
    </w:p>
    <w:p w:rsidR="00ED6C3A" w:rsidRDefault="00ED6C3A" w:rsidP="00ED6C3A">
      <w:pPr>
        <w:pStyle w:val="Sinespaciado"/>
        <w:jc w:val="both"/>
        <w:rPr>
          <w:rFonts w:ascii="Times New Roman" w:hAnsi="Times New Roman" w:cs="Times New Roman"/>
          <w:noProof/>
          <w:lang w:eastAsia="es-GT"/>
        </w:rPr>
      </w:pPr>
    </w:p>
    <w:p w:rsidR="00ED6C3A" w:rsidRPr="00ED6C3A" w:rsidRDefault="00951729" w:rsidP="00ED6C3A">
      <w:pPr>
        <w:pStyle w:val="Sinespaciado"/>
        <w:jc w:val="both"/>
        <w:rPr>
          <w:rFonts w:ascii="Times New Roman" w:hAnsi="Times New Roman" w:cs="Times New Roman"/>
          <w:b/>
          <w:noProof/>
          <w:lang w:eastAsia="es-GT"/>
        </w:rPr>
      </w:pPr>
      <w:r w:rsidRPr="00ED6C3A">
        <w:rPr>
          <w:rFonts w:ascii="Times New Roman" w:hAnsi="Times New Roman" w:cs="Times New Roman"/>
          <w:noProof/>
          <w:lang w:eastAsia="es-GT"/>
        </w:rPr>
        <w:lastRenderedPageBreak/>
        <w:t>relación al año anterior presenta un crecimiento de 15.4%, (Q 294.2 millones), dicho crecimiento puede deberse a posibles adelantos de la liquidación anual o aun mayor control de SAT, este impuesto incluye en la meta Q 149.2 millones por concepto de medidas administrativas.</w:t>
      </w:r>
    </w:p>
    <w:p w:rsidR="00ED6C3A" w:rsidRPr="00ED6C3A" w:rsidRDefault="00ED6C3A" w:rsidP="00ED6C3A">
      <w:pPr>
        <w:pStyle w:val="Sinespaciado"/>
        <w:jc w:val="both"/>
        <w:rPr>
          <w:rFonts w:ascii="Times New Roman" w:hAnsi="Times New Roman" w:cs="Times New Roman"/>
          <w:noProof/>
          <w:lang w:eastAsia="es-GT"/>
        </w:rPr>
      </w:pPr>
    </w:p>
    <w:p w:rsidR="00E3382E" w:rsidRPr="00951729" w:rsidRDefault="00E3382E" w:rsidP="00E3382E">
      <w:pPr>
        <w:spacing w:after="0" w:line="240" w:lineRule="auto"/>
        <w:jc w:val="center"/>
        <w:rPr>
          <w:rFonts w:ascii="Times New Roman" w:hAnsi="Times New Roman" w:cs="Times New Roman"/>
          <w:b/>
          <w:lang w:val="es-MX"/>
        </w:rPr>
      </w:pPr>
      <w:r w:rsidRPr="00951729">
        <w:rPr>
          <w:rFonts w:ascii="Times New Roman" w:hAnsi="Times New Roman" w:cs="Times New Roman"/>
          <w:b/>
          <w:lang w:val="es-MX"/>
        </w:rPr>
        <w:t>Impuesto a la Renta vrs Meta</w:t>
      </w:r>
    </w:p>
    <w:p w:rsidR="00E3382E" w:rsidRPr="00951729" w:rsidRDefault="00E3382E" w:rsidP="00E3382E">
      <w:pPr>
        <w:spacing w:after="0" w:line="240" w:lineRule="auto"/>
        <w:jc w:val="center"/>
        <w:rPr>
          <w:rFonts w:ascii="Times New Roman" w:hAnsi="Times New Roman" w:cs="Times New Roman"/>
          <w:sz w:val="18"/>
          <w:lang w:val="es-MX"/>
        </w:rPr>
      </w:pPr>
      <w:r w:rsidRPr="00951729">
        <w:rPr>
          <w:rFonts w:ascii="Times New Roman" w:hAnsi="Times New Roman" w:cs="Times New Roman"/>
          <w:sz w:val="18"/>
          <w:lang w:val="es-MX"/>
        </w:rPr>
        <w:t>Millones de quetzales</w:t>
      </w:r>
    </w:p>
    <w:p w:rsidR="00E3382E" w:rsidRPr="00951729" w:rsidRDefault="00951729" w:rsidP="00E3382E">
      <w:pPr>
        <w:spacing w:after="0" w:line="240" w:lineRule="auto"/>
        <w:jc w:val="both"/>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1B9C535D" wp14:editId="5736E456">
            <wp:extent cx="2581835" cy="1730188"/>
            <wp:effectExtent l="0" t="0" r="0" b="38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382E" w:rsidRPr="00951729" w:rsidRDefault="00E3382E" w:rsidP="00E3382E">
      <w:pPr>
        <w:spacing w:after="0" w:line="240" w:lineRule="auto"/>
        <w:jc w:val="both"/>
        <w:rPr>
          <w:rFonts w:ascii="Times New Roman" w:hAnsi="Times New Roman" w:cs="Times New Roman"/>
          <w:color w:val="FF0000"/>
          <w:sz w:val="14"/>
          <w:lang w:val="es-MX"/>
        </w:rPr>
      </w:pPr>
      <w:r w:rsidRPr="00951729">
        <w:rPr>
          <w:rFonts w:ascii="Times New Roman" w:hAnsi="Times New Roman" w:cs="Times New Roman"/>
          <w:sz w:val="14"/>
          <w:lang w:val="es-MX"/>
        </w:rPr>
        <w:t>Fuente: Dirección de Análisis y Política Fiscal</w:t>
      </w:r>
    </w:p>
    <w:p w:rsidR="00E3382E" w:rsidRPr="00951729" w:rsidRDefault="00E3382E" w:rsidP="00E3382E">
      <w:pPr>
        <w:spacing w:after="0" w:line="240" w:lineRule="auto"/>
        <w:jc w:val="both"/>
        <w:rPr>
          <w:rFonts w:ascii="Times New Roman" w:hAnsi="Times New Roman" w:cs="Times New Roman"/>
          <w:lang w:val="es-MX"/>
        </w:rPr>
      </w:pPr>
    </w:p>
    <w:p w:rsidR="00951729" w:rsidRPr="00ED6C3A" w:rsidRDefault="00E3382E" w:rsidP="00E3382E">
      <w:pPr>
        <w:spacing w:after="0" w:line="240" w:lineRule="auto"/>
        <w:jc w:val="both"/>
        <w:rPr>
          <w:rFonts w:ascii="Times New Roman" w:hAnsi="Times New Roman" w:cs="Times New Roman"/>
          <w:b/>
          <w:lang w:val="es-MX"/>
        </w:rPr>
      </w:pPr>
      <w:r w:rsidRPr="00951729">
        <w:rPr>
          <w:rFonts w:ascii="Times New Roman" w:hAnsi="Times New Roman" w:cs="Times New Roman"/>
          <w:b/>
          <w:lang w:val="es-MX"/>
        </w:rPr>
        <w:t>El resto de los impuestos</w:t>
      </w:r>
      <w:r w:rsidR="00ED6C3A">
        <w:rPr>
          <w:rFonts w:ascii="Times New Roman" w:hAnsi="Times New Roman" w:cs="Times New Roman"/>
          <w:b/>
          <w:lang w:val="es-MX"/>
        </w:rPr>
        <w:t xml:space="preserve">.  </w:t>
      </w:r>
      <w:r w:rsidR="00951729">
        <w:rPr>
          <w:rFonts w:ascii="Times New Roman" w:hAnsi="Times New Roman" w:cs="Times New Roman"/>
          <w:lang w:val="es-MX"/>
        </w:rPr>
        <w:t>La variación interanual acumulada del resto de impuestos refleja rendimientos negativos en impuestos como el de los derivados del petróleo, el de circulación de vehículos, el imprima, tabacos y el de las regalías e hidrocarburos compartibles, estos impuestos en conjunto suman Q</w:t>
      </w:r>
      <w:r w:rsidR="00ED6C3A">
        <w:rPr>
          <w:rFonts w:ascii="Times New Roman" w:hAnsi="Times New Roman" w:cs="Times New Roman"/>
          <w:lang w:val="es-MX"/>
        </w:rPr>
        <w:t xml:space="preserve"> </w:t>
      </w:r>
      <w:r w:rsidR="00951729">
        <w:rPr>
          <w:rFonts w:ascii="Times New Roman" w:hAnsi="Times New Roman" w:cs="Times New Roman"/>
          <w:lang w:val="es-MX"/>
        </w:rPr>
        <w:t>52.1 millones, con relación a la meta de presupuesto la caída es mayor Q</w:t>
      </w:r>
      <w:r w:rsidR="00ED6C3A">
        <w:rPr>
          <w:rFonts w:ascii="Times New Roman" w:hAnsi="Times New Roman" w:cs="Times New Roman"/>
          <w:lang w:val="es-MX"/>
        </w:rPr>
        <w:t xml:space="preserve"> </w:t>
      </w:r>
      <w:r w:rsidR="00951729">
        <w:rPr>
          <w:rFonts w:ascii="Times New Roman" w:hAnsi="Times New Roman" w:cs="Times New Roman"/>
          <w:lang w:val="es-MX"/>
        </w:rPr>
        <w:t>536.8 millones el único impuesto con rendimiento positivo respecto a la meta de presupuesto es el ISR.</w:t>
      </w:r>
    </w:p>
    <w:p w:rsidR="00033B8E" w:rsidRDefault="00033B8E" w:rsidP="00343A5D">
      <w:pPr>
        <w:spacing w:after="0" w:line="240" w:lineRule="auto"/>
        <w:jc w:val="both"/>
        <w:rPr>
          <w:rFonts w:ascii="Times New Roman" w:hAnsi="Times New Roman" w:cs="Times New Roman"/>
          <w:color w:val="FF0000"/>
          <w:lang w:val="es-MX"/>
        </w:rPr>
      </w:pPr>
    </w:p>
    <w:p w:rsidR="00033B8E" w:rsidRPr="00951729" w:rsidRDefault="00033B8E" w:rsidP="00343A5D">
      <w:pPr>
        <w:spacing w:after="0" w:line="240" w:lineRule="auto"/>
        <w:jc w:val="both"/>
        <w:rPr>
          <w:rFonts w:ascii="Times New Roman" w:hAnsi="Times New Roman" w:cs="Times New Roman"/>
          <w:color w:val="FF0000"/>
          <w:lang w:val="es-MX"/>
        </w:rPr>
        <w:sectPr w:rsidR="00033B8E" w:rsidRPr="00951729" w:rsidSect="005A03A9">
          <w:type w:val="continuous"/>
          <w:pgSz w:w="12240" w:h="15840"/>
          <w:pgMar w:top="1417" w:right="1701" w:bottom="1417" w:left="1701" w:header="708" w:footer="708" w:gutter="0"/>
          <w:cols w:num="2" w:space="708"/>
          <w:docGrid w:linePitch="360"/>
        </w:sectPr>
      </w:pPr>
    </w:p>
    <w:p w:rsidR="00FA3B81" w:rsidRPr="00ED6C3A" w:rsidRDefault="00343A5D"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ED6C3A" w:rsidSect="00FA3B81">
          <w:headerReference w:type="default" r:id="rId16"/>
          <w:footerReference w:type="default" r:id="rId17"/>
          <w:type w:val="continuous"/>
          <w:pgSz w:w="12240" w:h="15840" w:code="1"/>
          <w:pgMar w:top="1418" w:right="1418" w:bottom="1418" w:left="1418" w:header="709" w:footer="709" w:gutter="0"/>
          <w:cols w:space="708"/>
          <w:docGrid w:linePitch="360"/>
        </w:sectPr>
      </w:pPr>
      <w:r w:rsidRPr="00ED6C3A">
        <w:rPr>
          <w:rFonts w:ascii="Times New Roman" w:hAnsi="Times New Roman" w:cs="Times New Roman"/>
          <w:b/>
          <w:lang w:val="es-MX"/>
        </w:rPr>
        <w:lastRenderedPageBreak/>
        <w:t>E</w:t>
      </w:r>
      <w:r w:rsidR="00C646C4" w:rsidRPr="00ED6C3A">
        <w:rPr>
          <w:rFonts w:ascii="Times New Roman" w:hAnsi="Times New Roman" w:cs="Times New Roman"/>
          <w:b/>
          <w:lang w:val="es-MX"/>
        </w:rPr>
        <w:t>jecución de</w:t>
      </w:r>
      <w:r w:rsidR="00810A4C" w:rsidRPr="00ED6C3A">
        <w:rPr>
          <w:rFonts w:ascii="Times New Roman" w:hAnsi="Times New Roman" w:cs="Times New Roman"/>
          <w:b/>
          <w:lang w:val="es-MX"/>
        </w:rPr>
        <w:t xml:space="preserve"> g</w:t>
      </w:r>
      <w:r w:rsidR="00D532B4" w:rsidRPr="00ED6C3A">
        <w:rPr>
          <w:rFonts w:ascii="Times New Roman" w:hAnsi="Times New Roman" w:cs="Times New Roman"/>
          <w:b/>
          <w:lang w:val="es-MX"/>
        </w:rPr>
        <w:t>asto</w:t>
      </w:r>
      <w:r w:rsidR="00C646C4" w:rsidRPr="00ED6C3A">
        <w:rPr>
          <w:rFonts w:ascii="Times New Roman" w:hAnsi="Times New Roman" w:cs="Times New Roman"/>
          <w:b/>
          <w:lang w:val="es-MX"/>
        </w:rPr>
        <w:t xml:space="preserve"> </w:t>
      </w:r>
      <w:r w:rsidRPr="00ED6C3A">
        <w:rPr>
          <w:rFonts w:ascii="Times New Roman" w:hAnsi="Times New Roman" w:cs="Times New Roman"/>
          <w:b/>
          <w:lang w:val="es-MX"/>
        </w:rPr>
        <w:t>se desacelera</w:t>
      </w:r>
    </w:p>
    <w:p w:rsidR="00FA3B81" w:rsidRPr="00951729" w:rsidRDefault="00FA3B81" w:rsidP="00FA3B81">
      <w:pPr>
        <w:pStyle w:val="Sinespaciado"/>
        <w:rPr>
          <w:rFonts w:ascii="Times New Roman" w:hAnsi="Times New Roman" w:cs="Times New Roman"/>
          <w:b/>
          <w:color w:val="FF0000"/>
          <w:sz w:val="18"/>
          <w:lang w:val="es-MX"/>
        </w:rPr>
      </w:pPr>
    </w:p>
    <w:p w:rsidR="00FA3B81" w:rsidRPr="00951729" w:rsidRDefault="00FA3B81" w:rsidP="00FA3B81">
      <w:pPr>
        <w:pStyle w:val="Sinespaciado"/>
        <w:jc w:val="center"/>
        <w:rPr>
          <w:rFonts w:ascii="Times New Roman" w:hAnsi="Times New Roman" w:cs="Times New Roman"/>
          <w:b/>
          <w:color w:val="FF0000"/>
          <w:lang w:val="es-MX"/>
        </w:rPr>
        <w:sectPr w:rsidR="00FA3B81" w:rsidRPr="00951729" w:rsidSect="004E358C">
          <w:type w:val="continuous"/>
          <w:pgSz w:w="12240" w:h="15840"/>
          <w:pgMar w:top="1417" w:right="1701" w:bottom="1417" w:left="1701" w:header="708" w:footer="708" w:gutter="0"/>
          <w:cols w:space="708"/>
          <w:docGrid w:linePitch="360"/>
        </w:sectPr>
      </w:pPr>
    </w:p>
    <w:p w:rsidR="00033B8E" w:rsidRDefault="00033B8E" w:rsidP="00033B8E">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A pesar que la ejecución del gasto en enero mostró un crecimiento importante con respecto a lo que se había observado en 2016 derivado de las expectativas positivas de una mejora en la recaudación tributaria, en febrero de 2017, la </w:t>
      </w:r>
      <w:r>
        <w:rPr>
          <w:rFonts w:ascii="Times New Roman" w:hAnsi="Times New Roman" w:cs="Times New Roman"/>
          <w:lang w:val="es-MX"/>
        </w:rPr>
        <w:lastRenderedPageBreak/>
        <w:t xml:space="preserve">ejecución muestra una desaceleración que en cierto sentido se debe a que existen ciertos gastos pendientes de regularización y que las entidades muestran cierta relajación en su ejecución, derivado que se aprobó una cuota </w:t>
      </w:r>
      <w:r>
        <w:rPr>
          <w:rFonts w:ascii="Times New Roman" w:hAnsi="Times New Roman" w:cs="Times New Roman"/>
          <w:lang w:val="es-MX"/>
        </w:rPr>
        <w:lastRenderedPageBreak/>
        <w:t xml:space="preserve">financiera para el cuatrimestre, lo que les da flexibilidad para ejecutar dentro de ese período, esto podría aumentar la ejecución en marzo y abril, ya que en este último mes las entidades deben regularizar y consumir el espacio de gasto que se autorizó en la cuota financiera.   Es importante agregar que esta modalidad de programación no se practicaba desde hace 7 años.  </w:t>
      </w:r>
    </w:p>
    <w:p w:rsidR="00033B8E" w:rsidRDefault="00033B8E" w:rsidP="00033B8E">
      <w:pPr>
        <w:pStyle w:val="Sinespaciado"/>
        <w:jc w:val="both"/>
        <w:rPr>
          <w:rFonts w:ascii="Times New Roman" w:hAnsi="Times New Roman" w:cs="Times New Roman"/>
          <w:lang w:val="es-MX"/>
        </w:rPr>
      </w:pPr>
    </w:p>
    <w:p w:rsidR="00033B8E" w:rsidRPr="00951729" w:rsidRDefault="00033B8E" w:rsidP="00033B8E">
      <w:pPr>
        <w:pStyle w:val="Sinespaciado"/>
        <w:jc w:val="both"/>
        <w:rPr>
          <w:rFonts w:ascii="Times New Roman" w:hAnsi="Times New Roman" w:cs="Times New Roman"/>
          <w:color w:val="FF0000"/>
          <w:lang w:val="es-MX"/>
        </w:rPr>
      </w:pPr>
      <w:r>
        <w:rPr>
          <w:rFonts w:ascii="Times New Roman" w:hAnsi="Times New Roman" w:cs="Times New Roman"/>
          <w:lang w:val="es-MX"/>
        </w:rPr>
        <w:t>De esa cuenta, al 28 de febrero de 2017, el nivel de ejecución gasto público se situó en  Q</w:t>
      </w:r>
      <w:r w:rsidR="00ED6C3A">
        <w:rPr>
          <w:rFonts w:ascii="Times New Roman" w:hAnsi="Times New Roman" w:cs="Times New Roman"/>
          <w:lang w:val="es-MX"/>
        </w:rPr>
        <w:t xml:space="preserve"> </w:t>
      </w:r>
      <w:r>
        <w:rPr>
          <w:rFonts w:ascii="Times New Roman" w:hAnsi="Times New Roman" w:cs="Times New Roman"/>
          <w:lang w:val="es-MX"/>
        </w:rPr>
        <w:t>8,703.6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4.2</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al cierre de febrero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6, a esta misma fecha la variación fue negativa en 4.3%.</w:t>
      </w:r>
    </w:p>
    <w:p w:rsidR="00343A5D" w:rsidRPr="00951729" w:rsidRDefault="00343A5D" w:rsidP="00343A5D">
      <w:pPr>
        <w:pStyle w:val="Sinespaciado"/>
        <w:jc w:val="both"/>
        <w:rPr>
          <w:rFonts w:ascii="Times New Roman" w:hAnsi="Times New Roman" w:cs="Times New Roman"/>
          <w:color w:val="FF0000"/>
          <w:lang w:val="es-MX"/>
        </w:rPr>
      </w:pPr>
      <w:r w:rsidRPr="00951729">
        <w:rPr>
          <w:rFonts w:ascii="Times New Roman" w:hAnsi="Times New Roman" w:cs="Times New Roman"/>
          <w:color w:val="FF0000"/>
          <w:lang w:val="es-MX"/>
        </w:rPr>
        <w:t xml:space="preserve"> </w:t>
      </w:r>
    </w:p>
    <w:p w:rsidR="00343A5D" w:rsidRPr="00ED6C3A" w:rsidRDefault="00343A5D" w:rsidP="00343A5D">
      <w:pPr>
        <w:pStyle w:val="Sinespaciado"/>
        <w:jc w:val="center"/>
        <w:rPr>
          <w:rFonts w:ascii="Times New Roman" w:hAnsi="Times New Roman" w:cs="Times New Roman"/>
          <w:b/>
          <w:lang w:val="es-MX"/>
        </w:rPr>
      </w:pPr>
      <w:r w:rsidRPr="00ED6C3A">
        <w:rPr>
          <w:rFonts w:ascii="Times New Roman" w:hAnsi="Times New Roman" w:cs="Times New Roman"/>
          <w:b/>
          <w:lang w:val="es-MX"/>
        </w:rPr>
        <w:t>Ritmo de Ejecución del Gasto</w:t>
      </w:r>
    </w:p>
    <w:p w:rsidR="00343A5D" w:rsidRPr="00ED6C3A" w:rsidRDefault="00343A5D" w:rsidP="00343A5D">
      <w:pPr>
        <w:pStyle w:val="Sinespaciado"/>
        <w:jc w:val="center"/>
        <w:rPr>
          <w:rFonts w:ascii="Times New Roman" w:hAnsi="Times New Roman" w:cs="Times New Roman"/>
          <w:sz w:val="18"/>
          <w:lang w:val="es-MX"/>
        </w:rPr>
      </w:pPr>
      <w:r w:rsidRPr="00ED6C3A">
        <w:rPr>
          <w:rFonts w:ascii="Times New Roman" w:hAnsi="Times New Roman" w:cs="Times New Roman"/>
          <w:sz w:val="18"/>
          <w:lang w:val="es-MX"/>
        </w:rPr>
        <w:t>Variación Interanual</w:t>
      </w:r>
    </w:p>
    <w:p w:rsidR="00343A5D" w:rsidRPr="00951729" w:rsidRDefault="00033B8E" w:rsidP="00343A5D">
      <w:pPr>
        <w:pStyle w:val="Sinespaciado"/>
        <w:jc w:val="both"/>
        <w:rPr>
          <w:rFonts w:ascii="Times New Roman" w:hAnsi="Times New Roman" w:cs="Times New Roman"/>
          <w:color w:val="FF0000"/>
          <w:lang w:val="es-MX"/>
        </w:rPr>
      </w:pPr>
      <w:r w:rsidRPr="00160AE4">
        <w:rPr>
          <w:noProof/>
          <w:lang w:eastAsia="es-GT"/>
        </w:rPr>
        <w:drawing>
          <wp:inline distT="0" distB="0" distL="0" distR="0" wp14:anchorId="772ED5C1" wp14:editId="5ACB4539">
            <wp:extent cx="2581835" cy="2052917"/>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1835" cy="2052917"/>
                    </a:xfrm>
                    <a:prstGeom prst="rect">
                      <a:avLst/>
                    </a:prstGeom>
                    <a:noFill/>
                    <a:ln>
                      <a:noFill/>
                    </a:ln>
                  </pic:spPr>
                </pic:pic>
              </a:graphicData>
            </a:graphic>
          </wp:inline>
        </w:drawing>
      </w:r>
    </w:p>
    <w:p w:rsidR="00343A5D" w:rsidRPr="00ED6C3A" w:rsidRDefault="00343A5D" w:rsidP="00343A5D">
      <w:pPr>
        <w:pStyle w:val="Sinespaciado"/>
        <w:jc w:val="both"/>
        <w:rPr>
          <w:rFonts w:ascii="Times New Roman" w:hAnsi="Times New Roman" w:cs="Times New Roman"/>
          <w:sz w:val="16"/>
        </w:rPr>
      </w:pPr>
      <w:r w:rsidRPr="00ED6C3A">
        <w:rPr>
          <w:rFonts w:ascii="Times New Roman" w:hAnsi="Times New Roman" w:cs="Times New Roman"/>
          <w:sz w:val="16"/>
        </w:rPr>
        <w:t>Fuente: Dirección de Análisis y Política fiscal</w:t>
      </w:r>
    </w:p>
    <w:p w:rsidR="00343A5D" w:rsidRPr="00951729" w:rsidRDefault="00343A5D" w:rsidP="00343A5D">
      <w:pPr>
        <w:pStyle w:val="Sinespaciado"/>
        <w:jc w:val="both"/>
        <w:rPr>
          <w:rFonts w:ascii="Times New Roman" w:hAnsi="Times New Roman" w:cs="Times New Roman"/>
          <w:color w:val="FF0000"/>
        </w:rPr>
      </w:pPr>
    </w:p>
    <w:p w:rsidR="00033B8E" w:rsidRDefault="00033B8E" w:rsidP="00033B8E">
      <w:pPr>
        <w:pStyle w:val="Sinespaciado"/>
        <w:jc w:val="both"/>
        <w:rPr>
          <w:rFonts w:ascii="Times New Roman" w:hAnsi="Times New Roman" w:cs="Times New Roman"/>
          <w:lang w:val="es-MX"/>
        </w:rPr>
      </w:pPr>
      <w:r>
        <w:rPr>
          <w:rFonts w:ascii="Times New Roman" w:hAnsi="Times New Roman" w:cs="Times New Roman"/>
          <w:lang w:val="es-MX"/>
        </w:rPr>
        <w:t>El principal rubro que muestra una reducción en la ejecución con respecto a lo observado el año anterior es bienes y servicios, el cual mostró una caída de Q</w:t>
      </w:r>
      <w:r w:rsidR="00ED6C3A">
        <w:rPr>
          <w:rFonts w:ascii="Times New Roman" w:hAnsi="Times New Roman" w:cs="Times New Roman"/>
          <w:lang w:val="es-MX"/>
        </w:rPr>
        <w:t xml:space="preserve"> </w:t>
      </w:r>
      <w:r>
        <w:rPr>
          <w:rFonts w:ascii="Times New Roman" w:hAnsi="Times New Roman" w:cs="Times New Roman"/>
          <w:lang w:val="es-MX"/>
        </w:rPr>
        <w:t xml:space="preserve">220.2 millones, reducción que se encuentra concentrada en los Ministerios de Gobernación y Salud.   Asimismo, el otro rubro que tuvo una reducción en la ejecución fue el pago de intereses de la deuda pública, el cual está pendiente de regularizar algunos pagos efectuados en la última semana de febrero. </w:t>
      </w:r>
    </w:p>
    <w:p w:rsidR="00033B8E" w:rsidRDefault="00033B8E" w:rsidP="00033B8E">
      <w:pPr>
        <w:pStyle w:val="Sinespaciado"/>
        <w:jc w:val="both"/>
        <w:rPr>
          <w:rFonts w:ascii="Times New Roman" w:hAnsi="Times New Roman" w:cs="Times New Roman"/>
          <w:lang w:val="es-MX"/>
        </w:rPr>
      </w:pPr>
    </w:p>
    <w:p w:rsidR="00033B8E" w:rsidRDefault="00033B8E" w:rsidP="00033B8E">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Por su parte, el rubro de transferencias corrientes fue el que mayor aumento mostró debido a la mayor asignación en los aportes a las entidades de justicia, Universidad de San Carlos, entre otros.  Asimismo, las transferencias de capital aumentaron como resultado de un mayor aporte a las municipalidades y al </w:t>
      </w:r>
      <w:proofErr w:type="spellStart"/>
      <w:r>
        <w:rPr>
          <w:rFonts w:ascii="Times New Roman" w:hAnsi="Times New Roman" w:cs="Times New Roman"/>
          <w:lang w:val="es-MX"/>
        </w:rPr>
        <w:t>FIDEMUNI</w:t>
      </w:r>
      <w:proofErr w:type="spellEnd"/>
      <w:r>
        <w:rPr>
          <w:rFonts w:ascii="Times New Roman" w:hAnsi="Times New Roman" w:cs="Times New Roman"/>
          <w:lang w:val="es-MX"/>
        </w:rPr>
        <w:t>.</w:t>
      </w:r>
    </w:p>
    <w:p w:rsidR="00033B8E" w:rsidRDefault="00033B8E" w:rsidP="00033B8E">
      <w:pPr>
        <w:pStyle w:val="Sinespaciado"/>
        <w:jc w:val="both"/>
        <w:rPr>
          <w:rFonts w:ascii="Times New Roman" w:hAnsi="Times New Roman" w:cs="Times New Roman"/>
          <w:lang w:val="es-MX"/>
        </w:rPr>
      </w:pPr>
    </w:p>
    <w:p w:rsidR="00033B8E" w:rsidRDefault="00033B8E" w:rsidP="00033B8E">
      <w:pPr>
        <w:pStyle w:val="Sinespaciado"/>
        <w:jc w:val="both"/>
        <w:rPr>
          <w:rFonts w:ascii="Times New Roman" w:hAnsi="Times New Roman" w:cs="Times New Roman"/>
          <w:lang w:val="es-MX"/>
        </w:rPr>
      </w:pPr>
      <w:r>
        <w:rPr>
          <w:rFonts w:ascii="Times New Roman" w:hAnsi="Times New Roman" w:cs="Times New Roman"/>
          <w:lang w:val="es-MX"/>
        </w:rPr>
        <w:t xml:space="preserve">El rubro de remuneraciones también mostró un aumento debido al ajuste salarial y al aumento de personal efectuado en el Ministerio de Gobernación </w:t>
      </w:r>
    </w:p>
    <w:p w:rsidR="00033B8E" w:rsidRDefault="00033B8E" w:rsidP="00033B8E">
      <w:pPr>
        <w:pStyle w:val="Sinespaciado"/>
        <w:jc w:val="both"/>
        <w:rPr>
          <w:rFonts w:ascii="Times New Roman" w:hAnsi="Times New Roman" w:cs="Times New Roman"/>
          <w:lang w:val="es-MX"/>
        </w:rPr>
      </w:pPr>
    </w:p>
    <w:p w:rsidR="00033B8E" w:rsidRPr="00951729" w:rsidRDefault="00033B8E" w:rsidP="00033B8E">
      <w:pPr>
        <w:pStyle w:val="Sinespaciado"/>
        <w:jc w:val="both"/>
        <w:rPr>
          <w:rFonts w:ascii="Times New Roman" w:hAnsi="Times New Roman" w:cs="Times New Roman"/>
          <w:color w:val="FF0000"/>
        </w:rPr>
      </w:pPr>
      <w:r>
        <w:rPr>
          <w:rFonts w:ascii="Times New Roman" w:hAnsi="Times New Roman" w:cs="Times New Roman"/>
        </w:rPr>
        <w:t>La ejecución de gasto incluyendo las amortizaciones de la deuda pública, al 28 de febrero de 2017, se ubicó en Q</w:t>
      </w:r>
      <w:r w:rsidR="00ED6C3A">
        <w:rPr>
          <w:rFonts w:ascii="Times New Roman" w:hAnsi="Times New Roman" w:cs="Times New Roman"/>
        </w:rPr>
        <w:t xml:space="preserve"> </w:t>
      </w:r>
      <w:r>
        <w:rPr>
          <w:rFonts w:ascii="Times New Roman" w:hAnsi="Times New Roman" w:cs="Times New Roman"/>
        </w:rPr>
        <w:t>9,297.2 millones.  Dentro de las entidades que muestran mayor  ejecución en enero de este año, destacan Obligaciones del Estado, Educación, Gobernación, el Servicio de la Deuda y Salud Pública.   Por su parte, los ministerios cuya ejecución fue relativamente baja se encuentran Desarrollo, Trabajo, Ambiente, PGN y Energía y Minas.</w:t>
      </w:r>
    </w:p>
    <w:p w:rsidR="00343A5D" w:rsidRPr="00951729" w:rsidRDefault="00343A5D" w:rsidP="00343A5D">
      <w:pPr>
        <w:pStyle w:val="Sinespaciado"/>
        <w:jc w:val="both"/>
        <w:rPr>
          <w:rFonts w:ascii="Times New Roman" w:hAnsi="Times New Roman" w:cs="Times New Roman"/>
          <w:color w:val="FF0000"/>
        </w:rPr>
      </w:pPr>
    </w:p>
    <w:p w:rsidR="00343A5D" w:rsidRPr="00033B8E" w:rsidRDefault="00343A5D" w:rsidP="00343A5D">
      <w:pPr>
        <w:pStyle w:val="Sinespaciado"/>
        <w:jc w:val="center"/>
        <w:rPr>
          <w:rFonts w:ascii="Times New Roman" w:hAnsi="Times New Roman" w:cs="Times New Roman"/>
          <w:b/>
          <w:lang w:val="es-MX"/>
        </w:rPr>
      </w:pPr>
      <w:r w:rsidRPr="00033B8E">
        <w:rPr>
          <w:rFonts w:ascii="Times New Roman" w:hAnsi="Times New Roman" w:cs="Times New Roman"/>
          <w:b/>
          <w:lang w:val="es-MX"/>
        </w:rPr>
        <w:t>Ejecución por Entidad</w:t>
      </w:r>
    </w:p>
    <w:p w:rsidR="00343A5D" w:rsidRPr="00033B8E" w:rsidRDefault="00343A5D" w:rsidP="00343A5D">
      <w:pPr>
        <w:pStyle w:val="Sinespaciado"/>
        <w:jc w:val="center"/>
        <w:rPr>
          <w:rFonts w:ascii="Times New Roman" w:hAnsi="Times New Roman" w:cs="Times New Roman"/>
          <w:sz w:val="18"/>
          <w:szCs w:val="18"/>
          <w:lang w:val="es-MX"/>
        </w:rPr>
      </w:pPr>
      <w:r w:rsidRPr="00033B8E">
        <w:rPr>
          <w:rFonts w:ascii="Times New Roman" w:hAnsi="Times New Roman" w:cs="Times New Roman"/>
          <w:sz w:val="18"/>
          <w:szCs w:val="18"/>
          <w:lang w:val="es-MX"/>
        </w:rPr>
        <w:t>Al 28 de Febrero de 2017</w:t>
      </w:r>
    </w:p>
    <w:p w:rsidR="00343A5D" w:rsidRPr="00033B8E" w:rsidRDefault="00343A5D" w:rsidP="00343A5D">
      <w:pPr>
        <w:pStyle w:val="Sinespaciado"/>
        <w:jc w:val="center"/>
        <w:rPr>
          <w:rFonts w:ascii="Times New Roman" w:hAnsi="Times New Roman" w:cs="Times New Roman"/>
          <w:sz w:val="18"/>
          <w:szCs w:val="18"/>
          <w:lang w:val="es-MX"/>
        </w:rPr>
      </w:pPr>
      <w:r w:rsidRPr="00033B8E">
        <w:rPr>
          <w:rFonts w:ascii="Times New Roman" w:hAnsi="Times New Roman" w:cs="Times New Roman"/>
          <w:sz w:val="18"/>
          <w:szCs w:val="18"/>
          <w:lang w:val="es-MX"/>
        </w:rPr>
        <w:t>Millones de quetzales</w:t>
      </w:r>
    </w:p>
    <w:p w:rsidR="00343A5D" w:rsidRPr="00951729" w:rsidRDefault="00343A5D" w:rsidP="00343A5D">
      <w:pPr>
        <w:pStyle w:val="Sinespaciado"/>
        <w:jc w:val="both"/>
        <w:rPr>
          <w:rFonts w:ascii="Times New Roman" w:hAnsi="Times New Roman" w:cs="Times New Roman"/>
          <w:color w:val="FF0000"/>
        </w:rPr>
      </w:pPr>
      <w:r w:rsidRPr="00951729">
        <w:rPr>
          <w:rFonts w:ascii="Times New Roman" w:hAnsi="Times New Roman" w:cs="Times New Roman"/>
          <w:noProof/>
          <w:color w:val="FF0000"/>
          <w:lang w:eastAsia="es-GT"/>
        </w:rPr>
        <mc:AlternateContent>
          <mc:Choice Requires="wps">
            <w:drawing>
              <wp:anchor distT="0" distB="0" distL="114300" distR="114300" simplePos="0" relativeHeight="251662336" behindDoc="0" locked="0" layoutInCell="1" allowOverlap="1" wp14:anchorId="6FC2E2CE" wp14:editId="2283DF0A">
                <wp:simplePos x="0" y="0"/>
                <wp:positionH relativeFrom="column">
                  <wp:posOffset>1313218</wp:posOffset>
                </wp:positionH>
                <wp:positionV relativeFrom="paragraph">
                  <wp:posOffset>1062579</wp:posOffset>
                </wp:positionV>
                <wp:extent cx="1114425" cy="447675"/>
                <wp:effectExtent l="0" t="0" r="9525" b="9525"/>
                <wp:wrapNone/>
                <wp:docPr id="11" name="11 Cuadro de texto"/>
                <wp:cNvGraphicFramePr/>
                <a:graphic xmlns:a="http://schemas.openxmlformats.org/drawingml/2006/main">
                  <a:graphicData uri="http://schemas.microsoft.com/office/word/2010/wordprocessingShape">
                    <wps:wsp>
                      <wps:cNvSpPr txBox="1"/>
                      <wps:spPr>
                        <a:xfrm>
                          <a:off x="0" y="0"/>
                          <a:ext cx="11144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3A" w:rsidRDefault="00343A5D" w:rsidP="00ED6C3A">
                            <w:pPr>
                              <w:spacing w:after="0"/>
                              <w:rPr>
                                <w:rFonts w:ascii="Times New Roman" w:hAnsi="Times New Roman" w:cs="Times New Roman"/>
                                <w:b/>
                                <w:sz w:val="18"/>
                                <w:lang w:val="es-MX"/>
                              </w:rPr>
                            </w:pPr>
                            <w:r>
                              <w:rPr>
                                <w:rFonts w:ascii="Times New Roman" w:hAnsi="Times New Roman" w:cs="Times New Roman"/>
                                <w:b/>
                                <w:sz w:val="18"/>
                                <w:lang w:val="es-MX"/>
                              </w:rPr>
                              <w:t xml:space="preserve">Ejecución total </w:t>
                            </w:r>
                          </w:p>
                          <w:p w:rsidR="00343A5D" w:rsidRPr="005541FA" w:rsidRDefault="00343A5D" w:rsidP="00343A5D">
                            <w:pPr>
                              <w:rPr>
                                <w:rFonts w:ascii="Times New Roman" w:hAnsi="Times New Roman" w:cs="Times New Roman"/>
                                <w:b/>
                                <w:sz w:val="18"/>
                                <w:lang w:val="es-MX"/>
                              </w:rPr>
                            </w:pPr>
                            <w:r>
                              <w:rPr>
                                <w:rFonts w:ascii="Times New Roman" w:hAnsi="Times New Roman" w:cs="Times New Roman"/>
                                <w:b/>
                                <w:sz w:val="18"/>
                                <w:lang w:val="es-MX"/>
                              </w:rPr>
                              <w:t>Q</w:t>
                            </w:r>
                            <w:r w:rsidR="00ED6C3A">
                              <w:rPr>
                                <w:rFonts w:ascii="Times New Roman" w:hAnsi="Times New Roman" w:cs="Times New Roman"/>
                                <w:b/>
                                <w:sz w:val="18"/>
                                <w:lang w:val="es-MX"/>
                              </w:rPr>
                              <w:t xml:space="preserve"> </w:t>
                            </w:r>
                            <w:r>
                              <w:rPr>
                                <w:rFonts w:ascii="Times New Roman" w:hAnsi="Times New Roman" w:cs="Times New Roman"/>
                                <w:b/>
                                <w:sz w:val="18"/>
                                <w:lang w:val="es-MX"/>
                              </w:rPr>
                              <w:t>9,297</w:t>
                            </w:r>
                            <w:r w:rsidRPr="005541FA">
                              <w:rPr>
                                <w:rFonts w:ascii="Times New Roman" w:hAnsi="Times New Roman" w:cs="Times New Roman"/>
                                <w:b/>
                                <w:sz w:val="18"/>
                                <w:lang w:val="es-MX"/>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103.4pt;margin-top:83.65pt;width:87.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" fillcolor="white [3201]" stroked="f" strokeweight=".5pt">
                <v:textbox>
                  <w:txbxContent>
                    <w:p w:rsidR="00ED6C3A" w:rsidRDefault="00343A5D" w:rsidP="00ED6C3A">
                      <w:pPr>
                        <w:spacing w:after="0"/>
                        <w:rPr>
                          <w:rFonts w:ascii="Times New Roman" w:hAnsi="Times New Roman" w:cs="Times New Roman"/>
                          <w:b/>
                          <w:sz w:val="18"/>
                          <w:lang w:val="es-MX"/>
                        </w:rPr>
                      </w:pPr>
                      <w:r>
                        <w:rPr>
                          <w:rFonts w:ascii="Times New Roman" w:hAnsi="Times New Roman" w:cs="Times New Roman"/>
                          <w:b/>
                          <w:sz w:val="18"/>
                          <w:lang w:val="es-MX"/>
                        </w:rPr>
                        <w:t xml:space="preserve">Ejecución total </w:t>
                      </w:r>
                    </w:p>
                    <w:p w:rsidR="00343A5D" w:rsidRPr="005541FA" w:rsidRDefault="00343A5D" w:rsidP="00343A5D">
                      <w:pPr>
                        <w:rPr>
                          <w:rFonts w:ascii="Times New Roman" w:hAnsi="Times New Roman" w:cs="Times New Roman"/>
                          <w:b/>
                          <w:sz w:val="18"/>
                          <w:lang w:val="es-MX"/>
                        </w:rPr>
                      </w:pPr>
                      <w:r>
                        <w:rPr>
                          <w:rFonts w:ascii="Times New Roman" w:hAnsi="Times New Roman" w:cs="Times New Roman"/>
                          <w:b/>
                          <w:sz w:val="18"/>
                          <w:lang w:val="es-MX"/>
                        </w:rPr>
                        <w:t>Q</w:t>
                      </w:r>
                      <w:r w:rsidR="00ED6C3A">
                        <w:rPr>
                          <w:rFonts w:ascii="Times New Roman" w:hAnsi="Times New Roman" w:cs="Times New Roman"/>
                          <w:b/>
                          <w:sz w:val="18"/>
                          <w:lang w:val="es-MX"/>
                        </w:rPr>
                        <w:t xml:space="preserve"> </w:t>
                      </w:r>
                      <w:r>
                        <w:rPr>
                          <w:rFonts w:ascii="Times New Roman" w:hAnsi="Times New Roman" w:cs="Times New Roman"/>
                          <w:b/>
                          <w:sz w:val="18"/>
                          <w:lang w:val="es-MX"/>
                        </w:rPr>
                        <w:t>9,297</w:t>
                      </w:r>
                      <w:r w:rsidRPr="005541FA">
                        <w:rPr>
                          <w:rFonts w:ascii="Times New Roman" w:hAnsi="Times New Roman" w:cs="Times New Roman"/>
                          <w:b/>
                          <w:sz w:val="18"/>
                          <w:lang w:val="es-MX"/>
                        </w:rPr>
                        <w:t>.2</w:t>
                      </w:r>
                    </w:p>
                  </w:txbxContent>
                </v:textbox>
              </v:shape>
            </w:pict>
          </mc:Fallback>
        </mc:AlternateContent>
      </w:r>
      <w:r w:rsidR="00033B8E">
        <w:rPr>
          <w:rFonts w:ascii="Times New Roman" w:hAnsi="Times New Roman" w:cs="Times New Roman"/>
          <w:noProof/>
          <w:lang w:eastAsia="es-GT"/>
        </w:rPr>
        <w:drawing>
          <wp:inline distT="0" distB="0" distL="0" distR="0" wp14:anchorId="1D0370E8" wp14:editId="280F3519">
            <wp:extent cx="2659454" cy="2779058"/>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7637" cy="2777160"/>
                    </a:xfrm>
                    <a:prstGeom prst="rect">
                      <a:avLst/>
                    </a:prstGeom>
                    <a:noFill/>
                  </pic:spPr>
                </pic:pic>
              </a:graphicData>
            </a:graphic>
          </wp:inline>
        </w:drawing>
      </w:r>
    </w:p>
    <w:p w:rsidR="00343A5D" w:rsidRPr="00033B8E" w:rsidRDefault="00343A5D" w:rsidP="00343A5D">
      <w:pPr>
        <w:pStyle w:val="Sinespaciado"/>
        <w:jc w:val="both"/>
        <w:rPr>
          <w:rFonts w:ascii="Times New Roman" w:hAnsi="Times New Roman" w:cs="Times New Roman"/>
          <w:sz w:val="16"/>
        </w:rPr>
      </w:pPr>
      <w:r w:rsidRPr="00033B8E">
        <w:rPr>
          <w:rFonts w:ascii="Times New Roman" w:hAnsi="Times New Roman" w:cs="Times New Roman"/>
          <w:sz w:val="16"/>
        </w:rPr>
        <w:t>Fuente: Dirección de Análisis y Política fiscal</w:t>
      </w:r>
    </w:p>
    <w:p w:rsidR="00343A5D" w:rsidRPr="00951729" w:rsidRDefault="00343A5D" w:rsidP="00343A5D">
      <w:pPr>
        <w:pStyle w:val="Sinespaciado"/>
        <w:jc w:val="both"/>
        <w:rPr>
          <w:rFonts w:ascii="Times New Roman" w:hAnsi="Times New Roman" w:cs="Times New Roman"/>
          <w:color w:val="FF0000"/>
          <w:sz w:val="12"/>
        </w:rPr>
      </w:pPr>
    </w:p>
    <w:p w:rsidR="00033B8E" w:rsidRDefault="00033B8E" w:rsidP="00033B8E">
      <w:pPr>
        <w:pStyle w:val="Sinespaciado"/>
        <w:jc w:val="both"/>
        <w:rPr>
          <w:rFonts w:ascii="Times New Roman" w:hAnsi="Times New Roman" w:cs="Times New Roman"/>
          <w:lang w:val="es-MX"/>
        </w:rPr>
      </w:pPr>
      <w:r>
        <w:rPr>
          <w:rFonts w:ascii="Times New Roman" w:hAnsi="Times New Roman" w:cs="Times New Roman"/>
          <w:lang w:val="es-MX"/>
        </w:rPr>
        <w:t xml:space="preserve">El comportamiento del gasto realizado,  permitió que el grado de ejecución presupuestaria, se ubicara al cierre de febrero de 2017 en 12.1%,  nivel que es igual al  promedio de los años </w:t>
      </w:r>
      <w:r>
        <w:rPr>
          <w:rFonts w:ascii="Times New Roman" w:hAnsi="Times New Roman" w:cs="Times New Roman"/>
          <w:lang w:val="es-MX"/>
        </w:rPr>
        <w:lastRenderedPageBreak/>
        <w:t>(2012-2016) por lo cual se considera que este nivel es bastante aceptable.</w:t>
      </w:r>
    </w:p>
    <w:p w:rsidR="00804E1C" w:rsidRPr="00951729" w:rsidRDefault="00804E1C" w:rsidP="00C646C4">
      <w:pPr>
        <w:pStyle w:val="Sinespaciado"/>
        <w:jc w:val="center"/>
        <w:rPr>
          <w:rFonts w:ascii="Times New Roman" w:hAnsi="Times New Roman" w:cs="Times New Roman"/>
          <w:color w:val="FF0000"/>
          <w:sz w:val="18"/>
          <w:szCs w:val="18"/>
          <w:lang w:val="es-MX"/>
        </w:rPr>
      </w:pPr>
    </w:p>
    <w:p w:rsidR="00804E1C" w:rsidRPr="00951729" w:rsidRDefault="00804E1C" w:rsidP="007C0C8C">
      <w:pPr>
        <w:pStyle w:val="Sinespaciado"/>
        <w:jc w:val="both"/>
        <w:rPr>
          <w:rFonts w:ascii="Times New Roman" w:hAnsi="Times New Roman" w:cs="Times New Roman"/>
          <w:color w:val="FF0000"/>
          <w:lang w:val="es-MX"/>
        </w:rPr>
        <w:sectPr w:rsidR="00804E1C" w:rsidRPr="00951729" w:rsidSect="00804E1C">
          <w:headerReference w:type="default" r:id="rId20"/>
          <w:footerReference w:type="default" r:id="rId21"/>
          <w:type w:val="continuous"/>
          <w:pgSz w:w="12240" w:h="15840" w:code="1"/>
          <w:pgMar w:top="1418" w:right="1418" w:bottom="1418" w:left="1418" w:header="709" w:footer="709" w:gutter="0"/>
          <w:cols w:num="2" w:space="708"/>
          <w:docGrid w:linePitch="360"/>
        </w:sectPr>
      </w:pPr>
    </w:p>
    <w:p w:rsidR="00DD23C0" w:rsidRPr="00033B8E" w:rsidRDefault="00DD23C0" w:rsidP="00BC7539">
      <w:pPr>
        <w:pStyle w:val="Sinespaciado"/>
        <w:jc w:val="both"/>
        <w:rPr>
          <w:rFonts w:ascii="Times New Roman" w:hAnsi="Times New Roman" w:cs="Times New Roman"/>
          <w:color w:val="FF0000"/>
          <w:sz w:val="18"/>
          <w:lang w:val="es-MX"/>
        </w:rPr>
      </w:pPr>
    </w:p>
    <w:p w:rsidR="00F76491" w:rsidRPr="00033B8E" w:rsidRDefault="00343A5D"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033B8E" w:rsidSect="00FA3B81">
          <w:type w:val="continuous"/>
          <w:pgSz w:w="12240" w:h="15840" w:code="1"/>
          <w:pgMar w:top="1418" w:right="1418" w:bottom="1418" w:left="1418" w:header="709" w:footer="709" w:gutter="0"/>
          <w:cols w:space="708"/>
          <w:docGrid w:linePitch="360"/>
        </w:sectPr>
      </w:pPr>
      <w:r w:rsidRPr="00033B8E">
        <w:rPr>
          <w:rFonts w:ascii="Times New Roman" w:hAnsi="Times New Roman" w:cs="Times New Roman"/>
          <w:b/>
          <w:lang w:val="es-MX"/>
        </w:rPr>
        <w:t>Inicia la colocación de Bonos del Tesoro con una nueva modalidad</w:t>
      </w:r>
    </w:p>
    <w:p w:rsidR="00F76491" w:rsidRPr="00951729" w:rsidRDefault="00F76491" w:rsidP="00F76491">
      <w:pPr>
        <w:pStyle w:val="Sinespaciado"/>
        <w:rPr>
          <w:rFonts w:ascii="Times New Roman" w:hAnsi="Times New Roman" w:cs="Times New Roman"/>
          <w:b/>
          <w:color w:val="FF0000"/>
          <w:sz w:val="24"/>
          <w:lang w:val="es-MX"/>
        </w:rPr>
      </w:pPr>
    </w:p>
    <w:p w:rsidR="00F76491" w:rsidRPr="00951729" w:rsidRDefault="00F76491" w:rsidP="00F76491">
      <w:pPr>
        <w:pStyle w:val="Sinespaciado"/>
        <w:rPr>
          <w:rFonts w:ascii="Times New Roman" w:hAnsi="Times New Roman" w:cs="Times New Roman"/>
          <w:b/>
          <w:color w:val="FF0000"/>
          <w:lang w:val="es-MX"/>
        </w:rPr>
        <w:sectPr w:rsidR="00F76491" w:rsidRPr="00951729" w:rsidSect="004E358C">
          <w:type w:val="continuous"/>
          <w:pgSz w:w="12240" w:h="15840"/>
          <w:pgMar w:top="1417" w:right="1701" w:bottom="1417" w:left="1701" w:header="708" w:footer="708" w:gutter="0"/>
          <w:cols w:space="708"/>
          <w:docGrid w:linePitch="360"/>
        </w:sectPr>
      </w:pPr>
    </w:p>
    <w:p w:rsidR="00033B8E" w:rsidRDefault="00033B8E" w:rsidP="00033B8E">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febrero 2017 se obtuvo un flujo negativo en el endeudamiento externo neto por el equivalente a Q</w:t>
      </w:r>
      <w:r w:rsidR="00ED6C3A">
        <w:rPr>
          <w:rFonts w:ascii="Times New Roman" w:hAnsi="Times New Roman" w:cs="Times New Roman"/>
        </w:rPr>
        <w:t xml:space="preserve"> </w:t>
      </w:r>
      <w:r>
        <w:rPr>
          <w:rFonts w:ascii="Times New Roman" w:hAnsi="Times New Roman" w:cs="Times New Roman"/>
        </w:rPr>
        <w:t>573.4 millones, debido a que a la fecha indicada solo se han recibido desembolsos por Q</w:t>
      </w:r>
      <w:r w:rsidR="00ED6C3A">
        <w:rPr>
          <w:rFonts w:ascii="Times New Roman" w:hAnsi="Times New Roman" w:cs="Times New Roman"/>
        </w:rPr>
        <w:t xml:space="preserve"> </w:t>
      </w:r>
      <w:r>
        <w:rPr>
          <w:rFonts w:ascii="Times New Roman" w:hAnsi="Times New Roman" w:cs="Times New Roman"/>
        </w:rPr>
        <w:t>19.9 millones y se han realizado amortizaciones de por Q</w:t>
      </w:r>
      <w:r w:rsidR="00ED6C3A">
        <w:rPr>
          <w:rFonts w:ascii="Times New Roman" w:hAnsi="Times New Roman" w:cs="Times New Roman"/>
        </w:rPr>
        <w:t xml:space="preserve"> </w:t>
      </w:r>
      <w:r>
        <w:rPr>
          <w:rFonts w:ascii="Times New Roman" w:hAnsi="Times New Roman" w:cs="Times New Roman"/>
        </w:rPr>
        <w:t xml:space="preserve">593.3 millones.  </w:t>
      </w:r>
    </w:p>
    <w:p w:rsidR="00033B8E" w:rsidRDefault="00033B8E" w:rsidP="00033B8E">
      <w:pPr>
        <w:pStyle w:val="Sinespaciado"/>
        <w:jc w:val="both"/>
        <w:rPr>
          <w:rFonts w:ascii="Times New Roman" w:hAnsi="Times New Roman" w:cs="Times New Roman"/>
        </w:rPr>
      </w:pPr>
    </w:p>
    <w:p w:rsidR="00033B8E" w:rsidRDefault="00033B8E" w:rsidP="00033B8E">
      <w:pPr>
        <w:pStyle w:val="Sinespaciado"/>
        <w:jc w:val="both"/>
        <w:rPr>
          <w:rFonts w:ascii="Times New Roman" w:hAnsi="Times New Roman" w:cs="Times New Roman"/>
        </w:rPr>
      </w:pPr>
      <w:r>
        <w:rPr>
          <w:rFonts w:ascii="Times New Roman" w:hAnsi="Times New Roman" w:cs="Times New Roman"/>
        </w:rPr>
        <w:t>En cuanto a la emisión y colocación de Bonos del Tesoro, a la fecha se han realizado 6 eventos de colocación de los cuales 4 son con la modalidad de subasta y licitación mediante operaciones realizadas con el Banco de Guatemala, para lo cual se obtuvo una demanda acumulada de Q</w:t>
      </w:r>
      <w:r w:rsidR="00ED6C3A">
        <w:rPr>
          <w:rFonts w:ascii="Times New Roman" w:hAnsi="Times New Roman" w:cs="Times New Roman"/>
        </w:rPr>
        <w:t xml:space="preserve"> </w:t>
      </w:r>
      <w:r>
        <w:rPr>
          <w:rFonts w:ascii="Times New Roman" w:hAnsi="Times New Roman" w:cs="Times New Roman"/>
        </w:rPr>
        <w:t>10,345.5 millones y se adjudicaron un total de Q</w:t>
      </w:r>
      <w:r w:rsidR="00ED6C3A">
        <w:rPr>
          <w:rFonts w:ascii="Times New Roman" w:hAnsi="Times New Roman" w:cs="Times New Roman"/>
        </w:rPr>
        <w:t xml:space="preserve"> </w:t>
      </w:r>
      <w:r>
        <w:rPr>
          <w:rFonts w:ascii="Times New Roman" w:hAnsi="Times New Roman" w:cs="Times New Roman"/>
        </w:rPr>
        <w:t>941.0 millones.  Asimismo, este año inició una nueva modalidad de colocación mediante el mecanismo de anotaciones en cuenta que se realiza con la Bolsa Nacional de Valores, a la fecha se han realizado 2 eventos, a través de este mecanismo, cuya demanda acumulada asciende a Q</w:t>
      </w:r>
      <w:r w:rsidR="00ED6C3A">
        <w:rPr>
          <w:rFonts w:ascii="Times New Roman" w:hAnsi="Times New Roman" w:cs="Times New Roman"/>
        </w:rPr>
        <w:t xml:space="preserve"> </w:t>
      </w:r>
      <w:r>
        <w:rPr>
          <w:rFonts w:ascii="Times New Roman" w:hAnsi="Times New Roman" w:cs="Times New Roman"/>
        </w:rPr>
        <w:t xml:space="preserve">873.5 millones y se han </w:t>
      </w:r>
      <w:r>
        <w:rPr>
          <w:rFonts w:ascii="Times New Roman" w:hAnsi="Times New Roman" w:cs="Times New Roman"/>
        </w:rPr>
        <w:lastRenderedPageBreak/>
        <w:t>adjudicado Q</w:t>
      </w:r>
      <w:r w:rsidR="00ED6C3A">
        <w:rPr>
          <w:rFonts w:ascii="Times New Roman" w:hAnsi="Times New Roman" w:cs="Times New Roman"/>
        </w:rPr>
        <w:t xml:space="preserve"> </w:t>
      </w:r>
      <w:r>
        <w:rPr>
          <w:rFonts w:ascii="Times New Roman" w:hAnsi="Times New Roman" w:cs="Times New Roman"/>
        </w:rPr>
        <w:t>387.3 millones.  Por lo que el total adjudicado a la fecha asciende a Q</w:t>
      </w:r>
      <w:r w:rsidR="00ED6C3A">
        <w:rPr>
          <w:rFonts w:ascii="Times New Roman" w:hAnsi="Times New Roman" w:cs="Times New Roman"/>
        </w:rPr>
        <w:t xml:space="preserve"> </w:t>
      </w:r>
      <w:r>
        <w:rPr>
          <w:rFonts w:ascii="Times New Roman" w:hAnsi="Times New Roman" w:cs="Times New Roman"/>
        </w:rPr>
        <w:t>1,328.3 millones.</w:t>
      </w:r>
    </w:p>
    <w:p w:rsidR="00033B8E" w:rsidRDefault="00033B8E" w:rsidP="00033B8E">
      <w:pPr>
        <w:pStyle w:val="Sinespaciado"/>
        <w:jc w:val="both"/>
        <w:rPr>
          <w:rFonts w:ascii="Times New Roman" w:hAnsi="Times New Roman" w:cs="Times New Roman"/>
        </w:rPr>
      </w:pPr>
      <w:r>
        <w:rPr>
          <w:rFonts w:ascii="Times New Roman" w:hAnsi="Times New Roman" w:cs="Times New Roman"/>
        </w:rPr>
        <w:t>Por lo anterior, queda pendiente de colocar en lo que resta del año, Q</w:t>
      </w:r>
      <w:r w:rsidR="00ED6C3A">
        <w:rPr>
          <w:rFonts w:ascii="Times New Roman" w:hAnsi="Times New Roman" w:cs="Times New Roman"/>
        </w:rPr>
        <w:t xml:space="preserve"> </w:t>
      </w:r>
      <w:r>
        <w:rPr>
          <w:rFonts w:ascii="Times New Roman" w:hAnsi="Times New Roman" w:cs="Times New Roman"/>
        </w:rPr>
        <w:t>11,822.1 millones, conforme lo establece el cupo autorizado por el Congreso de la República.</w:t>
      </w:r>
    </w:p>
    <w:p w:rsidR="00674B7B" w:rsidRDefault="00674B7B" w:rsidP="00033B8E">
      <w:pPr>
        <w:pStyle w:val="Sinespaciado"/>
        <w:jc w:val="both"/>
        <w:rPr>
          <w:rFonts w:ascii="Times New Roman" w:hAnsi="Times New Roman" w:cs="Times New Roman"/>
        </w:rPr>
      </w:pPr>
    </w:p>
    <w:p w:rsidR="00033B8E" w:rsidRPr="00024A4C" w:rsidRDefault="00033B8E" w:rsidP="00033B8E">
      <w:pPr>
        <w:pStyle w:val="Sinespaciado"/>
        <w:jc w:val="center"/>
        <w:rPr>
          <w:rFonts w:ascii="Times New Roman" w:hAnsi="Times New Roman" w:cs="Times New Roman"/>
          <w:b/>
          <w:noProof/>
          <w:lang w:eastAsia="es-GT"/>
        </w:rPr>
      </w:pPr>
      <w:r w:rsidRPr="00024A4C">
        <w:rPr>
          <w:rFonts w:ascii="Times New Roman" w:hAnsi="Times New Roman" w:cs="Times New Roman"/>
          <w:b/>
          <w:noProof/>
          <w:lang w:eastAsia="es-GT"/>
        </w:rPr>
        <w:t xml:space="preserve">Colocación de Bonos del Tesoro y </w:t>
      </w:r>
      <w:r>
        <w:rPr>
          <w:rFonts w:ascii="Times New Roman" w:hAnsi="Times New Roman" w:cs="Times New Roman"/>
          <w:b/>
          <w:noProof/>
          <w:lang w:eastAsia="es-GT"/>
        </w:rPr>
        <w:t>D</w:t>
      </w:r>
      <w:r w:rsidRPr="00024A4C">
        <w:rPr>
          <w:rFonts w:ascii="Times New Roman" w:hAnsi="Times New Roman" w:cs="Times New Roman"/>
          <w:b/>
          <w:noProof/>
          <w:lang w:eastAsia="es-GT"/>
        </w:rPr>
        <w:t>estino</w:t>
      </w:r>
    </w:p>
    <w:p w:rsidR="00033B8E" w:rsidRPr="005A52B4" w:rsidRDefault="00033B8E" w:rsidP="00033B8E">
      <w:pPr>
        <w:pStyle w:val="Sinespaciado"/>
        <w:jc w:val="center"/>
        <w:rPr>
          <w:rFonts w:ascii="Times New Roman" w:hAnsi="Times New Roman" w:cs="Times New Roman"/>
          <w:noProof/>
          <w:sz w:val="18"/>
          <w:szCs w:val="18"/>
          <w:lang w:eastAsia="es-GT"/>
        </w:rPr>
      </w:pPr>
      <w:r w:rsidRPr="005A52B4">
        <w:rPr>
          <w:rFonts w:ascii="Times New Roman" w:hAnsi="Times New Roman" w:cs="Times New Roman"/>
          <w:noProof/>
          <w:sz w:val="18"/>
          <w:szCs w:val="18"/>
          <w:lang w:eastAsia="es-GT"/>
        </w:rPr>
        <w:t>Al 28 de Febrero 2017</w:t>
      </w:r>
    </w:p>
    <w:p w:rsidR="00033B8E" w:rsidRPr="005A52B4" w:rsidRDefault="00033B8E" w:rsidP="00033B8E">
      <w:pPr>
        <w:pStyle w:val="Sinespaciado"/>
        <w:jc w:val="center"/>
        <w:rPr>
          <w:rFonts w:ascii="Times New Roman" w:hAnsi="Times New Roman" w:cs="Times New Roman"/>
          <w:noProof/>
          <w:sz w:val="18"/>
          <w:szCs w:val="18"/>
          <w:lang w:eastAsia="es-GT"/>
        </w:rPr>
      </w:pPr>
      <w:r w:rsidRPr="005A52B4">
        <w:rPr>
          <w:rFonts w:ascii="Times New Roman" w:hAnsi="Times New Roman" w:cs="Times New Roman"/>
          <w:noProof/>
          <w:sz w:val="18"/>
          <w:szCs w:val="18"/>
          <w:lang w:eastAsia="es-GT"/>
        </w:rPr>
        <w:t>Millones de quetzales y porcentajes</w:t>
      </w:r>
    </w:p>
    <w:p w:rsidR="00033B8E" w:rsidRDefault="00033B8E" w:rsidP="00033B8E">
      <w:pPr>
        <w:rPr>
          <w:sz w:val="16"/>
          <w:lang w:val="es-MX"/>
        </w:rPr>
      </w:pPr>
      <w:r>
        <w:rPr>
          <w:noProof/>
          <w:lang w:eastAsia="es-GT"/>
        </w:rPr>
        <w:drawing>
          <wp:inline distT="0" distB="0" distL="0" distR="0" wp14:anchorId="0F1A0EC7" wp14:editId="75B58FC7">
            <wp:extent cx="2734234" cy="16764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9400" cy="1679567"/>
                    </a:xfrm>
                    <a:prstGeom prst="rect">
                      <a:avLst/>
                    </a:prstGeom>
                    <a:noFill/>
                  </pic:spPr>
                </pic:pic>
              </a:graphicData>
            </a:graphic>
          </wp:inline>
        </w:drawing>
      </w:r>
    </w:p>
    <w:p w:rsidR="00674B7B" w:rsidRPr="00033B8E" w:rsidRDefault="00674B7B" w:rsidP="00674B7B">
      <w:pPr>
        <w:pStyle w:val="Sinespaciado"/>
        <w:jc w:val="both"/>
        <w:rPr>
          <w:rFonts w:ascii="Times New Roman" w:hAnsi="Times New Roman" w:cs="Times New Roman"/>
          <w:sz w:val="16"/>
        </w:rPr>
      </w:pPr>
      <w:r w:rsidRPr="00033B8E">
        <w:rPr>
          <w:rFonts w:ascii="Times New Roman" w:hAnsi="Times New Roman" w:cs="Times New Roman"/>
          <w:sz w:val="16"/>
        </w:rPr>
        <w:t>Fuente: Dirección de Análisis y Política fiscal</w:t>
      </w:r>
    </w:p>
    <w:p w:rsidR="00674B7B" w:rsidRPr="00674B7B" w:rsidRDefault="00674B7B" w:rsidP="00033B8E">
      <w:pPr>
        <w:rPr>
          <w:sz w:val="16"/>
        </w:rPr>
        <w:sectPr w:rsidR="00674B7B" w:rsidRPr="00674B7B" w:rsidSect="00516433">
          <w:type w:val="continuous"/>
          <w:pgSz w:w="12240" w:h="15840"/>
          <w:pgMar w:top="1417" w:right="1701" w:bottom="1417" w:left="1701" w:header="708" w:footer="708" w:gutter="0"/>
          <w:cols w:num="2" w:space="708"/>
          <w:docGrid w:linePitch="360"/>
        </w:sectPr>
      </w:pPr>
    </w:p>
    <w:p w:rsidR="00FA5DE4" w:rsidRPr="00ED6C3A" w:rsidRDefault="00FA5DE4" w:rsidP="00FA5DE4">
      <w:pPr>
        <w:pStyle w:val="Sinespaciado"/>
        <w:jc w:val="both"/>
        <w:rPr>
          <w:rFonts w:ascii="Times New Roman" w:hAnsi="Times New Roman" w:cs="Times New Roman"/>
          <w:color w:val="FF0000"/>
          <w:sz w:val="6"/>
        </w:rPr>
        <w:sectPr w:rsidR="00FA5DE4" w:rsidRPr="00ED6C3A" w:rsidSect="004E358C">
          <w:type w:val="continuous"/>
          <w:pgSz w:w="12240" w:h="15840"/>
          <w:pgMar w:top="1417" w:right="1701" w:bottom="1417" w:left="1701" w:header="708" w:footer="708" w:gutter="0"/>
          <w:cols w:num="2" w:space="708"/>
          <w:docGrid w:linePitch="360"/>
        </w:sectPr>
      </w:pPr>
    </w:p>
    <w:p w:rsidR="00F76491" w:rsidRPr="00951729" w:rsidRDefault="00F76491" w:rsidP="00F76491">
      <w:pPr>
        <w:rPr>
          <w:color w:val="FF0000"/>
          <w:sz w:val="12"/>
          <w:lang w:val="es-MX"/>
        </w:rPr>
        <w:sectPr w:rsidR="00F76491" w:rsidRPr="00951729" w:rsidSect="004E358C">
          <w:type w:val="continuous"/>
          <w:pgSz w:w="12240" w:h="15840"/>
          <w:pgMar w:top="1417" w:right="1701" w:bottom="1417" w:left="1701" w:header="708" w:footer="708" w:gutter="0"/>
          <w:cols w:num="2" w:space="708"/>
          <w:docGrid w:linePitch="360"/>
        </w:sectPr>
      </w:pPr>
    </w:p>
    <w:p w:rsidR="00F76491" w:rsidRPr="00951729" w:rsidRDefault="00F76491" w:rsidP="00F76491">
      <w:pPr>
        <w:pStyle w:val="Sinespaciado"/>
        <w:jc w:val="both"/>
        <w:rPr>
          <w:rFonts w:ascii="Times New Roman" w:hAnsi="Times New Roman" w:cs="Times New Roman"/>
          <w:color w:val="FF0000"/>
          <w:sz w:val="8"/>
          <w:lang w:val="es-MX"/>
        </w:rPr>
      </w:pPr>
    </w:p>
    <w:p w:rsidR="00494D1D" w:rsidRPr="00ED6C3A"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ED6C3A" w:rsidSect="00FA3B81">
          <w:headerReference w:type="default" r:id="rId23"/>
          <w:footerReference w:type="default" r:id="rId24"/>
          <w:type w:val="continuous"/>
          <w:pgSz w:w="12240" w:h="15840" w:code="1"/>
          <w:pgMar w:top="1418" w:right="1418" w:bottom="1418" w:left="1418" w:header="709" w:footer="709" w:gutter="0"/>
          <w:cols w:space="708"/>
          <w:docGrid w:linePitch="360"/>
        </w:sectPr>
      </w:pPr>
      <w:r w:rsidRPr="00ED6C3A">
        <w:rPr>
          <w:rFonts w:ascii="Times New Roman" w:hAnsi="Times New Roman" w:cs="Times New Roman"/>
          <w:b/>
          <w:lang w:val="es-MX"/>
        </w:rPr>
        <w:t>Ambientes macroeconómicos (externo e interno)</w:t>
      </w:r>
    </w:p>
    <w:p w:rsidR="00494D1D" w:rsidRPr="00951729" w:rsidRDefault="00494D1D" w:rsidP="00494D1D">
      <w:pPr>
        <w:pStyle w:val="Sinespaciado"/>
        <w:rPr>
          <w:rFonts w:ascii="Times New Roman" w:hAnsi="Times New Roman" w:cs="Times New Roman"/>
          <w:b/>
          <w:color w:val="FF0000"/>
          <w:sz w:val="18"/>
          <w:lang w:val="es-MX"/>
        </w:rPr>
      </w:pPr>
    </w:p>
    <w:p w:rsidR="00494D1D" w:rsidRPr="00951729" w:rsidRDefault="00494D1D" w:rsidP="00494D1D">
      <w:pPr>
        <w:pStyle w:val="Sinespaciado"/>
        <w:rPr>
          <w:rFonts w:ascii="Times New Roman" w:hAnsi="Times New Roman" w:cs="Times New Roman"/>
          <w:b/>
          <w:color w:val="FF0000"/>
          <w:lang w:val="es-MX"/>
        </w:rPr>
        <w:sectPr w:rsidR="00494D1D" w:rsidRPr="00951729" w:rsidSect="004E358C">
          <w:type w:val="continuous"/>
          <w:pgSz w:w="12240" w:h="15840"/>
          <w:pgMar w:top="1417" w:right="1701" w:bottom="1417" w:left="1701" w:header="708" w:footer="708" w:gutter="0"/>
          <w:cols w:space="708"/>
          <w:docGrid w:linePitch="360"/>
        </w:sectPr>
      </w:pPr>
    </w:p>
    <w:p w:rsidR="00450531" w:rsidRPr="008F2B4D" w:rsidRDefault="00E47525" w:rsidP="00450531">
      <w:pPr>
        <w:pStyle w:val="Sinespaciado"/>
        <w:jc w:val="both"/>
        <w:rPr>
          <w:rFonts w:ascii="Times New Roman" w:hAnsi="Times New Roman" w:cs="Times New Roman"/>
          <w:lang w:val="es-MX"/>
        </w:rPr>
      </w:pPr>
      <w:r w:rsidRPr="008F2B4D">
        <w:rPr>
          <w:rFonts w:ascii="Times New Roman" w:hAnsi="Times New Roman" w:cs="Times New Roman"/>
          <w:lang w:val="es-MX"/>
        </w:rPr>
        <w:lastRenderedPageBreak/>
        <w:t xml:space="preserve">En el entorno externo, </w:t>
      </w:r>
      <w:r w:rsidR="00741591" w:rsidRPr="008F2B4D">
        <w:rPr>
          <w:rFonts w:ascii="Times New Roman" w:hAnsi="Times New Roman" w:cs="Times New Roman"/>
          <w:lang w:val="es-MX"/>
        </w:rPr>
        <w:t>la CEPAL</w:t>
      </w:r>
      <w:r w:rsidR="00450531" w:rsidRPr="008F2B4D">
        <w:rPr>
          <w:rFonts w:ascii="Times New Roman" w:hAnsi="Times New Roman" w:cs="Times New Roman"/>
          <w:lang w:val="es-MX"/>
        </w:rPr>
        <w:t xml:space="preserve"> en su informe publicado este mes sobre</w:t>
      </w:r>
      <w:r w:rsidR="00741591" w:rsidRPr="008F2B4D">
        <w:rPr>
          <w:rFonts w:ascii="Times New Roman" w:hAnsi="Times New Roman" w:cs="Times New Roman"/>
          <w:lang w:val="es-MX"/>
        </w:rPr>
        <w:t xml:space="preserve"> las perspectivas de la dinámica económica</w:t>
      </w:r>
      <w:r w:rsidR="00450531" w:rsidRPr="008F2B4D">
        <w:rPr>
          <w:rFonts w:ascii="Times New Roman" w:hAnsi="Times New Roman" w:cs="Times New Roman"/>
          <w:lang w:val="es-MX"/>
        </w:rPr>
        <w:t xml:space="preserve"> indicó que en lo concerniente a las economías desarrolladas, EE.UU. continúa con un crecimiento más bien discreto y se espera que para el año 2017 crezca 2.0%;  en la Unión Europea y Japón el crecimiento es aún más débil y se </w:t>
      </w:r>
      <w:r w:rsidR="00F10A29" w:rsidRPr="008F2B4D">
        <w:rPr>
          <w:rFonts w:ascii="Times New Roman" w:hAnsi="Times New Roman" w:cs="Times New Roman"/>
          <w:lang w:val="es-MX"/>
        </w:rPr>
        <w:t>no existen indicios de que cambie en el corto plazo</w:t>
      </w:r>
      <w:r w:rsidR="00450531" w:rsidRPr="008F2B4D">
        <w:rPr>
          <w:rFonts w:ascii="Times New Roman" w:hAnsi="Times New Roman" w:cs="Times New Roman"/>
          <w:lang w:val="es-MX"/>
        </w:rPr>
        <w:t xml:space="preserve">.   En </w:t>
      </w:r>
      <w:r w:rsidR="00B57AAB" w:rsidRPr="008F2B4D">
        <w:rPr>
          <w:rFonts w:ascii="Times New Roman" w:hAnsi="Times New Roman" w:cs="Times New Roman"/>
          <w:lang w:val="es-MX"/>
        </w:rPr>
        <w:t xml:space="preserve">China ya se muestran señales de recuperación de </w:t>
      </w:r>
      <w:r w:rsidR="00B57AAB" w:rsidRPr="008F2B4D">
        <w:rPr>
          <w:rFonts w:ascii="Times New Roman" w:hAnsi="Times New Roman" w:cs="Times New Roman"/>
          <w:lang w:val="es-MX"/>
        </w:rPr>
        <w:lastRenderedPageBreak/>
        <w:t xml:space="preserve">la confianza debido a la </w:t>
      </w:r>
      <w:r w:rsidR="0076667B" w:rsidRPr="008F2B4D">
        <w:rPr>
          <w:rFonts w:ascii="Times New Roman" w:hAnsi="Times New Roman" w:cs="Times New Roman"/>
          <w:lang w:val="es-MX"/>
        </w:rPr>
        <w:t xml:space="preserve">disminución de las salidas de capital, que precipitadamente iniciaron a </w:t>
      </w:r>
      <w:r w:rsidR="00B57AAB" w:rsidRPr="008F2B4D">
        <w:rPr>
          <w:rFonts w:ascii="Times New Roman" w:hAnsi="Times New Roman" w:cs="Times New Roman"/>
          <w:lang w:val="es-MX"/>
        </w:rPr>
        <w:t>inicio del</w:t>
      </w:r>
      <w:r w:rsidR="00450531" w:rsidRPr="008F2B4D">
        <w:rPr>
          <w:rFonts w:ascii="Times New Roman" w:hAnsi="Times New Roman" w:cs="Times New Roman"/>
          <w:lang w:val="es-MX"/>
        </w:rPr>
        <w:t xml:space="preserve"> 2016</w:t>
      </w:r>
      <w:r w:rsidR="0076667B" w:rsidRPr="008F2B4D">
        <w:rPr>
          <w:rFonts w:ascii="Times New Roman" w:hAnsi="Times New Roman" w:cs="Times New Roman"/>
          <w:lang w:val="es-MX"/>
        </w:rPr>
        <w:t>.</w:t>
      </w:r>
      <w:r w:rsidR="00450531" w:rsidRPr="008F2B4D">
        <w:rPr>
          <w:rFonts w:ascii="Times New Roman" w:hAnsi="Times New Roman" w:cs="Times New Roman"/>
          <w:lang w:val="es-MX"/>
        </w:rPr>
        <w:t xml:space="preserve"> Con respecto a las economías emergentes, la India contin</w:t>
      </w:r>
      <w:r w:rsidR="0076667B" w:rsidRPr="008F2B4D">
        <w:rPr>
          <w:rFonts w:ascii="Times New Roman" w:hAnsi="Times New Roman" w:cs="Times New Roman"/>
          <w:lang w:val="es-MX"/>
        </w:rPr>
        <w:t>úa</w:t>
      </w:r>
      <w:r w:rsidR="00450531" w:rsidRPr="008F2B4D">
        <w:rPr>
          <w:rFonts w:ascii="Times New Roman" w:hAnsi="Times New Roman" w:cs="Times New Roman"/>
          <w:lang w:val="es-MX"/>
        </w:rPr>
        <w:t xml:space="preserve"> en expansión, mientras Rusia y Brasil </w:t>
      </w:r>
      <w:r w:rsidR="0076667B" w:rsidRPr="008F2B4D">
        <w:rPr>
          <w:rFonts w:ascii="Times New Roman" w:hAnsi="Times New Roman" w:cs="Times New Roman"/>
          <w:lang w:val="es-MX"/>
        </w:rPr>
        <w:t xml:space="preserve">continúan </w:t>
      </w:r>
      <w:r w:rsidR="00450531" w:rsidRPr="008F2B4D">
        <w:rPr>
          <w:rFonts w:ascii="Times New Roman" w:hAnsi="Times New Roman" w:cs="Times New Roman"/>
          <w:lang w:val="es-MX"/>
        </w:rPr>
        <w:t>atravesa</w:t>
      </w:r>
      <w:r w:rsidR="0076667B" w:rsidRPr="008F2B4D">
        <w:rPr>
          <w:rFonts w:ascii="Times New Roman" w:hAnsi="Times New Roman" w:cs="Times New Roman"/>
          <w:lang w:val="es-MX"/>
        </w:rPr>
        <w:t>ndo</w:t>
      </w:r>
      <w:r w:rsidR="00450531" w:rsidRPr="008F2B4D">
        <w:rPr>
          <w:rFonts w:ascii="Times New Roman" w:hAnsi="Times New Roman" w:cs="Times New Roman"/>
          <w:lang w:val="es-MX"/>
        </w:rPr>
        <w:t xml:space="preserve"> recesiones, que probablemente continúen a lo largo del 2017.</w:t>
      </w:r>
    </w:p>
    <w:p w:rsidR="00450531" w:rsidRPr="008F2B4D" w:rsidRDefault="00450531" w:rsidP="00450531">
      <w:pPr>
        <w:pStyle w:val="Sinespaciado"/>
        <w:jc w:val="both"/>
        <w:rPr>
          <w:rFonts w:ascii="Times New Roman" w:hAnsi="Times New Roman" w:cs="Times New Roman"/>
          <w:lang w:val="es-MX"/>
        </w:rPr>
      </w:pPr>
    </w:p>
    <w:p w:rsidR="00AF7ACE" w:rsidRPr="008F2B4D" w:rsidRDefault="00450531" w:rsidP="00450531">
      <w:pPr>
        <w:pStyle w:val="Sinespaciado"/>
        <w:jc w:val="both"/>
        <w:rPr>
          <w:rFonts w:ascii="Times New Roman" w:hAnsi="Times New Roman" w:cs="Times New Roman"/>
          <w:lang w:val="es-MX"/>
        </w:rPr>
      </w:pPr>
      <w:r w:rsidRPr="008F2B4D">
        <w:rPr>
          <w:rFonts w:ascii="Times New Roman" w:hAnsi="Times New Roman" w:cs="Times New Roman"/>
          <w:lang w:val="es-MX"/>
        </w:rPr>
        <w:t xml:space="preserve">En América Latina aunque </w:t>
      </w:r>
      <w:r w:rsidR="00ED6C3A" w:rsidRPr="008F2B4D">
        <w:rPr>
          <w:rFonts w:ascii="Times New Roman" w:hAnsi="Times New Roman" w:cs="Times New Roman"/>
          <w:lang w:val="es-MX"/>
        </w:rPr>
        <w:t>con rezago</w:t>
      </w:r>
      <w:r w:rsidRPr="008F2B4D">
        <w:rPr>
          <w:rFonts w:ascii="Times New Roman" w:hAnsi="Times New Roman" w:cs="Times New Roman"/>
          <w:lang w:val="es-MX"/>
        </w:rPr>
        <w:t xml:space="preserve">, </w:t>
      </w:r>
      <w:r w:rsidR="008F2B4D" w:rsidRPr="008F2B4D">
        <w:rPr>
          <w:rFonts w:ascii="Times New Roman" w:hAnsi="Times New Roman" w:cs="Times New Roman"/>
          <w:lang w:val="es-MX"/>
        </w:rPr>
        <w:t xml:space="preserve">también surgieron </w:t>
      </w:r>
      <w:r w:rsidRPr="008F2B4D">
        <w:rPr>
          <w:rFonts w:ascii="Times New Roman" w:hAnsi="Times New Roman" w:cs="Times New Roman"/>
          <w:lang w:val="es-MX"/>
        </w:rPr>
        <w:t xml:space="preserve">los síntomas de la crisis económica del </w:t>
      </w:r>
      <w:r w:rsidRPr="008F2B4D">
        <w:rPr>
          <w:rFonts w:ascii="Times New Roman" w:hAnsi="Times New Roman" w:cs="Times New Roman"/>
          <w:lang w:val="es-MX"/>
        </w:rPr>
        <w:lastRenderedPageBreak/>
        <w:t>sistema capitalista mundial que</w:t>
      </w:r>
      <w:r w:rsidR="00B57AAB" w:rsidRPr="008F2B4D">
        <w:rPr>
          <w:rFonts w:ascii="Times New Roman" w:hAnsi="Times New Roman" w:cs="Times New Roman"/>
          <w:lang w:val="es-MX"/>
        </w:rPr>
        <w:t xml:space="preserve"> se hizo notable en el año 2008</w:t>
      </w:r>
      <w:r w:rsidR="0076667B" w:rsidRPr="008F2B4D">
        <w:rPr>
          <w:rFonts w:ascii="Times New Roman" w:hAnsi="Times New Roman" w:cs="Times New Roman"/>
          <w:lang w:val="es-MX"/>
        </w:rPr>
        <w:t>;</w:t>
      </w:r>
      <w:r w:rsidR="00B57AAB" w:rsidRPr="008F2B4D">
        <w:rPr>
          <w:rFonts w:ascii="Times New Roman" w:hAnsi="Times New Roman" w:cs="Times New Roman"/>
          <w:lang w:val="es-MX"/>
        </w:rPr>
        <w:t xml:space="preserve"> se espera que para 2017</w:t>
      </w:r>
      <w:r w:rsidR="0076667B" w:rsidRPr="008F2B4D">
        <w:rPr>
          <w:rFonts w:ascii="Times New Roman" w:hAnsi="Times New Roman" w:cs="Times New Roman"/>
          <w:lang w:val="es-MX"/>
        </w:rPr>
        <w:t>,</w:t>
      </w:r>
      <w:r w:rsidR="00B57AAB" w:rsidRPr="008F2B4D">
        <w:rPr>
          <w:rFonts w:ascii="Times New Roman" w:hAnsi="Times New Roman" w:cs="Times New Roman"/>
          <w:lang w:val="es-MX"/>
        </w:rPr>
        <w:t xml:space="preserve"> en conjunto el crecimiento será de 1.3%.  En general, e</w:t>
      </w:r>
      <w:r w:rsidRPr="008F2B4D">
        <w:rPr>
          <w:rFonts w:ascii="Times New Roman" w:hAnsi="Times New Roman" w:cs="Times New Roman"/>
          <w:lang w:val="es-MX"/>
        </w:rPr>
        <w:t>ste con</w:t>
      </w:r>
      <w:r w:rsidR="0076667B" w:rsidRPr="008F2B4D">
        <w:rPr>
          <w:rFonts w:ascii="Times New Roman" w:hAnsi="Times New Roman" w:cs="Times New Roman"/>
          <w:lang w:val="es-MX"/>
        </w:rPr>
        <w:t xml:space="preserve">texto de la economía mundial ha </w:t>
      </w:r>
      <w:r w:rsidRPr="008F2B4D">
        <w:rPr>
          <w:rFonts w:ascii="Times New Roman" w:hAnsi="Times New Roman" w:cs="Times New Roman"/>
          <w:lang w:val="es-MX"/>
        </w:rPr>
        <w:t xml:space="preserve">golpeado </w:t>
      </w:r>
      <w:r w:rsidR="00B57AAB" w:rsidRPr="008F2B4D">
        <w:rPr>
          <w:rFonts w:ascii="Times New Roman" w:hAnsi="Times New Roman" w:cs="Times New Roman"/>
          <w:lang w:val="es-MX"/>
        </w:rPr>
        <w:t xml:space="preserve">principalmente </w:t>
      </w:r>
      <w:r w:rsidRPr="008F2B4D">
        <w:rPr>
          <w:rFonts w:ascii="Times New Roman" w:hAnsi="Times New Roman" w:cs="Times New Roman"/>
          <w:lang w:val="es-MX"/>
        </w:rPr>
        <w:t>a las economías basadas en la exportación de materias primas.</w:t>
      </w:r>
    </w:p>
    <w:p w:rsidR="00AF7ACE" w:rsidRPr="008F2B4D" w:rsidRDefault="00AF7ACE" w:rsidP="007A6523">
      <w:pPr>
        <w:pStyle w:val="Sinespaciado"/>
        <w:jc w:val="both"/>
        <w:rPr>
          <w:rFonts w:ascii="Times New Roman" w:hAnsi="Times New Roman" w:cs="Times New Roman"/>
          <w:lang w:val="es-MX"/>
        </w:rPr>
      </w:pPr>
    </w:p>
    <w:p w:rsidR="009F628A" w:rsidRPr="008F2B4D" w:rsidRDefault="00B57AAB" w:rsidP="009F628A">
      <w:pPr>
        <w:pStyle w:val="Sinespaciado"/>
        <w:jc w:val="both"/>
        <w:rPr>
          <w:rFonts w:ascii="Times New Roman" w:hAnsi="Times New Roman" w:cs="Times New Roman"/>
          <w:lang w:val="es-MX"/>
        </w:rPr>
      </w:pPr>
      <w:r w:rsidRPr="008F2B4D">
        <w:rPr>
          <w:rFonts w:ascii="Times New Roman" w:hAnsi="Times New Roman" w:cs="Times New Roman"/>
          <w:lang w:val="es-MX"/>
        </w:rPr>
        <w:t>Por su parte, la OCDE en el</w:t>
      </w:r>
      <w:r w:rsidR="00450531" w:rsidRPr="008F2B4D">
        <w:rPr>
          <w:rFonts w:ascii="Times New Roman" w:hAnsi="Times New Roman" w:cs="Times New Roman"/>
          <w:lang w:val="es-MX"/>
        </w:rPr>
        <w:t xml:space="preserve"> informe sobre las perspectivas de préstamos soberanos de los países </w:t>
      </w:r>
      <w:r w:rsidRPr="008F2B4D">
        <w:rPr>
          <w:rFonts w:ascii="Times New Roman" w:hAnsi="Times New Roman" w:cs="Times New Roman"/>
          <w:lang w:val="es-MX"/>
        </w:rPr>
        <w:t>miembros</w:t>
      </w:r>
      <w:r w:rsidR="00450531" w:rsidRPr="008F2B4D">
        <w:rPr>
          <w:rFonts w:ascii="Times New Roman" w:hAnsi="Times New Roman" w:cs="Times New Roman"/>
          <w:lang w:val="es-MX"/>
        </w:rPr>
        <w:t xml:space="preserve">, </w:t>
      </w:r>
      <w:r w:rsidR="00674B7B">
        <w:rPr>
          <w:rFonts w:ascii="Times New Roman" w:hAnsi="Times New Roman" w:cs="Times New Roman"/>
          <w:lang w:val="es-MX"/>
        </w:rPr>
        <w:t>pronosticó</w:t>
      </w:r>
      <w:r w:rsidR="00450531" w:rsidRPr="008F2B4D">
        <w:rPr>
          <w:rFonts w:ascii="Times New Roman" w:hAnsi="Times New Roman" w:cs="Times New Roman"/>
          <w:lang w:val="es-MX"/>
        </w:rPr>
        <w:t xml:space="preserve"> que el peso relativo de la deuda pública en sus Estados miembros seguirá disminuyendo por segundo año consecutivo, por lo que proyectan que emitirán unos US$ 9.5 billones (8.9 billones de euros) de títulos de deuda este año para cubrir sus necesidades, una cantidad ligeramente superior a los US$ 9.4 billones de 2016.   Es decir, se quedará en el 73% del PIB este ejercicio, tras el 74.1% de 2016, teniendo en cuenta que en 2007 estaba en el 49.8%.  En cuanto a las emisiones de títulos de este año, serán netamente inferiores al máximo de US$ 10.9 billones de dólares (10.2 billones de euros) de 2012.    </w:t>
      </w:r>
    </w:p>
    <w:p w:rsidR="008F2B4D" w:rsidRPr="008F2B4D" w:rsidRDefault="008F2B4D" w:rsidP="009F628A">
      <w:pPr>
        <w:pStyle w:val="Sinespaciado"/>
        <w:jc w:val="both"/>
        <w:rPr>
          <w:rFonts w:ascii="Times New Roman" w:hAnsi="Times New Roman" w:cs="Times New Roman"/>
          <w:lang w:val="es-MX"/>
        </w:rPr>
      </w:pPr>
    </w:p>
    <w:p w:rsidR="003D38A7" w:rsidRPr="008F2B4D" w:rsidRDefault="00B57AAB" w:rsidP="0076667B">
      <w:pPr>
        <w:pStyle w:val="Sinespaciado"/>
        <w:jc w:val="both"/>
        <w:rPr>
          <w:rFonts w:ascii="Times New Roman" w:hAnsi="Times New Roman" w:cs="Times New Roman"/>
          <w:lang w:val="es-MX"/>
        </w:rPr>
      </w:pPr>
      <w:r w:rsidRPr="008F2B4D">
        <w:rPr>
          <w:rFonts w:ascii="Times New Roman" w:hAnsi="Times New Roman" w:cs="Times New Roman"/>
          <w:lang w:val="es-MX"/>
        </w:rPr>
        <w:t xml:space="preserve">En Estados Unidos, </w:t>
      </w:r>
      <w:r w:rsidR="0076667B" w:rsidRPr="008F2B4D">
        <w:rPr>
          <w:rFonts w:ascii="Times New Roman" w:hAnsi="Times New Roman" w:cs="Times New Roman"/>
          <w:lang w:val="es-MX"/>
        </w:rPr>
        <w:t xml:space="preserve">el Departamento de Comercio confirmó este mes la segunda estimación oficial del crecimiento económico para el último trimestre de 2016; el PIB subió un 1.9% en ritmo anualizado y en datos corregidos de variaciones estacionales. </w:t>
      </w:r>
      <w:r w:rsidR="00D616E2" w:rsidRPr="008F2B4D">
        <w:rPr>
          <w:rFonts w:ascii="Times New Roman" w:hAnsi="Times New Roman" w:cs="Times New Roman"/>
          <w:lang w:val="es-MX"/>
        </w:rPr>
        <w:t xml:space="preserve">  El dato preliminar del PIB interanual para febrero 2017 continúa sin cambios en comparación con enero, en 1.9%.</w:t>
      </w:r>
    </w:p>
    <w:p w:rsidR="007D7CFE" w:rsidRPr="008F2B4D" w:rsidRDefault="007D7CFE" w:rsidP="0076667B">
      <w:pPr>
        <w:pStyle w:val="Sinespaciado"/>
        <w:jc w:val="both"/>
        <w:rPr>
          <w:rFonts w:ascii="Times New Roman" w:hAnsi="Times New Roman" w:cs="Times New Roman"/>
          <w:lang w:val="es-MX"/>
        </w:rPr>
      </w:pPr>
    </w:p>
    <w:p w:rsidR="007D7CFE" w:rsidRPr="008F2B4D" w:rsidRDefault="007D7CFE" w:rsidP="007D7CFE">
      <w:pPr>
        <w:pStyle w:val="Sinespaciado"/>
        <w:jc w:val="center"/>
        <w:rPr>
          <w:rFonts w:ascii="Times New Roman" w:hAnsi="Times New Roman" w:cs="Times New Roman"/>
          <w:b/>
          <w:lang w:val="es-MX"/>
        </w:rPr>
      </w:pPr>
      <w:r w:rsidRPr="008F2B4D">
        <w:rPr>
          <w:rFonts w:ascii="Times New Roman" w:hAnsi="Times New Roman" w:cs="Times New Roman"/>
          <w:b/>
          <w:lang w:val="es-MX"/>
        </w:rPr>
        <w:t>Producto Interno Bruto estadounidense</w:t>
      </w:r>
    </w:p>
    <w:p w:rsidR="007D7CFE" w:rsidRPr="008F2B4D" w:rsidRDefault="007D7CFE" w:rsidP="007D7CFE">
      <w:pPr>
        <w:pStyle w:val="Sinespaciado"/>
        <w:jc w:val="center"/>
        <w:rPr>
          <w:rFonts w:ascii="Times New Roman" w:hAnsi="Times New Roman" w:cs="Times New Roman"/>
          <w:sz w:val="18"/>
          <w:lang w:val="es-MX"/>
        </w:rPr>
      </w:pPr>
      <w:r w:rsidRPr="008F2B4D">
        <w:rPr>
          <w:rFonts w:ascii="Times New Roman" w:hAnsi="Times New Roman" w:cs="Times New Roman"/>
          <w:sz w:val="18"/>
          <w:lang w:val="es-MX"/>
        </w:rPr>
        <w:t>Variación interanual</w:t>
      </w:r>
    </w:p>
    <w:p w:rsidR="007D7CFE" w:rsidRPr="008F2B4D" w:rsidRDefault="007D7CFE" w:rsidP="007D7CFE">
      <w:pPr>
        <w:pStyle w:val="Sinespaciado"/>
        <w:jc w:val="both"/>
        <w:rPr>
          <w:rFonts w:ascii="Times New Roman" w:hAnsi="Times New Roman" w:cs="Times New Roman"/>
          <w:lang w:val="es-MX"/>
        </w:rPr>
      </w:pPr>
      <w:r w:rsidRPr="008F2B4D">
        <w:rPr>
          <w:noProof/>
          <w:shd w:val="clear" w:color="auto" w:fill="C00000"/>
          <w:lang w:eastAsia="es-GT"/>
        </w:rPr>
        <w:drawing>
          <wp:inline distT="0" distB="0" distL="0" distR="0" wp14:anchorId="1970A70F" wp14:editId="11C5BBD3">
            <wp:extent cx="2581275" cy="154876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7CFE" w:rsidRPr="008F2B4D" w:rsidRDefault="007D7CFE" w:rsidP="007D7CFE">
      <w:pPr>
        <w:pStyle w:val="Sinespaciado"/>
        <w:jc w:val="both"/>
        <w:rPr>
          <w:rFonts w:ascii="Times New Roman" w:hAnsi="Times New Roman" w:cs="Times New Roman"/>
          <w:sz w:val="16"/>
          <w:lang w:val="es-MX"/>
        </w:rPr>
      </w:pPr>
      <w:r w:rsidRPr="008F2B4D">
        <w:rPr>
          <w:rFonts w:ascii="Times New Roman" w:hAnsi="Times New Roman" w:cs="Times New Roman"/>
          <w:sz w:val="16"/>
          <w:lang w:val="es-MX"/>
        </w:rPr>
        <w:t>Fuente: Investing.com</w:t>
      </w:r>
    </w:p>
    <w:p w:rsidR="00FE56B8" w:rsidRPr="008F2B4D" w:rsidRDefault="00FE56B8" w:rsidP="000723B2">
      <w:pPr>
        <w:pStyle w:val="Sinespaciado"/>
        <w:jc w:val="both"/>
        <w:rPr>
          <w:rFonts w:ascii="Times New Roman" w:hAnsi="Times New Roman" w:cs="Times New Roman"/>
          <w:lang w:val="es-MX"/>
        </w:rPr>
      </w:pPr>
      <w:r w:rsidRPr="008F2B4D">
        <w:rPr>
          <w:rFonts w:ascii="Times New Roman" w:hAnsi="Times New Roman" w:cs="Times New Roman"/>
          <w:lang w:val="es-MX"/>
        </w:rPr>
        <w:lastRenderedPageBreak/>
        <w:t xml:space="preserve">En la zona euro, los principales indicadores económicos </w:t>
      </w:r>
      <w:r w:rsidR="000723B2" w:rsidRPr="008F2B4D">
        <w:rPr>
          <w:rFonts w:ascii="Times New Roman" w:hAnsi="Times New Roman" w:cs="Times New Roman"/>
          <w:lang w:val="es-MX"/>
        </w:rPr>
        <w:t xml:space="preserve">aumentaron en febrero, el crecimiento de la producción económica se ha disparó hasta los 56.0 puntos, según la lectura final del PMI Integrado de IHS Markit. La actividad del sector servicios </w:t>
      </w:r>
      <w:r w:rsidR="007F6F57" w:rsidRPr="008F2B4D">
        <w:rPr>
          <w:rFonts w:ascii="Times New Roman" w:hAnsi="Times New Roman" w:cs="Times New Roman"/>
          <w:lang w:val="es-MX"/>
        </w:rPr>
        <w:t>también se aceleró hasta los 55.</w:t>
      </w:r>
      <w:r w:rsidR="000723B2" w:rsidRPr="008F2B4D">
        <w:rPr>
          <w:rFonts w:ascii="Times New Roman" w:hAnsi="Times New Roman" w:cs="Times New Roman"/>
          <w:lang w:val="es-MX"/>
        </w:rPr>
        <w:t>5 puntos</w:t>
      </w:r>
      <w:r w:rsidR="007F6F57" w:rsidRPr="008F2B4D">
        <w:rPr>
          <w:rFonts w:ascii="Times New Roman" w:hAnsi="Times New Roman" w:cs="Times New Roman"/>
          <w:lang w:val="es-MX"/>
        </w:rPr>
        <w:t xml:space="preserve"> desde los 53.7 del mes anterior</w:t>
      </w:r>
      <w:r w:rsidR="000723B2" w:rsidRPr="008F2B4D">
        <w:rPr>
          <w:rFonts w:ascii="Times New Roman" w:hAnsi="Times New Roman" w:cs="Times New Roman"/>
          <w:lang w:val="es-MX"/>
        </w:rPr>
        <w:t>, aunque ligeramente por debajo de las expectativas. Los nuevos pedidos llegan a máximos de 70 meses y el crecimiento se acelera en las cuatro grandes economías, sobre todo en Alemania, Francia, Italia y España, aunque el ritmo más rápido de crecimiento de la actividad se observó en Irlanda.</w:t>
      </w:r>
    </w:p>
    <w:p w:rsidR="00CA6173" w:rsidRPr="00674B7B" w:rsidRDefault="00CA6173" w:rsidP="00651522">
      <w:pPr>
        <w:pStyle w:val="Sinespaciado"/>
        <w:jc w:val="both"/>
        <w:rPr>
          <w:rFonts w:ascii="Times New Roman" w:hAnsi="Times New Roman" w:cs="Times New Roman"/>
          <w:sz w:val="18"/>
          <w:lang w:val="es-MX"/>
        </w:rPr>
      </w:pPr>
    </w:p>
    <w:p w:rsidR="00D26F28" w:rsidRPr="008F2B4D" w:rsidRDefault="00CC60FF" w:rsidP="00D26F28">
      <w:pPr>
        <w:spacing w:after="0" w:line="240" w:lineRule="auto"/>
        <w:jc w:val="both"/>
        <w:rPr>
          <w:rFonts w:ascii="Times New Roman" w:hAnsi="Times New Roman" w:cs="Times New Roman"/>
          <w:lang w:val="es-MX"/>
        </w:rPr>
      </w:pPr>
      <w:r w:rsidRPr="008F2B4D">
        <w:rPr>
          <w:rFonts w:ascii="Times New Roman" w:hAnsi="Times New Roman" w:cs="Times New Roman"/>
          <w:lang w:val="es-MX"/>
        </w:rPr>
        <w:t>E</w:t>
      </w:r>
      <w:r w:rsidR="001C2FF5" w:rsidRPr="008F2B4D">
        <w:rPr>
          <w:rFonts w:ascii="Times New Roman" w:hAnsi="Times New Roman" w:cs="Times New Roman"/>
          <w:lang w:val="es-MX"/>
        </w:rPr>
        <w:t xml:space="preserve">l entorno interno, </w:t>
      </w:r>
      <w:r w:rsidR="00A25906" w:rsidRPr="008F2B4D">
        <w:rPr>
          <w:rFonts w:ascii="Times New Roman" w:hAnsi="Times New Roman" w:cs="Times New Roman"/>
          <w:lang w:val="es-MX"/>
        </w:rPr>
        <w:t>en febrero disminuyó</w:t>
      </w:r>
      <w:r w:rsidR="00D26F28" w:rsidRPr="008F2B4D">
        <w:rPr>
          <w:rFonts w:ascii="Times New Roman" w:hAnsi="Times New Roman" w:cs="Times New Roman"/>
          <w:lang w:val="es-MX"/>
        </w:rPr>
        <w:t xml:space="preserve"> la percepción sobre la situación económica actual y el ambiente para los negocios, el nivel del Índice de Confianza de la Actividad Económica se s</w:t>
      </w:r>
      <w:r w:rsidR="00A25906" w:rsidRPr="008F2B4D">
        <w:rPr>
          <w:rFonts w:ascii="Times New Roman" w:hAnsi="Times New Roman" w:cs="Times New Roman"/>
          <w:lang w:val="es-MX"/>
        </w:rPr>
        <w:t>ituó en 55.00</w:t>
      </w:r>
      <w:r w:rsidR="00D26F28" w:rsidRPr="008F2B4D">
        <w:rPr>
          <w:rFonts w:ascii="Times New Roman" w:hAnsi="Times New Roman" w:cs="Times New Roman"/>
          <w:lang w:val="es-MX"/>
        </w:rPr>
        <w:t xml:space="preserve"> puntos, </w:t>
      </w:r>
      <w:r w:rsidR="00A25906" w:rsidRPr="008F2B4D">
        <w:rPr>
          <w:rFonts w:ascii="Times New Roman" w:hAnsi="Times New Roman" w:cs="Times New Roman"/>
          <w:lang w:val="es-MX"/>
        </w:rPr>
        <w:t>inferior en 5</w:t>
      </w:r>
      <w:r w:rsidR="00D26F28" w:rsidRPr="008F2B4D">
        <w:rPr>
          <w:rFonts w:ascii="Times New Roman" w:hAnsi="Times New Roman" w:cs="Times New Roman"/>
          <w:lang w:val="es-MX"/>
        </w:rPr>
        <w:t>.</w:t>
      </w:r>
      <w:r w:rsidR="00A25906" w:rsidRPr="008F2B4D">
        <w:rPr>
          <w:rFonts w:ascii="Times New Roman" w:hAnsi="Times New Roman" w:cs="Times New Roman"/>
          <w:lang w:val="es-MX"/>
        </w:rPr>
        <w:t>24</w:t>
      </w:r>
      <w:r w:rsidR="00D26F28" w:rsidRPr="008F2B4D">
        <w:rPr>
          <w:rFonts w:ascii="Times New Roman" w:hAnsi="Times New Roman" w:cs="Times New Roman"/>
          <w:lang w:val="es-MX"/>
        </w:rPr>
        <w:t xml:space="preserve">% con </w:t>
      </w:r>
      <w:r w:rsidR="00A25906" w:rsidRPr="008F2B4D">
        <w:rPr>
          <w:rFonts w:ascii="Times New Roman" w:hAnsi="Times New Roman" w:cs="Times New Roman"/>
          <w:lang w:val="es-MX"/>
        </w:rPr>
        <w:t>respecto a</w:t>
      </w:r>
      <w:r w:rsidR="00D26F28" w:rsidRPr="008F2B4D">
        <w:rPr>
          <w:rFonts w:ascii="Times New Roman" w:hAnsi="Times New Roman" w:cs="Times New Roman"/>
          <w:lang w:val="es-MX"/>
        </w:rPr>
        <w:t>l registra</w:t>
      </w:r>
      <w:r w:rsidR="00A25906" w:rsidRPr="008F2B4D">
        <w:rPr>
          <w:rFonts w:ascii="Times New Roman" w:hAnsi="Times New Roman" w:cs="Times New Roman"/>
          <w:lang w:val="es-MX"/>
        </w:rPr>
        <w:t>do el mes anterior y menor en 9.32</w:t>
      </w:r>
      <w:r w:rsidR="00D26F28" w:rsidRPr="008F2B4D">
        <w:rPr>
          <w:rFonts w:ascii="Times New Roman" w:hAnsi="Times New Roman" w:cs="Times New Roman"/>
          <w:lang w:val="es-MX"/>
        </w:rPr>
        <w:t xml:space="preserve">% respecto al registrado en </w:t>
      </w:r>
      <w:r w:rsidR="00A25906" w:rsidRPr="008F2B4D">
        <w:rPr>
          <w:rFonts w:ascii="Times New Roman" w:hAnsi="Times New Roman" w:cs="Times New Roman"/>
          <w:lang w:val="es-MX"/>
        </w:rPr>
        <w:t>f</w:t>
      </w:r>
      <w:r w:rsidR="00D26F28" w:rsidRPr="008F2B4D">
        <w:rPr>
          <w:rFonts w:ascii="Times New Roman" w:hAnsi="Times New Roman" w:cs="Times New Roman"/>
          <w:lang w:val="es-MX"/>
        </w:rPr>
        <w:t>e</w:t>
      </w:r>
      <w:r w:rsidR="00A25906" w:rsidRPr="008F2B4D">
        <w:rPr>
          <w:rFonts w:ascii="Times New Roman" w:hAnsi="Times New Roman" w:cs="Times New Roman"/>
          <w:lang w:val="es-MX"/>
        </w:rPr>
        <w:t>br</w:t>
      </w:r>
      <w:r w:rsidR="00D26F28" w:rsidRPr="008F2B4D">
        <w:rPr>
          <w:rFonts w:ascii="Times New Roman" w:hAnsi="Times New Roman" w:cs="Times New Roman"/>
          <w:lang w:val="es-MX"/>
        </w:rPr>
        <w:t>ero 2016.</w:t>
      </w:r>
    </w:p>
    <w:p w:rsidR="007C0C8C" w:rsidRPr="00674B7B" w:rsidRDefault="007C0C8C" w:rsidP="007A6523">
      <w:pPr>
        <w:pStyle w:val="Sinespaciado"/>
        <w:jc w:val="both"/>
        <w:rPr>
          <w:rFonts w:ascii="Times New Roman" w:hAnsi="Times New Roman" w:cs="Times New Roman"/>
          <w:sz w:val="18"/>
          <w:lang w:val="es-MX"/>
        </w:rPr>
      </w:pPr>
    </w:p>
    <w:p w:rsidR="007A6523" w:rsidRPr="008F2B4D" w:rsidRDefault="00DA5809" w:rsidP="007A6523">
      <w:pPr>
        <w:pStyle w:val="Sinespaciado"/>
        <w:jc w:val="both"/>
        <w:rPr>
          <w:rFonts w:ascii="Times New Roman" w:hAnsi="Times New Roman" w:cs="Times New Roman"/>
          <w:lang w:val="es-MX"/>
        </w:rPr>
      </w:pPr>
      <w:r w:rsidRPr="008F2B4D">
        <w:rPr>
          <w:rFonts w:ascii="Times New Roman" w:hAnsi="Times New Roman" w:cs="Times New Roman"/>
          <w:lang w:val="es-MX"/>
        </w:rPr>
        <w:t>El 53.3</w:t>
      </w:r>
      <w:r w:rsidR="007A6523" w:rsidRPr="008F2B4D">
        <w:rPr>
          <w:rFonts w:ascii="Times New Roman" w:hAnsi="Times New Roman" w:cs="Times New Roman"/>
          <w:lang w:val="es-MX"/>
        </w:rPr>
        <w:t>% de los analistas económicos entrevistados para la elaboración del indicador, consideran que no existirá cambio en el clima de los negocios para las actividades productivas del sector privado e</w:t>
      </w:r>
      <w:r w:rsidRPr="008F2B4D">
        <w:rPr>
          <w:rFonts w:ascii="Times New Roman" w:hAnsi="Times New Roman" w:cs="Times New Roman"/>
          <w:lang w:val="es-MX"/>
        </w:rPr>
        <w:t>n los próximos seis meses; el 66.7</w:t>
      </w:r>
      <w:r w:rsidR="007A6523" w:rsidRPr="008F2B4D">
        <w:rPr>
          <w:rFonts w:ascii="Times New Roman" w:hAnsi="Times New Roman" w:cs="Times New Roman"/>
          <w:lang w:val="es-MX"/>
        </w:rPr>
        <w:t>% considera que la economía no es</w:t>
      </w:r>
      <w:r w:rsidR="005879A5" w:rsidRPr="008F2B4D">
        <w:rPr>
          <w:rFonts w:ascii="Times New Roman" w:hAnsi="Times New Roman" w:cs="Times New Roman"/>
          <w:lang w:val="es-MX"/>
        </w:rPr>
        <w:t>tá mejor que h</w:t>
      </w:r>
      <w:r w:rsidRPr="008F2B4D">
        <w:rPr>
          <w:rFonts w:ascii="Times New Roman" w:hAnsi="Times New Roman" w:cs="Times New Roman"/>
          <w:lang w:val="es-MX"/>
        </w:rPr>
        <w:t>ace un año y el 50.0</w:t>
      </w:r>
      <w:r w:rsidR="007A6523" w:rsidRPr="008F2B4D">
        <w:rPr>
          <w:rFonts w:ascii="Times New Roman" w:hAnsi="Times New Roman" w:cs="Times New Roman"/>
          <w:lang w:val="es-MX"/>
        </w:rPr>
        <w:t>% espera que la evolución económica del país mejore durante los próx</w:t>
      </w:r>
      <w:bookmarkStart w:id="0" w:name="_GoBack"/>
      <w:bookmarkEnd w:id="0"/>
      <w:r w:rsidR="007A6523" w:rsidRPr="008F2B4D">
        <w:rPr>
          <w:rFonts w:ascii="Times New Roman" w:hAnsi="Times New Roman" w:cs="Times New Roman"/>
          <w:lang w:val="es-MX"/>
        </w:rPr>
        <w:t>imos seis meses.</w:t>
      </w:r>
    </w:p>
    <w:p w:rsidR="007C0C8C" w:rsidRPr="008F2B4D" w:rsidRDefault="007C0C8C" w:rsidP="00364DD6">
      <w:pPr>
        <w:spacing w:after="0" w:line="240" w:lineRule="auto"/>
        <w:jc w:val="both"/>
        <w:rPr>
          <w:lang w:val="es-MX"/>
        </w:rPr>
      </w:pPr>
    </w:p>
    <w:p w:rsidR="007D0566" w:rsidRPr="008F2B4D" w:rsidRDefault="007D0566" w:rsidP="007D0566">
      <w:pPr>
        <w:spacing w:after="0" w:line="240" w:lineRule="auto"/>
        <w:jc w:val="center"/>
        <w:rPr>
          <w:rFonts w:ascii="Times New Roman" w:hAnsi="Times New Roman" w:cs="Times New Roman"/>
          <w:b/>
          <w:szCs w:val="24"/>
        </w:rPr>
      </w:pPr>
      <w:r w:rsidRPr="008F2B4D">
        <w:rPr>
          <w:rFonts w:ascii="Times New Roman" w:hAnsi="Times New Roman" w:cs="Times New Roman"/>
          <w:b/>
          <w:szCs w:val="24"/>
        </w:rPr>
        <w:t>Índice de confianza de la actividad económica</w:t>
      </w:r>
    </w:p>
    <w:p w:rsidR="007D0566" w:rsidRPr="008F2B4D" w:rsidRDefault="003968DB" w:rsidP="007D0566">
      <w:pPr>
        <w:spacing w:after="0" w:line="240" w:lineRule="auto"/>
        <w:jc w:val="center"/>
        <w:rPr>
          <w:rFonts w:ascii="Times New Roman" w:hAnsi="Times New Roman" w:cs="Times New Roman"/>
          <w:sz w:val="18"/>
        </w:rPr>
      </w:pPr>
      <w:r w:rsidRPr="008F2B4D">
        <w:rPr>
          <w:rFonts w:ascii="Times New Roman" w:hAnsi="Times New Roman" w:cs="Times New Roman"/>
          <w:sz w:val="18"/>
        </w:rPr>
        <w:t>Febrero</w:t>
      </w:r>
      <w:r w:rsidR="00D26F28" w:rsidRPr="008F2B4D">
        <w:rPr>
          <w:rFonts w:ascii="Times New Roman" w:hAnsi="Times New Roman" w:cs="Times New Roman"/>
          <w:sz w:val="18"/>
        </w:rPr>
        <w:t xml:space="preserve"> 2015 – 2017</w:t>
      </w:r>
    </w:p>
    <w:p w:rsidR="007D0566" w:rsidRPr="008F2B4D" w:rsidRDefault="003968DB" w:rsidP="00364DD6">
      <w:pPr>
        <w:spacing w:after="0" w:line="240" w:lineRule="auto"/>
        <w:jc w:val="both"/>
        <w:rPr>
          <w:lang w:val="es-MX"/>
        </w:rPr>
      </w:pPr>
      <w:r w:rsidRPr="008F2B4D">
        <w:rPr>
          <w:noProof/>
          <w:lang w:eastAsia="es-GT"/>
        </w:rPr>
        <w:drawing>
          <wp:inline distT="0" distB="0" distL="0" distR="0" wp14:anchorId="64F3D390" wp14:editId="79081945">
            <wp:extent cx="2581835" cy="1595718"/>
            <wp:effectExtent l="0" t="0" r="0"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0566" w:rsidRPr="008F2B4D" w:rsidRDefault="007D0566" w:rsidP="007D0566">
      <w:pPr>
        <w:spacing w:after="0"/>
        <w:jc w:val="both"/>
        <w:rPr>
          <w:rFonts w:ascii="Times New Roman" w:hAnsi="Times New Roman" w:cs="Times New Roman"/>
          <w:sz w:val="16"/>
          <w:szCs w:val="12"/>
          <w:lang w:val="es-MX"/>
        </w:rPr>
      </w:pPr>
      <w:r w:rsidRPr="008F2B4D">
        <w:rPr>
          <w:rFonts w:ascii="Times New Roman" w:hAnsi="Times New Roman" w:cs="Times New Roman"/>
          <w:sz w:val="16"/>
          <w:szCs w:val="12"/>
          <w:lang w:val="es-MX"/>
        </w:rPr>
        <w:t>Fuente: Banco de Guatemala</w:t>
      </w:r>
    </w:p>
    <w:p w:rsidR="007D0566" w:rsidRPr="008F2B4D" w:rsidRDefault="007D0566" w:rsidP="007D0566">
      <w:pPr>
        <w:spacing w:after="0"/>
        <w:jc w:val="both"/>
        <w:rPr>
          <w:rFonts w:ascii="Times New Roman" w:hAnsi="Times New Roman" w:cs="Times New Roman"/>
          <w:lang w:val="es-MX"/>
        </w:rPr>
      </w:pPr>
    </w:p>
    <w:p w:rsidR="003551C3" w:rsidRPr="008F2B4D" w:rsidRDefault="00D26F28" w:rsidP="00343A5D">
      <w:pPr>
        <w:spacing w:after="0" w:line="240" w:lineRule="auto"/>
        <w:jc w:val="both"/>
        <w:rPr>
          <w:rFonts w:ascii="Times New Roman" w:hAnsi="Times New Roman" w:cs="Times New Roman"/>
          <w:lang w:val="es-MX"/>
        </w:rPr>
      </w:pPr>
      <w:r w:rsidRPr="008F2B4D">
        <w:rPr>
          <w:rFonts w:ascii="Times New Roman" w:hAnsi="Times New Roman" w:cs="Times New Roman"/>
          <w:lang w:val="es-MX"/>
        </w:rPr>
        <w:t>Se es</w:t>
      </w:r>
      <w:r w:rsidR="00DA5809" w:rsidRPr="008F2B4D">
        <w:rPr>
          <w:rFonts w:ascii="Times New Roman" w:hAnsi="Times New Roman" w:cs="Times New Roman"/>
          <w:lang w:val="es-MX"/>
        </w:rPr>
        <w:t>pera un ritmo inflacionario de 4</w:t>
      </w:r>
      <w:r w:rsidRPr="008F2B4D">
        <w:rPr>
          <w:rFonts w:ascii="Times New Roman" w:hAnsi="Times New Roman" w:cs="Times New Roman"/>
          <w:lang w:val="es-MX"/>
        </w:rPr>
        <w:t>.</w:t>
      </w:r>
      <w:r w:rsidR="00DA5809" w:rsidRPr="008F2B4D">
        <w:rPr>
          <w:rFonts w:ascii="Times New Roman" w:hAnsi="Times New Roman" w:cs="Times New Roman"/>
          <w:lang w:val="es-MX"/>
        </w:rPr>
        <w:t>11% en febrero, 4</w:t>
      </w:r>
      <w:r w:rsidRPr="008F2B4D">
        <w:rPr>
          <w:rFonts w:ascii="Times New Roman" w:hAnsi="Times New Roman" w:cs="Times New Roman"/>
          <w:lang w:val="es-MX"/>
        </w:rPr>
        <w:t>.</w:t>
      </w:r>
      <w:r w:rsidR="00DA5809" w:rsidRPr="008F2B4D">
        <w:rPr>
          <w:rFonts w:ascii="Times New Roman" w:hAnsi="Times New Roman" w:cs="Times New Roman"/>
          <w:lang w:val="es-MX"/>
        </w:rPr>
        <w:t>15 % para marzo y 4.21% para abril 2017</w:t>
      </w:r>
      <w:r w:rsidRPr="008F2B4D">
        <w:rPr>
          <w:rFonts w:ascii="Times New Roman" w:hAnsi="Times New Roman" w:cs="Times New Roman"/>
          <w:lang w:val="es-MX"/>
        </w:rPr>
        <w:t xml:space="preserve">; en un horizonte de 12 y 24 meses se esperaría un ritmo de </w:t>
      </w:r>
      <w:r w:rsidR="00DA5809" w:rsidRPr="008F2B4D">
        <w:rPr>
          <w:rFonts w:ascii="Times New Roman" w:hAnsi="Times New Roman" w:cs="Times New Roman"/>
          <w:lang w:val="es-MX"/>
        </w:rPr>
        <w:t>4.</w:t>
      </w:r>
      <w:r w:rsidR="009C4027" w:rsidRPr="008F2B4D">
        <w:rPr>
          <w:rFonts w:ascii="Times New Roman" w:hAnsi="Times New Roman" w:cs="Times New Roman"/>
          <w:lang w:val="es-MX"/>
        </w:rPr>
        <w:t>4</w:t>
      </w:r>
      <w:r w:rsidR="00DA5809" w:rsidRPr="008F2B4D">
        <w:rPr>
          <w:rFonts w:ascii="Times New Roman" w:hAnsi="Times New Roman" w:cs="Times New Roman"/>
          <w:lang w:val="es-MX"/>
        </w:rPr>
        <w:t>0% y 4.46</w:t>
      </w:r>
      <w:r w:rsidR="009C4027" w:rsidRPr="008F2B4D">
        <w:rPr>
          <w:rFonts w:ascii="Times New Roman" w:hAnsi="Times New Roman" w:cs="Times New Roman"/>
          <w:lang w:val="es-MX"/>
        </w:rPr>
        <w:t>% respectivamente.</w:t>
      </w:r>
      <w:r w:rsidR="00343A5D" w:rsidRPr="008F2B4D">
        <w:rPr>
          <w:rFonts w:ascii="Times New Roman" w:hAnsi="Times New Roman" w:cs="Times New Roman"/>
          <w:lang w:val="es-MX"/>
        </w:rPr>
        <w:t xml:space="preserve"> </w:t>
      </w:r>
    </w:p>
    <w:p w:rsidR="003551C3" w:rsidRPr="008F2B4D" w:rsidRDefault="003551C3" w:rsidP="0042387A">
      <w:pPr>
        <w:spacing w:after="0" w:line="240" w:lineRule="auto"/>
        <w:rPr>
          <w:rFonts w:ascii="Times New Roman" w:hAnsi="Times New Roman" w:cs="Times New Roman"/>
          <w:lang w:val="es-MX"/>
        </w:rPr>
      </w:pPr>
    </w:p>
    <w:p w:rsidR="004A73AA" w:rsidRPr="008F2B4D" w:rsidRDefault="00DA5809" w:rsidP="00343A5D">
      <w:pPr>
        <w:spacing w:after="0" w:line="240" w:lineRule="auto"/>
        <w:jc w:val="both"/>
        <w:rPr>
          <w:rFonts w:ascii="Times New Roman" w:hAnsi="Times New Roman" w:cs="Times New Roman"/>
          <w:lang w:val="es-MX"/>
        </w:rPr>
      </w:pPr>
      <w:r w:rsidRPr="008F2B4D">
        <w:rPr>
          <w:rFonts w:ascii="Times New Roman" w:hAnsi="Times New Roman" w:cs="Times New Roman"/>
          <w:lang w:val="es-MX"/>
        </w:rPr>
        <w:lastRenderedPageBreak/>
        <w:t>La Junta Monetaria decidió este mes mantener en 3.0% el nivel de la tasa de interés líder de política monetaria, con base en el análisis integral de la coyuntura económica externa e interna, luego de haber conocido el Balance de Riesgo de Inflación.</w:t>
      </w:r>
    </w:p>
    <w:p w:rsidR="004A73AA" w:rsidRPr="008F2B4D" w:rsidRDefault="004A73AA" w:rsidP="0042387A">
      <w:pPr>
        <w:spacing w:after="0" w:line="240" w:lineRule="auto"/>
        <w:rPr>
          <w:rFonts w:ascii="Times New Roman" w:hAnsi="Times New Roman" w:cs="Times New Roman"/>
          <w:lang w:val="es-MX"/>
        </w:rPr>
      </w:pPr>
    </w:p>
    <w:p w:rsidR="00343A5D" w:rsidRPr="00951729" w:rsidRDefault="00343A5D" w:rsidP="0042387A">
      <w:pPr>
        <w:spacing w:after="0" w:line="240" w:lineRule="auto"/>
        <w:rPr>
          <w:rFonts w:ascii="Times New Roman" w:hAnsi="Times New Roman" w:cs="Times New Roman"/>
          <w:color w:val="FF0000"/>
          <w:lang w:val="es-MX"/>
        </w:rPr>
      </w:pPr>
    </w:p>
    <w:p w:rsidR="00343A5D" w:rsidRPr="00951729" w:rsidRDefault="00343A5D" w:rsidP="0042387A">
      <w:pPr>
        <w:spacing w:after="0" w:line="240" w:lineRule="auto"/>
        <w:rPr>
          <w:rFonts w:ascii="Times New Roman" w:hAnsi="Times New Roman" w:cs="Times New Roman"/>
          <w:color w:val="FF0000"/>
          <w:lang w:val="es-MX"/>
        </w:rPr>
        <w:sectPr w:rsidR="00343A5D" w:rsidRPr="00951729" w:rsidSect="007D4651">
          <w:type w:val="continuous"/>
          <w:pgSz w:w="12240" w:h="15840" w:code="1"/>
          <w:pgMar w:top="1418" w:right="1418" w:bottom="1418" w:left="1418" w:header="709" w:footer="709" w:gutter="0"/>
          <w:cols w:num="2" w:space="708"/>
          <w:docGrid w:linePitch="360"/>
        </w:sectPr>
      </w:pPr>
    </w:p>
    <w:p w:rsidR="0042387A" w:rsidRPr="00951729" w:rsidRDefault="0042387A" w:rsidP="0042387A">
      <w:pPr>
        <w:spacing w:after="0" w:line="240" w:lineRule="auto"/>
        <w:rPr>
          <w:rFonts w:ascii="Times New Roman" w:hAnsi="Times New Roman" w:cs="Times New Roman"/>
          <w:color w:val="FF0000"/>
          <w:lang w:val="es-MX"/>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Pr="00951729" w:rsidRDefault="00343A5D" w:rsidP="00416D41">
      <w:pPr>
        <w:spacing w:after="0" w:line="240" w:lineRule="auto"/>
        <w:jc w:val="center"/>
        <w:rPr>
          <w:noProof/>
          <w:color w:val="FF0000"/>
          <w:lang w:eastAsia="es-GT"/>
        </w:rPr>
      </w:pPr>
    </w:p>
    <w:p w:rsidR="00343A5D" w:rsidRDefault="00343A5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Default="008F2B4D" w:rsidP="00416D41">
      <w:pPr>
        <w:spacing w:after="0" w:line="240" w:lineRule="auto"/>
        <w:jc w:val="center"/>
        <w:rPr>
          <w:noProof/>
          <w:color w:val="FF0000"/>
          <w:lang w:eastAsia="es-GT"/>
        </w:rPr>
      </w:pPr>
    </w:p>
    <w:p w:rsidR="008F2B4D" w:rsidRPr="00951729" w:rsidRDefault="008F2B4D" w:rsidP="00416D41">
      <w:pPr>
        <w:spacing w:after="0" w:line="240" w:lineRule="auto"/>
        <w:jc w:val="center"/>
        <w:rPr>
          <w:noProof/>
          <w:color w:val="FF0000"/>
          <w:lang w:eastAsia="es-GT"/>
        </w:rPr>
      </w:pPr>
    </w:p>
    <w:p w:rsidR="00343A5D" w:rsidRPr="00033B8E" w:rsidRDefault="00343A5D" w:rsidP="00343A5D">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343A5D" w:rsidRPr="00033B8E" w:rsidSect="00FA3B81">
          <w:headerReference w:type="default" r:id="rId27"/>
          <w:footerReference w:type="default" r:id="rId28"/>
          <w:type w:val="continuous"/>
          <w:pgSz w:w="12240" w:h="15840" w:code="1"/>
          <w:pgMar w:top="1418" w:right="1418" w:bottom="1418" w:left="1418" w:header="709" w:footer="709" w:gutter="0"/>
          <w:cols w:space="708"/>
          <w:docGrid w:linePitch="360"/>
        </w:sectPr>
      </w:pPr>
      <w:r w:rsidRPr="00033B8E">
        <w:rPr>
          <w:rFonts w:ascii="Times New Roman" w:hAnsi="Times New Roman" w:cs="Times New Roman"/>
          <w:b/>
          <w:lang w:val="es-MX"/>
        </w:rPr>
        <w:lastRenderedPageBreak/>
        <w:t>Anexo</w:t>
      </w:r>
    </w:p>
    <w:p w:rsidR="00343A5D" w:rsidRPr="00951729" w:rsidRDefault="00343A5D" w:rsidP="00416D41">
      <w:pPr>
        <w:spacing w:after="0" w:line="240" w:lineRule="auto"/>
        <w:jc w:val="center"/>
        <w:rPr>
          <w:noProof/>
          <w:color w:val="FF0000"/>
          <w:lang w:eastAsia="es-GT"/>
        </w:rPr>
      </w:pPr>
    </w:p>
    <w:p w:rsidR="00416D41" w:rsidRPr="00951729" w:rsidRDefault="00033B8E" w:rsidP="00416D41">
      <w:pPr>
        <w:spacing w:after="0" w:line="240" w:lineRule="auto"/>
        <w:jc w:val="center"/>
        <w:rPr>
          <w:rFonts w:ascii="Times New Roman" w:hAnsi="Times New Roman" w:cs="Times New Roman"/>
          <w:color w:val="FF0000"/>
          <w:lang w:val="es-MX"/>
        </w:rPr>
      </w:pPr>
      <w:r w:rsidRPr="004F1952">
        <w:rPr>
          <w:noProof/>
          <w:lang w:eastAsia="es-GT"/>
        </w:rPr>
        <w:drawing>
          <wp:inline distT="0" distB="0" distL="0" distR="0" wp14:anchorId="37EFF914" wp14:editId="0C33590C">
            <wp:extent cx="5381625" cy="51244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4196" cy="5136421"/>
                    </a:xfrm>
                    <a:prstGeom prst="rect">
                      <a:avLst/>
                    </a:prstGeom>
                    <a:noFill/>
                    <a:ln>
                      <a:noFill/>
                    </a:ln>
                  </pic:spPr>
                </pic:pic>
              </a:graphicData>
            </a:graphic>
          </wp:inline>
        </w:drawing>
      </w:r>
    </w:p>
    <w:sectPr w:rsidR="00416D41" w:rsidRPr="00951729" w:rsidSect="00416D41">
      <w:headerReference w:type="default" r:id="rId30"/>
      <w:footerReference w:type="default" r:id="rId31"/>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A" w:rsidRDefault="00D45C8A" w:rsidP="007D4651">
      <w:pPr>
        <w:spacing w:after="0" w:line="240" w:lineRule="auto"/>
      </w:pPr>
      <w:r>
        <w:separator/>
      </w:r>
    </w:p>
  </w:endnote>
  <w:endnote w:type="continuationSeparator" w:id="0">
    <w:p w:rsidR="00D45C8A" w:rsidRDefault="00D45C8A"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1D91C1BE" wp14:editId="7BC268E4">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74B7B" w:rsidRPr="00674B7B">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2FE59C1E" wp14:editId="16A2EDF6">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74B7B" w:rsidRPr="00674B7B">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1D2D0343" wp14:editId="62E2D051">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ED6C3A" w:rsidRPr="00ED6C3A">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3A327218" wp14:editId="3C4FE088">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74B7B" w:rsidRPr="00674B7B">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A15ACE2" wp14:editId="4C960AF4">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74B7B" w:rsidRPr="00674B7B">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3603254"/>
      <w:docPartObj>
        <w:docPartGallery w:val="Page Numbers (Bottom of Page)"/>
        <w:docPartUnique/>
      </w:docPartObj>
    </w:sdtPr>
    <w:sdtEndPr/>
    <w:sdtContent>
      <w:p w:rsidR="00343A5D" w:rsidRDefault="00343A5D">
        <w:pPr>
          <w:pStyle w:val="Piedepgina"/>
          <w:jc w:val="right"/>
          <w:rPr>
            <w:lang w:val="es-ES"/>
          </w:rPr>
        </w:pPr>
      </w:p>
      <w:p w:rsidR="00343A5D" w:rsidRDefault="00343A5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4320" behindDoc="0" locked="0" layoutInCell="1" allowOverlap="1" wp14:anchorId="33EB848D" wp14:editId="6D48EF5C">
                  <wp:simplePos x="0" y="0"/>
                  <wp:positionH relativeFrom="column">
                    <wp:posOffset>1776669</wp:posOffset>
                  </wp:positionH>
                  <wp:positionV relativeFrom="paragraph">
                    <wp:posOffset>70516</wp:posOffset>
                  </wp:positionV>
                  <wp:extent cx="5155565" cy="45719"/>
                  <wp:effectExtent l="38100" t="38100" r="64135" b="88265"/>
                  <wp:wrapNone/>
                  <wp:docPr id="24"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4 Rectángulo" o:spid="_x0000_s1026" style="position:absolute;margin-left:139.9pt;margin-top:5.55pt;width:405.95pt;height: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&#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PVGH7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343A5D" w:rsidRDefault="00343A5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74B7B" w:rsidRPr="00674B7B">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343A5D" w:rsidRDefault="00343A5D" w:rsidP="007D4651">
    <w:pPr>
      <w:pStyle w:val="Piedepgina"/>
      <w:tabs>
        <w:tab w:val="clear" w:pos="4419"/>
        <w:tab w:val="clear" w:pos="8838"/>
        <w:tab w:val="left" w:pos="5777"/>
      </w:tabs>
    </w:pPr>
  </w:p>
  <w:p w:rsidR="00343A5D" w:rsidRDefault="00343A5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416D41" w:rsidRDefault="00416D41">
        <w:pPr>
          <w:pStyle w:val="Piedepgina"/>
          <w:jc w:val="right"/>
          <w:rPr>
            <w:lang w:val="es-ES"/>
          </w:rPr>
        </w:pPr>
      </w:p>
      <w:p w:rsidR="00416D41" w:rsidRDefault="00416D4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A67760D" wp14:editId="0E28904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16D41" w:rsidRDefault="00416D4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74B7B" w:rsidRPr="00674B7B">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416D41" w:rsidRDefault="00416D41" w:rsidP="007D4651">
    <w:pPr>
      <w:pStyle w:val="Piedepgina"/>
      <w:tabs>
        <w:tab w:val="clear" w:pos="4419"/>
        <w:tab w:val="clear" w:pos="8838"/>
        <w:tab w:val="left" w:pos="5777"/>
      </w:tabs>
    </w:pPr>
  </w:p>
  <w:p w:rsidR="00416D41" w:rsidRDefault="00416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A" w:rsidRDefault="00D45C8A" w:rsidP="007D4651">
      <w:pPr>
        <w:spacing w:after="0" w:line="240" w:lineRule="auto"/>
      </w:pPr>
      <w:r>
        <w:separator/>
      </w:r>
    </w:p>
  </w:footnote>
  <w:footnote w:type="continuationSeparator" w:id="0">
    <w:p w:rsidR="00D45C8A" w:rsidRDefault="00D45C8A" w:rsidP="007D4651">
      <w:pPr>
        <w:spacing w:after="0" w:line="240" w:lineRule="auto"/>
      </w:pPr>
      <w:r>
        <w:continuationSeparator/>
      </w:r>
    </w:p>
  </w:footnote>
  <w:footnote w:id="1">
    <w:p w:rsidR="00951729" w:rsidRPr="00080F12" w:rsidRDefault="00951729" w:rsidP="00951729">
      <w:pPr>
        <w:pStyle w:val="Textonotapie"/>
        <w:rPr>
          <w:lang w:val="es-MX"/>
        </w:rPr>
      </w:pPr>
      <w:r>
        <w:rPr>
          <w:rStyle w:val="Refdenotaalpie"/>
        </w:rPr>
        <w:footnoteRef/>
      </w:r>
      <w:r>
        <w:t xml:space="preserve"> </w:t>
      </w:r>
      <w:r>
        <w:rPr>
          <w:rFonts w:ascii="Times New Roman" w:hAnsi="Times New Roman" w:cs="Times New Roman"/>
          <w:lang w:val="es-MX"/>
        </w:rPr>
        <w:t>Incluye Q 519.4 millones producto de medias administrativas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5888" behindDoc="1" locked="0" layoutInCell="1" allowOverlap="1" wp14:anchorId="4C7918B1" wp14:editId="5CB52ED7">
          <wp:simplePos x="0" y="0"/>
          <wp:positionH relativeFrom="column">
            <wp:posOffset>-234177</wp:posOffset>
          </wp:positionH>
          <wp:positionV relativeFrom="paragraph">
            <wp:posOffset>-5439</wp:posOffset>
          </wp:positionV>
          <wp:extent cx="1365775" cy="735496"/>
          <wp:effectExtent l="0" t="0" r="6350" b="7620"/>
          <wp:wrapNone/>
          <wp:docPr id="10" name="Imagen 1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670F3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w:t>
    </w:r>
    <w:r w:rsidR="00BD3A7C">
      <w:rPr>
        <w:rFonts w:ascii="Times New Roman" w:hAnsi="Times New Roman" w:cs="Times New Roman"/>
        <w:color w:val="1F497D" w:themeColor="text2"/>
        <w:lang w:val="es-MX"/>
      </w:rPr>
      <w:t xml:space="preserve"> 2017</w:t>
    </w:r>
  </w:p>
  <w:p w:rsidR="007D4651" w:rsidRDefault="00BD3A7C"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87936" behindDoc="0" locked="0" layoutInCell="1" allowOverlap="1" wp14:anchorId="2DD2E791" wp14:editId="0F0A6A04">
              <wp:simplePos x="0" y="0"/>
              <wp:positionH relativeFrom="column">
                <wp:posOffset>1232949</wp:posOffset>
              </wp:positionH>
              <wp:positionV relativeFrom="paragraph">
                <wp:posOffset>61595</wp:posOffset>
              </wp:positionV>
              <wp:extent cx="5634990" cy="45085"/>
              <wp:effectExtent l="38100" t="38100" r="60960" b="88265"/>
              <wp:wrapNone/>
              <wp:docPr id="12" name="12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margin-left:97.1pt;margin-top:4.85pt;width:443.7pt;height:3.55pt;flip:y;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h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IlmHcSoH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66791B" w:rsidRPr="009F164F" w:rsidRDefault="007D4651"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6B52E573" wp14:editId="6639523A">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670F3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w:t>
    </w:r>
    <w:r w:rsidR="00BD3A7C">
      <w:rPr>
        <w:rFonts w:ascii="Times New Roman" w:hAnsi="Times New Roman" w:cs="Times New Roman"/>
        <w:color w:val="1F497D" w:themeColor="text2"/>
        <w:lang w:val="es-MX"/>
      </w:rPr>
      <w:t xml:space="preserve"> 2017</w:t>
    </w:r>
  </w:p>
  <w:p w:rsidR="00E16925" w:rsidRDefault="00BD3A7C"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40147906" wp14:editId="6C73C1FB">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E16925" w:rsidRDefault="00BD3A7C"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9F164F"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2032" behindDoc="1" locked="0" layoutInCell="1" allowOverlap="1" wp14:anchorId="31879C09" wp14:editId="3A79D1D9">
          <wp:simplePos x="0" y="0"/>
          <wp:positionH relativeFrom="column">
            <wp:posOffset>-453169</wp:posOffset>
          </wp:positionH>
          <wp:positionV relativeFrom="paragraph">
            <wp:posOffset>-5080</wp:posOffset>
          </wp:positionV>
          <wp:extent cx="1365775" cy="735496"/>
          <wp:effectExtent l="0" t="0" r="6350" b="7620"/>
          <wp:wrapNone/>
          <wp:docPr id="14" name="Imagen 1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670F3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w:t>
    </w:r>
    <w:r w:rsidR="00BD3A7C">
      <w:rPr>
        <w:rFonts w:ascii="Times New Roman" w:hAnsi="Times New Roman" w:cs="Times New Roman"/>
        <w:color w:val="1F497D" w:themeColor="text2"/>
        <w:lang w:val="es-MX"/>
      </w:rPr>
      <w:t xml:space="preserve"> 2017</w:t>
    </w:r>
  </w:p>
  <w:p w:rsidR="00FA3B81" w:rsidRDefault="00BD3A7C"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8176" behindDoc="0" locked="0" layoutInCell="1" allowOverlap="1" wp14:anchorId="6E743DBB" wp14:editId="7C712F35">
              <wp:simplePos x="0" y="0"/>
              <wp:positionH relativeFrom="column">
                <wp:posOffset>1066165</wp:posOffset>
              </wp:positionH>
              <wp:positionV relativeFrom="paragraph">
                <wp:posOffset>72611</wp:posOffset>
              </wp:positionV>
              <wp:extent cx="5634990" cy="45085"/>
              <wp:effectExtent l="38100" t="38100" r="60960" b="88265"/>
              <wp:wrapNone/>
              <wp:docPr id="21" name="21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1 Rectángulo redondeado" o:spid="_x0000_s1026" style="position:absolute;margin-left:83.95pt;margin-top:5.7pt;width:443.7pt;height:3.5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kpQ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FA3B81" w:rsidRDefault="00BD3A7C"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9F164F" w:rsidRPr="009F164F">
      <w:rPr>
        <w:rFonts w:ascii="Times New Roman" w:hAnsi="Times New Roman" w:cs="Times New Roman"/>
        <w:b/>
        <w:color w:val="4F81BD" w:themeColor="accent1"/>
        <w:lang w:val="es-MX"/>
      </w:rPr>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66CDD691" wp14:editId="01AD6B3F">
          <wp:simplePos x="0" y="0"/>
          <wp:positionH relativeFrom="column">
            <wp:posOffset>-89849</wp:posOffset>
          </wp:positionH>
          <wp:positionV relativeFrom="paragraph">
            <wp:posOffset>-163027</wp:posOffset>
          </wp:positionV>
          <wp:extent cx="1697990" cy="914400"/>
          <wp:effectExtent l="0" t="0" r="0" b="0"/>
          <wp:wrapNone/>
          <wp:docPr id="37" name="Imagen 3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670F3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74F7F8F2" wp14:editId="68164A6F">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4080" behindDoc="1" locked="0" layoutInCell="1" allowOverlap="1" wp14:anchorId="3A8A1068" wp14:editId="5DA449A9">
          <wp:simplePos x="0" y="0"/>
          <wp:positionH relativeFrom="column">
            <wp:posOffset>-432849</wp:posOffset>
          </wp:positionH>
          <wp:positionV relativeFrom="paragraph">
            <wp:posOffset>-4445</wp:posOffset>
          </wp:positionV>
          <wp:extent cx="1365775" cy="735496"/>
          <wp:effectExtent l="0" t="0" r="6350" b="7620"/>
          <wp:wrapNone/>
          <wp:docPr id="18" name="Imagen 1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670F33"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w:t>
    </w:r>
    <w:r w:rsidR="00BD3A7C">
      <w:rPr>
        <w:rFonts w:ascii="Times New Roman" w:hAnsi="Times New Roman" w:cs="Times New Roman"/>
        <w:color w:val="1F497D" w:themeColor="text2"/>
        <w:lang w:val="es-MX"/>
      </w:rPr>
      <w:t xml:space="preserve"> 2017</w:t>
    </w:r>
  </w:p>
  <w:p w:rsidR="00494D1D" w:rsidRPr="004A73AA" w:rsidRDefault="00BD3A7C"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700224" behindDoc="0" locked="0" layoutInCell="1" allowOverlap="1" wp14:anchorId="02AAB71C" wp14:editId="6A3F510F">
              <wp:simplePos x="0" y="0"/>
              <wp:positionH relativeFrom="column">
                <wp:posOffset>1022626</wp:posOffset>
              </wp:positionH>
              <wp:positionV relativeFrom="paragraph">
                <wp:posOffset>45720</wp:posOffset>
              </wp:positionV>
              <wp:extent cx="5634990" cy="45085"/>
              <wp:effectExtent l="38100" t="38100" r="60960" b="88265"/>
              <wp:wrapNone/>
              <wp:docPr id="28" name="28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8 Rectángulo redondeado" o:spid="_x0000_s1026" style="position:absolute;margin-left:80.5pt;margin-top:3.6pt;width:443.7pt;height:3.55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494D1D" w:rsidRPr="004A73AA" w:rsidRDefault="00BD3A7C"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9F164F" w:rsidRPr="004A73AA">
      <w:rPr>
        <w:rFonts w:ascii="Times New Roman" w:hAnsi="Times New Roman" w:cs="Times New Roman"/>
        <w:b/>
        <w:color w:val="1F497D" w:themeColor="text2"/>
        <w:lang w:val="es-MX"/>
      </w:rPr>
      <w:t>Dirección de Análisis y Política Fiscal</w:t>
    </w:r>
  </w:p>
  <w:p w:rsidR="00494D1D" w:rsidRPr="007452E2" w:rsidRDefault="00494D1D"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5D" w:rsidRPr="007D4651" w:rsidRDefault="00343A5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3296" behindDoc="1" locked="0" layoutInCell="1" allowOverlap="1" wp14:anchorId="0285DBC0" wp14:editId="644C10EA">
          <wp:simplePos x="0" y="0"/>
          <wp:positionH relativeFrom="column">
            <wp:posOffset>-89849</wp:posOffset>
          </wp:positionH>
          <wp:positionV relativeFrom="paragraph">
            <wp:posOffset>-163027</wp:posOffset>
          </wp:positionV>
          <wp:extent cx="1697990" cy="914400"/>
          <wp:effectExtent l="0" t="0" r="0" b="0"/>
          <wp:wrapNone/>
          <wp:docPr id="25" name="Imagen 2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343A5D" w:rsidRPr="007D4651" w:rsidRDefault="00BC4F9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Febrero 2017</w:t>
    </w:r>
  </w:p>
  <w:p w:rsidR="00343A5D" w:rsidRDefault="00343A5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2272" behindDoc="0" locked="0" layoutInCell="1" allowOverlap="1" wp14:anchorId="5531DBBE" wp14:editId="74C7E6BB">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134.7pt;margin-top:2.3pt;width:406pt;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343A5D" w:rsidRDefault="00343A5D"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343A5D" w:rsidRPr="00E16925" w:rsidRDefault="00343A5D"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41" w:rsidRPr="007D4651" w:rsidRDefault="00416D4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1D7EEE6" wp14:editId="33F4E9F0">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16D41" w:rsidRPr="007D4651" w:rsidRDefault="004A73A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9F164F">
      <w:rPr>
        <w:rFonts w:ascii="Times New Roman" w:hAnsi="Times New Roman" w:cs="Times New Roman"/>
        <w:color w:val="1F497D" w:themeColor="text2"/>
        <w:lang w:val="es-MX"/>
      </w:rPr>
      <w:t>bre</w:t>
    </w:r>
    <w:r w:rsidR="00416D41" w:rsidRPr="007D4651">
      <w:rPr>
        <w:rFonts w:ascii="Times New Roman" w:hAnsi="Times New Roman" w:cs="Times New Roman"/>
        <w:color w:val="1F497D" w:themeColor="text2"/>
        <w:lang w:val="es-MX"/>
      </w:rPr>
      <w:t xml:space="preserve"> 2016</w:t>
    </w:r>
  </w:p>
  <w:p w:rsidR="00416D41" w:rsidRDefault="00416D4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55BF63BE" wp14:editId="2A625BC6">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16D41" w:rsidRDefault="00416D4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416D41" w:rsidRPr="00E16925" w:rsidRDefault="00416D4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6489"/>
    <w:rsid w:val="00033B8E"/>
    <w:rsid w:val="00053517"/>
    <w:rsid w:val="000723B2"/>
    <w:rsid w:val="0008348D"/>
    <w:rsid w:val="00087ADE"/>
    <w:rsid w:val="000C1547"/>
    <w:rsid w:val="000D2FA4"/>
    <w:rsid w:val="00102939"/>
    <w:rsid w:val="00111B77"/>
    <w:rsid w:val="001259BA"/>
    <w:rsid w:val="00133DBA"/>
    <w:rsid w:val="00157402"/>
    <w:rsid w:val="00160EAC"/>
    <w:rsid w:val="00185253"/>
    <w:rsid w:val="001C2FF5"/>
    <w:rsid w:val="001D46C3"/>
    <w:rsid w:val="001D5A5B"/>
    <w:rsid w:val="001E0E10"/>
    <w:rsid w:val="001F7141"/>
    <w:rsid w:val="00200FB1"/>
    <w:rsid w:val="002101C9"/>
    <w:rsid w:val="00213C92"/>
    <w:rsid w:val="00240D86"/>
    <w:rsid w:val="00242202"/>
    <w:rsid w:val="00244AAA"/>
    <w:rsid w:val="00264C3A"/>
    <w:rsid w:val="002672D5"/>
    <w:rsid w:val="00281439"/>
    <w:rsid w:val="00281FB7"/>
    <w:rsid w:val="0029321A"/>
    <w:rsid w:val="00296D57"/>
    <w:rsid w:val="002D54E6"/>
    <w:rsid w:val="002E3F4C"/>
    <w:rsid w:val="002F2A42"/>
    <w:rsid w:val="00302D40"/>
    <w:rsid w:val="00343A5D"/>
    <w:rsid w:val="00345216"/>
    <w:rsid w:val="0034700C"/>
    <w:rsid w:val="0035279B"/>
    <w:rsid w:val="003531E5"/>
    <w:rsid w:val="003551C3"/>
    <w:rsid w:val="00364DD6"/>
    <w:rsid w:val="00367E12"/>
    <w:rsid w:val="00376802"/>
    <w:rsid w:val="00381A4F"/>
    <w:rsid w:val="00393E59"/>
    <w:rsid w:val="003968DB"/>
    <w:rsid w:val="003A3726"/>
    <w:rsid w:val="003B13B4"/>
    <w:rsid w:val="003B4D01"/>
    <w:rsid w:val="003C7085"/>
    <w:rsid w:val="003D38A7"/>
    <w:rsid w:val="003D60E4"/>
    <w:rsid w:val="003F46A5"/>
    <w:rsid w:val="0040361C"/>
    <w:rsid w:val="00416D41"/>
    <w:rsid w:val="0042387A"/>
    <w:rsid w:val="00443621"/>
    <w:rsid w:val="00450531"/>
    <w:rsid w:val="004575BA"/>
    <w:rsid w:val="004606FD"/>
    <w:rsid w:val="00464DB9"/>
    <w:rsid w:val="00474EC2"/>
    <w:rsid w:val="00494BC6"/>
    <w:rsid w:val="00494D1D"/>
    <w:rsid w:val="00495F43"/>
    <w:rsid w:val="004A6705"/>
    <w:rsid w:val="004A73AA"/>
    <w:rsid w:val="004B5B0F"/>
    <w:rsid w:val="004C12EA"/>
    <w:rsid w:val="004C208F"/>
    <w:rsid w:val="004D1F76"/>
    <w:rsid w:val="004D7482"/>
    <w:rsid w:val="004E358C"/>
    <w:rsid w:val="004E4FDE"/>
    <w:rsid w:val="004F72F9"/>
    <w:rsid w:val="005004C9"/>
    <w:rsid w:val="005016F6"/>
    <w:rsid w:val="005077A5"/>
    <w:rsid w:val="005364DE"/>
    <w:rsid w:val="005428C6"/>
    <w:rsid w:val="005555F8"/>
    <w:rsid w:val="00573AB0"/>
    <w:rsid w:val="005879A5"/>
    <w:rsid w:val="0059421A"/>
    <w:rsid w:val="005948F0"/>
    <w:rsid w:val="005979EB"/>
    <w:rsid w:val="005A03A9"/>
    <w:rsid w:val="005A1EFC"/>
    <w:rsid w:val="005A6ACE"/>
    <w:rsid w:val="005B1B53"/>
    <w:rsid w:val="005B6D05"/>
    <w:rsid w:val="005D2336"/>
    <w:rsid w:val="0060094A"/>
    <w:rsid w:val="00606D70"/>
    <w:rsid w:val="00610F84"/>
    <w:rsid w:val="00623EC9"/>
    <w:rsid w:val="00651522"/>
    <w:rsid w:val="006525C5"/>
    <w:rsid w:val="006553D6"/>
    <w:rsid w:val="00660888"/>
    <w:rsid w:val="0066791B"/>
    <w:rsid w:val="00670F33"/>
    <w:rsid w:val="00674B7B"/>
    <w:rsid w:val="006A1473"/>
    <w:rsid w:val="006B0D82"/>
    <w:rsid w:val="006D1857"/>
    <w:rsid w:val="006D7BB6"/>
    <w:rsid w:val="006E27A5"/>
    <w:rsid w:val="006F157C"/>
    <w:rsid w:val="006F20A4"/>
    <w:rsid w:val="00715D8F"/>
    <w:rsid w:val="00741591"/>
    <w:rsid w:val="00741F6B"/>
    <w:rsid w:val="007452E2"/>
    <w:rsid w:val="00747C79"/>
    <w:rsid w:val="00754057"/>
    <w:rsid w:val="0076667B"/>
    <w:rsid w:val="00784AF8"/>
    <w:rsid w:val="007A6523"/>
    <w:rsid w:val="007A7814"/>
    <w:rsid w:val="007B3D0C"/>
    <w:rsid w:val="007C0C8C"/>
    <w:rsid w:val="007C4E46"/>
    <w:rsid w:val="007D0566"/>
    <w:rsid w:val="007D38A9"/>
    <w:rsid w:val="007D4651"/>
    <w:rsid w:val="007D7CFE"/>
    <w:rsid w:val="007E314A"/>
    <w:rsid w:val="007F6F57"/>
    <w:rsid w:val="00804E1C"/>
    <w:rsid w:val="00810A4C"/>
    <w:rsid w:val="00851B4B"/>
    <w:rsid w:val="00861640"/>
    <w:rsid w:val="00891B11"/>
    <w:rsid w:val="00892181"/>
    <w:rsid w:val="00892DE1"/>
    <w:rsid w:val="008E5C4F"/>
    <w:rsid w:val="008E7869"/>
    <w:rsid w:val="008F2B4D"/>
    <w:rsid w:val="008F312E"/>
    <w:rsid w:val="00910163"/>
    <w:rsid w:val="00910F99"/>
    <w:rsid w:val="00942163"/>
    <w:rsid w:val="00950874"/>
    <w:rsid w:val="00951729"/>
    <w:rsid w:val="00965F44"/>
    <w:rsid w:val="00993857"/>
    <w:rsid w:val="00997A06"/>
    <w:rsid w:val="009A12F9"/>
    <w:rsid w:val="009A3187"/>
    <w:rsid w:val="009A47FE"/>
    <w:rsid w:val="009A5380"/>
    <w:rsid w:val="009B7148"/>
    <w:rsid w:val="009C4027"/>
    <w:rsid w:val="009D0D94"/>
    <w:rsid w:val="009D25F9"/>
    <w:rsid w:val="009D2C22"/>
    <w:rsid w:val="009F164F"/>
    <w:rsid w:val="009F628A"/>
    <w:rsid w:val="00A25906"/>
    <w:rsid w:val="00A26C76"/>
    <w:rsid w:val="00A64AE4"/>
    <w:rsid w:val="00A7383F"/>
    <w:rsid w:val="00A92D6E"/>
    <w:rsid w:val="00A970F8"/>
    <w:rsid w:val="00AA11B9"/>
    <w:rsid w:val="00AA7DB0"/>
    <w:rsid w:val="00AE2039"/>
    <w:rsid w:val="00AF7ACE"/>
    <w:rsid w:val="00B136D6"/>
    <w:rsid w:val="00B21010"/>
    <w:rsid w:val="00B2709E"/>
    <w:rsid w:val="00B5079C"/>
    <w:rsid w:val="00B57AAB"/>
    <w:rsid w:val="00B667BC"/>
    <w:rsid w:val="00B86812"/>
    <w:rsid w:val="00BC4F9E"/>
    <w:rsid w:val="00BC7539"/>
    <w:rsid w:val="00BC79C1"/>
    <w:rsid w:val="00BD3A7C"/>
    <w:rsid w:val="00C074EF"/>
    <w:rsid w:val="00C33674"/>
    <w:rsid w:val="00C41470"/>
    <w:rsid w:val="00C646C4"/>
    <w:rsid w:val="00C85696"/>
    <w:rsid w:val="00C935C2"/>
    <w:rsid w:val="00CA57D4"/>
    <w:rsid w:val="00CA6173"/>
    <w:rsid w:val="00CA65FF"/>
    <w:rsid w:val="00CB0938"/>
    <w:rsid w:val="00CC3420"/>
    <w:rsid w:val="00CC60FF"/>
    <w:rsid w:val="00CD7760"/>
    <w:rsid w:val="00CF0F94"/>
    <w:rsid w:val="00CF2D98"/>
    <w:rsid w:val="00CF73B4"/>
    <w:rsid w:val="00D01738"/>
    <w:rsid w:val="00D24DA4"/>
    <w:rsid w:val="00D26F28"/>
    <w:rsid w:val="00D30D15"/>
    <w:rsid w:val="00D32839"/>
    <w:rsid w:val="00D40769"/>
    <w:rsid w:val="00D43052"/>
    <w:rsid w:val="00D45C8A"/>
    <w:rsid w:val="00D50ABF"/>
    <w:rsid w:val="00D532B4"/>
    <w:rsid w:val="00D616E2"/>
    <w:rsid w:val="00D63CFC"/>
    <w:rsid w:val="00D66D34"/>
    <w:rsid w:val="00D73D1A"/>
    <w:rsid w:val="00D75C74"/>
    <w:rsid w:val="00D82D59"/>
    <w:rsid w:val="00D858E5"/>
    <w:rsid w:val="00DA53C7"/>
    <w:rsid w:val="00DA5809"/>
    <w:rsid w:val="00DA7B48"/>
    <w:rsid w:val="00DC44CF"/>
    <w:rsid w:val="00DD01C5"/>
    <w:rsid w:val="00DD23C0"/>
    <w:rsid w:val="00DD4AB3"/>
    <w:rsid w:val="00DD4D5D"/>
    <w:rsid w:val="00DF71A8"/>
    <w:rsid w:val="00E02A24"/>
    <w:rsid w:val="00E16925"/>
    <w:rsid w:val="00E3382E"/>
    <w:rsid w:val="00E3492D"/>
    <w:rsid w:val="00E43BF3"/>
    <w:rsid w:val="00E47525"/>
    <w:rsid w:val="00E47F91"/>
    <w:rsid w:val="00E63798"/>
    <w:rsid w:val="00E85293"/>
    <w:rsid w:val="00EA37FC"/>
    <w:rsid w:val="00EB0687"/>
    <w:rsid w:val="00EB0FC5"/>
    <w:rsid w:val="00EB317F"/>
    <w:rsid w:val="00ED2C29"/>
    <w:rsid w:val="00ED6C3A"/>
    <w:rsid w:val="00EE72DB"/>
    <w:rsid w:val="00EF56F9"/>
    <w:rsid w:val="00F10A29"/>
    <w:rsid w:val="00F20D0D"/>
    <w:rsid w:val="00F229CE"/>
    <w:rsid w:val="00F644EA"/>
    <w:rsid w:val="00F75C84"/>
    <w:rsid w:val="00F76491"/>
    <w:rsid w:val="00FA3B81"/>
    <w:rsid w:val="00FA5DE4"/>
    <w:rsid w:val="00FB2C2F"/>
    <w:rsid w:val="00FD61B9"/>
    <w:rsid w:val="00FE56B8"/>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deleon.DC-DI01\Desktop\Libro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deleon.DC-DI01\Desktop\escritorio%2020%20marzo%202014\graficos%20de%20&#237;ndices%20burs&#225;tiles%20para%20informe%20sema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97450318710162"/>
          <c:y val="2.3055774278215223E-2"/>
          <c:w val="0.69587512087304881"/>
          <c:h val="0.91104385687404343"/>
        </c:manualLayout>
      </c:layout>
      <c:barChart>
        <c:barDir val="bar"/>
        <c:grouping val="clustered"/>
        <c:varyColors val="0"/>
        <c:ser>
          <c:idx val="0"/>
          <c:order val="0"/>
          <c:tx>
            <c:strRef>
              <c:f>Hoja1!$B$1</c:f>
              <c:strCache>
                <c:ptCount val="1"/>
                <c:pt idx="0">
                  <c:v>2017-2016</c:v>
                </c:pt>
              </c:strCache>
            </c:strRef>
          </c:tx>
          <c:invertIfNegative val="0"/>
          <c:dLbls>
            <c:txPr>
              <a:bodyPr/>
              <a:lstStyle/>
              <a:p>
                <a:pPr>
                  <a:defRPr sz="500" b="1">
                    <a:solidFill>
                      <a:srgbClr val="0070C0"/>
                    </a:solidFill>
                  </a:defRPr>
                </a:pPr>
                <a:endParaRPr lang="es-GT"/>
              </a:p>
            </c:txPr>
            <c:showLegendKey val="0"/>
            <c:showVal val="1"/>
            <c:showCatName val="0"/>
            <c:showSerName val="0"/>
            <c:showPercent val="0"/>
            <c:showBubbleSize val="0"/>
            <c:showLeaderLines val="0"/>
          </c:dLbls>
          <c:cat>
            <c:strRef>
              <c:f>Hoja1!$A$2:$A$19</c:f>
              <c:strCache>
                <c:ptCount val="16"/>
                <c:pt idx="0">
                  <c:v>IVA imp</c:v>
                </c:pt>
                <c:pt idx="1">
                  <c:v>IVA dom</c:v>
                </c:pt>
                <c:pt idx="2">
                  <c:v>ISO</c:v>
                </c:pt>
                <c:pt idx="3">
                  <c:v>DAI</c:v>
                </c:pt>
                <c:pt idx="4">
                  <c:v>Petróleo</c:v>
                </c:pt>
                <c:pt idx="5">
                  <c:v>IPRIMA</c:v>
                </c:pt>
                <c:pt idx="6">
                  <c:v>Vehículos</c:v>
                </c:pt>
                <c:pt idx="7">
                  <c:v>Timbres</c:v>
                </c:pt>
                <c:pt idx="8">
                  <c:v>Bebidas</c:v>
                </c:pt>
                <c:pt idx="9">
                  <c:v>Tabacos</c:v>
                </c:pt>
                <c:pt idx="10">
                  <c:v>Regalías</c:v>
                </c:pt>
                <c:pt idx="11">
                  <c:v>Salidas</c:v>
                </c:pt>
                <c:pt idx="12">
                  <c:v>Otros</c:v>
                </c:pt>
                <c:pt idx="13">
                  <c:v>Propiedad</c:v>
                </c:pt>
                <c:pt idx="14">
                  <c:v>Cemento</c:v>
                </c:pt>
                <c:pt idx="15">
                  <c:v>ISR</c:v>
                </c:pt>
              </c:strCache>
            </c:strRef>
          </c:cat>
          <c:val>
            <c:numRef>
              <c:f>Hoja1!$B$2:$B$19</c:f>
              <c:numCache>
                <c:formatCode>#,##0.0</c:formatCode>
                <c:ptCount val="16"/>
                <c:pt idx="0">
                  <c:v>150.16426654999987</c:v>
                </c:pt>
                <c:pt idx="1">
                  <c:v>154.54469315999995</c:v>
                </c:pt>
                <c:pt idx="2">
                  <c:v>24.957652040000312</c:v>
                </c:pt>
                <c:pt idx="3">
                  <c:v>8.721207960000072</c:v>
                </c:pt>
                <c:pt idx="4">
                  <c:v>-36.841255400000023</c:v>
                </c:pt>
                <c:pt idx="5">
                  <c:v>-7.7150315899999953</c:v>
                </c:pt>
                <c:pt idx="6">
                  <c:v>-1.3328203899999949</c:v>
                </c:pt>
                <c:pt idx="7">
                  <c:v>5.4609209300000003</c:v>
                </c:pt>
                <c:pt idx="8">
                  <c:v>5.3033481699999783</c:v>
                </c:pt>
                <c:pt idx="9">
                  <c:v>-0.22851371000000853</c:v>
                </c:pt>
                <c:pt idx="10">
                  <c:v>-5.9708619299999981</c:v>
                </c:pt>
                <c:pt idx="11">
                  <c:v>9.954917089999995</c:v>
                </c:pt>
                <c:pt idx="12">
                  <c:v>0.14592708000000021</c:v>
                </c:pt>
                <c:pt idx="13">
                  <c:v>0.4273766999999995</c:v>
                </c:pt>
                <c:pt idx="14">
                  <c:v>2.1317713800000035</c:v>
                </c:pt>
                <c:pt idx="15">
                  <c:v>294.22632436000026</c:v>
                </c:pt>
              </c:numCache>
            </c:numRef>
          </c:val>
        </c:ser>
        <c:ser>
          <c:idx val="1"/>
          <c:order val="1"/>
          <c:tx>
            <c:strRef>
              <c:f>Hoja1!$C$1</c:f>
              <c:strCache>
                <c:ptCount val="1"/>
                <c:pt idx="0">
                  <c:v>2017-Pres</c:v>
                </c:pt>
              </c:strCache>
            </c:strRef>
          </c:tx>
          <c:invertIfNegative val="0"/>
          <c:dLbls>
            <c:txPr>
              <a:bodyPr/>
              <a:lstStyle/>
              <a:p>
                <a:pPr>
                  <a:defRPr sz="500" b="1">
                    <a:solidFill>
                      <a:srgbClr val="FF0000"/>
                    </a:solidFill>
                  </a:defRPr>
                </a:pPr>
                <a:endParaRPr lang="es-GT"/>
              </a:p>
            </c:txPr>
            <c:showLegendKey val="0"/>
            <c:showVal val="1"/>
            <c:showCatName val="0"/>
            <c:showSerName val="0"/>
            <c:showPercent val="0"/>
            <c:showBubbleSize val="0"/>
            <c:showLeaderLines val="0"/>
          </c:dLbls>
          <c:cat>
            <c:strRef>
              <c:f>Hoja1!$A$2:$A$19</c:f>
              <c:strCache>
                <c:ptCount val="16"/>
                <c:pt idx="0">
                  <c:v>IVA imp</c:v>
                </c:pt>
                <c:pt idx="1">
                  <c:v>IVA dom</c:v>
                </c:pt>
                <c:pt idx="2">
                  <c:v>ISO</c:v>
                </c:pt>
                <c:pt idx="3">
                  <c:v>DAI</c:v>
                </c:pt>
                <c:pt idx="4">
                  <c:v>Petróleo</c:v>
                </c:pt>
                <c:pt idx="5">
                  <c:v>IPRIMA</c:v>
                </c:pt>
                <c:pt idx="6">
                  <c:v>Vehículos</c:v>
                </c:pt>
                <c:pt idx="7">
                  <c:v>Timbres</c:v>
                </c:pt>
                <c:pt idx="8">
                  <c:v>Bebidas</c:v>
                </c:pt>
                <c:pt idx="9">
                  <c:v>Tabacos</c:v>
                </c:pt>
                <c:pt idx="10">
                  <c:v>Regalías</c:v>
                </c:pt>
                <c:pt idx="11">
                  <c:v>Salidas</c:v>
                </c:pt>
                <c:pt idx="12">
                  <c:v>Otros</c:v>
                </c:pt>
                <c:pt idx="13">
                  <c:v>Propiedad</c:v>
                </c:pt>
                <c:pt idx="14">
                  <c:v>Cemento</c:v>
                </c:pt>
                <c:pt idx="15">
                  <c:v>ISR</c:v>
                </c:pt>
              </c:strCache>
            </c:strRef>
          </c:cat>
          <c:val>
            <c:numRef>
              <c:f>Hoja1!$C$2:$C$19</c:f>
              <c:numCache>
                <c:formatCode>#,##0.0</c:formatCode>
                <c:ptCount val="16"/>
                <c:pt idx="0">
                  <c:v>-159.16408666999996</c:v>
                </c:pt>
                <c:pt idx="1">
                  <c:v>-150.2765820300001</c:v>
                </c:pt>
                <c:pt idx="2">
                  <c:v>-149.03449857999976</c:v>
                </c:pt>
                <c:pt idx="3">
                  <c:v>-49.588393339999982</c:v>
                </c:pt>
                <c:pt idx="4">
                  <c:v>-38.531960459999937</c:v>
                </c:pt>
                <c:pt idx="5">
                  <c:v>-17.464262130000009</c:v>
                </c:pt>
                <c:pt idx="6">
                  <c:v>-17.114923860000005</c:v>
                </c:pt>
                <c:pt idx="7">
                  <c:v>-14.275602759999998</c:v>
                </c:pt>
                <c:pt idx="8">
                  <c:v>-6.852671990000033</c:v>
                </c:pt>
                <c:pt idx="9">
                  <c:v>-5.0754789400000035</c:v>
                </c:pt>
                <c:pt idx="10">
                  <c:v>-3.6506905779173309</c:v>
                </c:pt>
                <c:pt idx="11">
                  <c:v>-2.3932723123446777</c:v>
                </c:pt>
                <c:pt idx="12">
                  <c:v>0.17484039000000018</c:v>
                </c:pt>
                <c:pt idx="13">
                  <c:v>0.21641487999999987</c:v>
                </c:pt>
                <c:pt idx="14">
                  <c:v>2.6240418500000011</c:v>
                </c:pt>
                <c:pt idx="15">
                  <c:v>65.886794470000041</c:v>
                </c:pt>
              </c:numCache>
            </c:numRef>
          </c:val>
        </c:ser>
        <c:dLbls>
          <c:showLegendKey val="0"/>
          <c:showVal val="0"/>
          <c:showCatName val="0"/>
          <c:showSerName val="0"/>
          <c:showPercent val="0"/>
          <c:showBubbleSize val="0"/>
        </c:dLbls>
        <c:gapWidth val="23"/>
        <c:axId val="24099456"/>
        <c:axId val="24101248"/>
      </c:barChart>
      <c:catAx>
        <c:axId val="24099456"/>
        <c:scaling>
          <c:orientation val="minMax"/>
        </c:scaling>
        <c:delete val="0"/>
        <c:axPos val="l"/>
        <c:majorGridlines>
          <c:spPr>
            <a:ln>
              <a:solidFill>
                <a:schemeClr val="tx2">
                  <a:alpha val="20000"/>
                </a:schemeClr>
              </a:solidFill>
            </a:ln>
          </c:spPr>
        </c:majorGridlines>
        <c:majorTickMark val="out"/>
        <c:minorTickMark val="none"/>
        <c:tickLblPos val="low"/>
        <c:txPr>
          <a:bodyPr/>
          <a:lstStyle/>
          <a:p>
            <a:pPr>
              <a:defRPr sz="700"/>
            </a:pPr>
            <a:endParaRPr lang="es-GT"/>
          </a:p>
        </c:txPr>
        <c:crossAx val="24101248"/>
        <c:crosses val="autoZero"/>
        <c:auto val="1"/>
        <c:lblAlgn val="ctr"/>
        <c:lblOffset val="100"/>
        <c:noMultiLvlLbl val="0"/>
      </c:catAx>
      <c:valAx>
        <c:axId val="24101248"/>
        <c:scaling>
          <c:orientation val="minMax"/>
          <c:min val="-300"/>
        </c:scaling>
        <c:delete val="0"/>
        <c:axPos val="b"/>
        <c:majorGridlines>
          <c:spPr>
            <a:ln>
              <a:prstDash val="sysDot"/>
            </a:ln>
          </c:spPr>
        </c:majorGridlines>
        <c:numFmt formatCode="#,##0" sourceLinked="0"/>
        <c:majorTickMark val="out"/>
        <c:minorTickMark val="none"/>
        <c:tickLblPos val="nextTo"/>
        <c:crossAx val="24099456"/>
        <c:crosses val="autoZero"/>
        <c:crossBetween val="between"/>
      </c:valAx>
    </c:plotArea>
    <c:legend>
      <c:legendPos val="b"/>
      <c:layout>
        <c:manualLayout>
          <c:xMode val="edge"/>
          <c:yMode val="edge"/>
          <c:x val="0.7226475637913683"/>
          <c:y val="0.61745787257713369"/>
          <c:w val="0.27227194804989607"/>
          <c:h val="0.13357720699310535"/>
        </c:manualLayout>
      </c:layout>
      <c:overlay val="0"/>
      <c:spPr>
        <a:solidFill>
          <a:schemeClr val="bg1"/>
        </a:solidFill>
      </c:spPr>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97005789438778"/>
          <c:y val="3.251725678524138E-2"/>
          <c:w val="0.82432136918275767"/>
          <c:h val="0.7896871382259395"/>
        </c:manualLayout>
      </c:layout>
      <c:barChart>
        <c:barDir val="col"/>
        <c:grouping val="clustered"/>
        <c:varyColors val="0"/>
        <c:ser>
          <c:idx val="0"/>
          <c:order val="0"/>
          <c:tx>
            <c:strRef>
              <c:f>Hoja1!$B$1</c:f>
              <c:strCache>
                <c:ptCount val="1"/>
                <c:pt idx="0">
                  <c:v>Meta</c:v>
                </c:pt>
              </c:strCache>
            </c:strRef>
          </c:tx>
          <c:spPr>
            <a:solidFill>
              <a:srgbClr val="0070C0"/>
            </a:solidFill>
            <a:ln>
              <a:prstDash val="sysDash"/>
            </a:ln>
            <a:scene3d>
              <a:camera prst="orthographicFront"/>
              <a:lightRig rig="threePt" dir="t"/>
            </a:scene3d>
            <a:sp3d>
              <a:bevelT w="152400" h="50800" prst="softRound"/>
            </a:sp3d>
          </c:spPr>
          <c:invertIfNegative val="0"/>
          <c:dLbls>
            <c:txPr>
              <a:bodyPr rot="-5400000" vert="horz"/>
              <a:lstStyle/>
              <a:p>
                <a:pPr>
                  <a:defRPr b="1">
                    <a:solidFill>
                      <a:schemeClr val="bg1"/>
                    </a:solidFill>
                  </a:defRPr>
                </a:pPr>
                <a:endParaRPr lang="es-GT"/>
              </a:p>
            </c:txPr>
            <c:dLblPos val="inBase"/>
            <c:showLegendKey val="0"/>
            <c:showVal val="1"/>
            <c:showCatName val="0"/>
            <c:showSerName val="0"/>
            <c:showPercent val="0"/>
            <c:showBubbleSize val="0"/>
            <c:showLeaderLines val="0"/>
          </c:dLbls>
          <c:cat>
            <c:strRef>
              <c:f>Hoja1!$A$2:$A$3</c:f>
              <c:strCache>
                <c:ptCount val="2"/>
                <c:pt idx="0">
                  <c:v>Enero</c:v>
                </c:pt>
                <c:pt idx="1">
                  <c:v>Febrero</c:v>
                </c:pt>
              </c:strCache>
            </c:strRef>
          </c:cat>
          <c:val>
            <c:numRef>
              <c:f>Hoja1!$B$2:$B$3</c:f>
              <c:numCache>
                <c:formatCode>_(* #,##0.00_);_(* \(#,##0.00\);_(* "-"??_);_(@_)</c:formatCode>
                <c:ptCount val="2"/>
                <c:pt idx="0">
                  <c:v>1275.1803761900001</c:v>
                </c:pt>
                <c:pt idx="1">
                  <c:v>869.53083039000001</c:v>
                </c:pt>
              </c:numCache>
            </c:numRef>
          </c:val>
        </c:ser>
        <c:ser>
          <c:idx val="1"/>
          <c:order val="1"/>
          <c:tx>
            <c:strRef>
              <c:f>Hoja1!$C$1</c:f>
              <c:strCache>
                <c:ptCount val="1"/>
                <c:pt idx="0">
                  <c:v>Obs</c:v>
                </c:pt>
              </c:strCache>
            </c:strRef>
          </c:tx>
          <c:spPr>
            <a:solidFill>
              <a:srgbClr val="C00000"/>
            </a:solidFill>
            <a:ln w="22225">
              <a:solidFill>
                <a:srgbClr val="FF0000"/>
              </a:solidFill>
            </a:ln>
          </c:spPr>
          <c:invertIfNegative val="0"/>
          <c:dLbls>
            <c:txPr>
              <a:bodyPr rot="-5400000" vert="horz"/>
              <a:lstStyle/>
              <a:p>
                <a:pPr>
                  <a:defRPr b="1">
                    <a:solidFill>
                      <a:schemeClr val="bg1"/>
                    </a:solidFill>
                  </a:defRPr>
                </a:pPr>
                <a:endParaRPr lang="es-GT"/>
              </a:p>
            </c:txPr>
            <c:dLblPos val="inBase"/>
            <c:showLegendKey val="0"/>
            <c:showVal val="1"/>
            <c:showCatName val="0"/>
            <c:showSerName val="0"/>
            <c:showPercent val="0"/>
            <c:showBubbleSize val="0"/>
            <c:showLeaderLines val="0"/>
          </c:dLbls>
          <c:cat>
            <c:strRef>
              <c:f>Hoja1!$A$2:$A$3</c:f>
              <c:strCache>
                <c:ptCount val="2"/>
                <c:pt idx="0">
                  <c:v>Enero</c:v>
                </c:pt>
                <c:pt idx="1">
                  <c:v>Febrero</c:v>
                </c:pt>
              </c:strCache>
            </c:strRef>
          </c:cat>
          <c:val>
            <c:numRef>
              <c:f>Hoja1!$C$2:$C$3</c:f>
              <c:numCache>
                <c:formatCode>_(* #,##0.00_);_(* \(#,##0.00\);_(* "-"??_);_(@_)</c:formatCode>
                <c:ptCount val="2"/>
                <c:pt idx="0">
                  <c:v>1307.04008548</c:v>
                </c:pt>
                <c:pt idx="1">
                  <c:v>903.55791557000009</c:v>
                </c:pt>
              </c:numCache>
            </c:numRef>
          </c:val>
        </c:ser>
        <c:dLbls>
          <c:showLegendKey val="0"/>
          <c:showVal val="0"/>
          <c:showCatName val="0"/>
          <c:showSerName val="0"/>
          <c:showPercent val="0"/>
          <c:showBubbleSize val="0"/>
        </c:dLbls>
        <c:gapWidth val="150"/>
        <c:axId val="53908992"/>
        <c:axId val="53910528"/>
      </c:barChart>
      <c:catAx>
        <c:axId val="53908992"/>
        <c:scaling>
          <c:orientation val="minMax"/>
        </c:scaling>
        <c:delete val="0"/>
        <c:axPos val="b"/>
        <c:majorGridlines/>
        <c:numFmt formatCode="General" sourceLinked="1"/>
        <c:majorTickMark val="out"/>
        <c:minorTickMark val="none"/>
        <c:tickLblPos val="nextTo"/>
        <c:txPr>
          <a:bodyPr/>
          <a:lstStyle/>
          <a:p>
            <a:pPr>
              <a:defRPr sz="800" b="1"/>
            </a:pPr>
            <a:endParaRPr lang="es-GT"/>
          </a:p>
        </c:txPr>
        <c:crossAx val="53910528"/>
        <c:crosses val="autoZero"/>
        <c:auto val="1"/>
        <c:lblAlgn val="ctr"/>
        <c:lblOffset val="100"/>
        <c:noMultiLvlLbl val="0"/>
      </c:catAx>
      <c:valAx>
        <c:axId val="53910528"/>
        <c:scaling>
          <c:orientation val="minMax"/>
        </c:scaling>
        <c:delete val="0"/>
        <c:axPos val="l"/>
        <c:majorGridlines>
          <c:spPr>
            <a:ln>
              <a:solidFill>
                <a:srgbClr val="92D050"/>
              </a:solidFill>
              <a:prstDash val="sysDot"/>
            </a:ln>
          </c:spPr>
        </c:majorGridlines>
        <c:numFmt formatCode="_(* #,##0_);_(* \(#,##0\);_(* &quot;-&quot;_);_(@_)" sourceLinked="0"/>
        <c:majorTickMark val="cross"/>
        <c:minorTickMark val="none"/>
        <c:tickLblPos val="nextTo"/>
        <c:txPr>
          <a:bodyPr/>
          <a:lstStyle/>
          <a:p>
            <a:pPr>
              <a:defRPr sz="800" b="1"/>
            </a:pPr>
            <a:endParaRPr lang="es-GT"/>
          </a:p>
        </c:txPr>
        <c:crossAx val="53908992"/>
        <c:crosses val="autoZero"/>
        <c:crossBetween val="between"/>
      </c:valAx>
      <c:spPr>
        <a:noFill/>
        <a:ln w="25400">
          <a:noFill/>
        </a:ln>
      </c:spPr>
    </c:plotArea>
    <c:legend>
      <c:legendPos val="b"/>
      <c:layout>
        <c:manualLayout>
          <c:xMode val="edge"/>
          <c:yMode val="edge"/>
          <c:x val="0.37243433449465208"/>
          <c:y val="0.88871911385526148"/>
          <c:w val="0.30860456522357088"/>
          <c:h val="0.10576902887139107"/>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8920204162672"/>
          <c:y val="3.1752008841352146E-2"/>
          <c:w val="0.84431964087557876"/>
          <c:h val="0.77500395476395711"/>
        </c:manualLayout>
      </c:layout>
      <c:barChart>
        <c:barDir val="col"/>
        <c:grouping val="clustered"/>
        <c:varyColors val="0"/>
        <c:ser>
          <c:idx val="0"/>
          <c:order val="0"/>
          <c:spPr>
            <a:solidFill>
              <a:schemeClr val="tx2"/>
            </a:solidFill>
          </c:spPr>
          <c:invertIfNegative val="0"/>
          <c:dPt>
            <c:idx val="3"/>
            <c:invertIfNegative val="0"/>
            <c:bubble3D val="0"/>
            <c:spPr>
              <a:solidFill>
                <a:srgbClr val="C00000"/>
              </a:solidFill>
            </c:spPr>
          </c:dPt>
          <c:dPt>
            <c:idx val="4"/>
            <c:invertIfNegative val="0"/>
            <c:bubble3D val="0"/>
          </c:dPt>
          <c:dPt>
            <c:idx val="6"/>
            <c:invertIfNegative val="0"/>
            <c:bubble3D val="0"/>
          </c:dPt>
          <c:dPt>
            <c:idx val="24"/>
            <c:invertIfNegative val="0"/>
            <c:bubble3D val="0"/>
          </c:dPt>
          <c:dLbls>
            <c:dLbl>
              <c:idx val="1"/>
              <c:delete val="1"/>
            </c:dLbl>
            <c:dLbl>
              <c:idx val="2"/>
              <c:delete val="1"/>
            </c:dLbl>
            <c:dLbl>
              <c:idx val="3"/>
              <c:layout>
                <c:manualLayout>
                  <c:x val="8.3333333333333332E-3"/>
                  <c:y val="4.6296296296296294E-3"/>
                </c:manualLayout>
              </c:layout>
              <c:showLegendKey val="0"/>
              <c:showVal val="1"/>
              <c:showCatName val="0"/>
              <c:showSerName val="0"/>
              <c:showPercent val="0"/>
              <c:showBubbleSize val="0"/>
            </c:dLbl>
            <c:dLbl>
              <c:idx val="4"/>
              <c:delete val="1"/>
            </c:dLbl>
            <c:dLbl>
              <c:idx val="5"/>
              <c:delete val="1"/>
            </c:dLbl>
            <c:dLbl>
              <c:idx val="6"/>
              <c:layout>
                <c:manualLayout>
                  <c:x val="4.7222222222222221E-2"/>
                  <c:y val="4.1667031204432776E-2"/>
                </c:manualLayout>
              </c:layout>
              <c:showLegendKey val="0"/>
              <c:showVal val="1"/>
              <c:showCatName val="0"/>
              <c:showSerName val="0"/>
              <c:showPercent val="0"/>
              <c:showBubbleSize val="0"/>
            </c:dLbl>
            <c:dLbl>
              <c:idx val="7"/>
              <c:delete val="1"/>
            </c:dLbl>
            <c:dLbl>
              <c:idx val="8"/>
              <c:delete val="1"/>
            </c:dLbl>
            <c:dLbl>
              <c:idx val="9"/>
              <c:layout>
                <c:manualLayout>
                  <c:x val="-5.5555555555555558E-3"/>
                  <c:y val="0"/>
                </c:manualLayout>
              </c:layout>
              <c:showLegendKey val="0"/>
              <c:showVal val="1"/>
              <c:showCatName val="0"/>
              <c:showSerName val="0"/>
              <c:showPercent val="0"/>
              <c:showBubbleSize val="0"/>
            </c:dLbl>
            <c:dLbl>
              <c:idx val="10"/>
              <c:delete val="1"/>
            </c:dLbl>
            <c:dLbl>
              <c:idx val="11"/>
              <c:delete val="1"/>
            </c:dLbl>
            <c:dLbl>
              <c:idx val="12"/>
              <c:layout>
                <c:manualLayout>
                  <c:x val="1.3888888888888888E-2"/>
                  <c:y val="0"/>
                </c:manualLayout>
              </c:layout>
              <c:showLegendKey val="0"/>
              <c:showVal val="1"/>
              <c:showCatName val="0"/>
              <c:showSerName val="0"/>
              <c:showPercent val="0"/>
              <c:showBubbleSize val="0"/>
            </c:dLbl>
            <c:dLbl>
              <c:idx val="13"/>
              <c:delete val="1"/>
            </c:dLbl>
            <c:dLbl>
              <c:idx val="14"/>
              <c:delete val="1"/>
            </c:dLbl>
            <c:dLbl>
              <c:idx val="15"/>
              <c:layout>
                <c:manualLayout>
                  <c:x val="0"/>
                  <c:y val="-2.7777777777777776E-2"/>
                </c:manualLayout>
              </c:layout>
              <c:showLegendKey val="0"/>
              <c:showVal val="1"/>
              <c:showCatName val="0"/>
              <c:showSerName val="0"/>
              <c:showPercent val="0"/>
              <c:showBubbleSize val="0"/>
            </c:dLbl>
            <c:dLbl>
              <c:idx val="16"/>
              <c:delete val="1"/>
            </c:dLbl>
            <c:dLbl>
              <c:idx val="17"/>
              <c:delete val="1"/>
            </c:dLbl>
            <c:dLbl>
              <c:idx val="18"/>
              <c:layout>
                <c:manualLayout>
                  <c:x val="-2.7777777777777779E-3"/>
                  <c:y val="4.6296296296296294E-3"/>
                </c:manualLayout>
              </c:layout>
              <c:showLegendKey val="0"/>
              <c:showVal val="1"/>
              <c:showCatName val="0"/>
              <c:showSerName val="0"/>
              <c:showPercent val="0"/>
              <c:showBubbleSize val="0"/>
            </c:dLbl>
            <c:dLbl>
              <c:idx val="19"/>
              <c:delete val="1"/>
            </c:dLbl>
            <c:dLbl>
              <c:idx val="20"/>
              <c:delete val="1"/>
            </c:dLbl>
            <c:dLbl>
              <c:idx val="22"/>
              <c:delete val="1"/>
            </c:dLbl>
            <c:dLbl>
              <c:idx val="23"/>
              <c:delete val="1"/>
            </c:dLbl>
            <c:dLbl>
              <c:idx val="24"/>
              <c:spPr/>
              <c:txPr>
                <a:bodyPr/>
                <a:lstStyle/>
                <a:p>
                  <a:pPr>
                    <a:defRPr sz="600" b="1">
                      <a:latin typeface="Times New Roman" panose="02020603050405020304" pitchFamily="18" charset="0"/>
                      <a:cs typeface="Times New Roman" panose="02020603050405020304" pitchFamily="18" charset="0"/>
                    </a:defRPr>
                  </a:pPr>
                  <a:endParaRPr lang="es-GT"/>
                </a:p>
              </c:txPr>
              <c:showLegendKey val="0"/>
              <c:showVal val="1"/>
              <c:showCatName val="0"/>
              <c:showSerName val="0"/>
              <c:showPercent val="0"/>
              <c:showBubbleSize val="0"/>
            </c:dLbl>
            <c:txPr>
              <a:bodyPr/>
              <a:lstStyle/>
              <a:p>
                <a:pPr>
                  <a:defRPr sz="600">
                    <a:latin typeface="Times New Roman" panose="02020603050405020304" pitchFamily="18" charset="0"/>
                    <a:cs typeface="Times New Roman" panose="02020603050405020304" pitchFamily="18" charset="0"/>
                  </a:defRPr>
                </a:pPr>
                <a:endParaRPr lang="es-GT"/>
              </a:p>
            </c:txPr>
            <c:showLegendKey val="0"/>
            <c:showVal val="1"/>
            <c:showCatName val="0"/>
            <c:showSerName val="0"/>
            <c:showPercent val="0"/>
            <c:showBubbleSize val="0"/>
            <c:showLeaderLines val="0"/>
          </c:dLbls>
          <c:cat>
            <c:numRef>
              <c:f>Hoja1!$E$10:$E$34</c:f>
              <c:numCache>
                <c:formatCode>mmm\-yy</c:formatCode>
                <c:ptCount val="25"/>
                <c:pt idx="0">
                  <c:v>42036</c:v>
                </c:pt>
                <c:pt idx="1">
                  <c:v>42064</c:v>
                </c:pt>
                <c:pt idx="2">
                  <c:v>42095</c:v>
                </c:pt>
                <c:pt idx="3">
                  <c:v>42125</c:v>
                </c:pt>
                <c:pt idx="4">
                  <c:v>42156</c:v>
                </c:pt>
                <c:pt idx="5">
                  <c:v>42186</c:v>
                </c:pt>
                <c:pt idx="6">
                  <c:v>42217</c:v>
                </c:pt>
                <c:pt idx="7">
                  <c:v>42248</c:v>
                </c:pt>
                <c:pt idx="8">
                  <c:v>42278</c:v>
                </c:pt>
                <c:pt idx="9">
                  <c:v>42309</c:v>
                </c:pt>
                <c:pt idx="10">
                  <c:v>42339</c:v>
                </c:pt>
                <c:pt idx="11">
                  <c:v>42370</c:v>
                </c:pt>
                <c:pt idx="12">
                  <c:v>42401</c:v>
                </c:pt>
                <c:pt idx="13">
                  <c:v>42430</c:v>
                </c:pt>
                <c:pt idx="14">
                  <c:v>42461</c:v>
                </c:pt>
                <c:pt idx="15">
                  <c:v>42491</c:v>
                </c:pt>
                <c:pt idx="16">
                  <c:v>42522</c:v>
                </c:pt>
                <c:pt idx="17">
                  <c:v>42552</c:v>
                </c:pt>
                <c:pt idx="18">
                  <c:v>42583</c:v>
                </c:pt>
                <c:pt idx="19">
                  <c:v>42614</c:v>
                </c:pt>
                <c:pt idx="20">
                  <c:v>42644</c:v>
                </c:pt>
                <c:pt idx="21">
                  <c:v>42675</c:v>
                </c:pt>
                <c:pt idx="22">
                  <c:v>42705</c:v>
                </c:pt>
                <c:pt idx="23">
                  <c:v>42736</c:v>
                </c:pt>
                <c:pt idx="24">
                  <c:v>42767</c:v>
                </c:pt>
              </c:numCache>
            </c:numRef>
          </c:cat>
          <c:val>
            <c:numRef>
              <c:f>Hoja1!$F$10:$F$34</c:f>
              <c:numCache>
                <c:formatCode>General</c:formatCode>
                <c:ptCount val="25"/>
                <c:pt idx="0">
                  <c:v>2.2000000000000002</c:v>
                </c:pt>
                <c:pt idx="1">
                  <c:v>2.2000000000000002</c:v>
                </c:pt>
                <c:pt idx="2">
                  <c:v>0.2</c:v>
                </c:pt>
                <c:pt idx="3">
                  <c:v>-0.7</c:v>
                </c:pt>
                <c:pt idx="4">
                  <c:v>0.6</c:v>
                </c:pt>
                <c:pt idx="5">
                  <c:v>2.2999999999999998</c:v>
                </c:pt>
                <c:pt idx="6">
                  <c:v>3.7</c:v>
                </c:pt>
                <c:pt idx="7">
                  <c:v>3.9</c:v>
                </c:pt>
                <c:pt idx="8">
                  <c:v>1.5</c:v>
                </c:pt>
                <c:pt idx="9">
                  <c:v>2.1</c:v>
                </c:pt>
                <c:pt idx="10">
                  <c:v>2</c:v>
                </c:pt>
                <c:pt idx="11">
                  <c:v>0.7</c:v>
                </c:pt>
                <c:pt idx="12">
                  <c:v>1</c:v>
                </c:pt>
                <c:pt idx="13">
                  <c:v>1.4</c:v>
                </c:pt>
                <c:pt idx="14">
                  <c:v>0.5</c:v>
                </c:pt>
                <c:pt idx="15">
                  <c:v>0.8</c:v>
                </c:pt>
                <c:pt idx="16">
                  <c:v>0.8</c:v>
                </c:pt>
                <c:pt idx="17">
                  <c:v>1.2</c:v>
                </c:pt>
                <c:pt idx="18">
                  <c:v>1.1000000000000001</c:v>
                </c:pt>
                <c:pt idx="19">
                  <c:v>1.4</c:v>
                </c:pt>
                <c:pt idx="20">
                  <c:v>2.9</c:v>
                </c:pt>
                <c:pt idx="21">
                  <c:v>3.2</c:v>
                </c:pt>
                <c:pt idx="22">
                  <c:v>3.5</c:v>
                </c:pt>
                <c:pt idx="23">
                  <c:v>1.9</c:v>
                </c:pt>
                <c:pt idx="24">
                  <c:v>1.9</c:v>
                </c:pt>
              </c:numCache>
            </c:numRef>
          </c:val>
        </c:ser>
        <c:dLbls>
          <c:showLegendKey val="0"/>
          <c:showVal val="0"/>
          <c:showCatName val="0"/>
          <c:showSerName val="0"/>
          <c:showPercent val="0"/>
          <c:showBubbleSize val="0"/>
        </c:dLbls>
        <c:gapWidth val="56"/>
        <c:axId val="90710400"/>
        <c:axId val="90711936"/>
      </c:barChart>
      <c:dateAx>
        <c:axId val="90710400"/>
        <c:scaling>
          <c:orientation val="minMax"/>
        </c:scaling>
        <c:delete val="0"/>
        <c:axPos val="b"/>
        <c:numFmt formatCode="mmm\-yy" sourceLinked="1"/>
        <c:majorTickMark val="out"/>
        <c:minorTickMark val="none"/>
        <c:tickLblPos val="low"/>
        <c:txPr>
          <a:bodyPr/>
          <a:lstStyle/>
          <a:p>
            <a:pPr>
              <a:defRPr sz="600">
                <a:latin typeface="Times New Roman" panose="02020603050405020304" pitchFamily="18" charset="0"/>
                <a:cs typeface="Times New Roman" panose="02020603050405020304" pitchFamily="18" charset="0"/>
              </a:defRPr>
            </a:pPr>
            <a:endParaRPr lang="es-GT"/>
          </a:p>
        </c:txPr>
        <c:crossAx val="90711936"/>
        <c:crosses val="autoZero"/>
        <c:auto val="1"/>
        <c:lblOffset val="100"/>
        <c:baseTimeUnit val="months"/>
      </c:dateAx>
      <c:valAx>
        <c:axId val="90711936"/>
        <c:scaling>
          <c:orientation val="minMax"/>
        </c:scaling>
        <c:delete val="0"/>
        <c:axPos val="l"/>
        <c:numFmt formatCode="General" sourceLinked="1"/>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es-GT"/>
          </a:p>
        </c:txPr>
        <c:crossAx val="9071040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22961188457048"/>
          <c:y val="3.2800328003280033E-2"/>
          <c:w val="0.86225649586437558"/>
          <c:h val="0.63442161980674927"/>
        </c:manualLayout>
      </c:layout>
      <c:lineChart>
        <c:grouping val="standard"/>
        <c:varyColors val="0"/>
        <c:ser>
          <c:idx val="0"/>
          <c:order val="0"/>
          <c:spPr>
            <a:ln w="12700">
              <a:solidFill>
                <a:srgbClr val="FF0000"/>
              </a:solidFill>
            </a:ln>
            <a:effectLst>
              <a:outerShdw blurRad="50800" dist="38100" dir="2700000" algn="tl" rotWithShape="0">
                <a:prstClr val="black">
                  <a:alpha val="40000"/>
                </a:prstClr>
              </a:outerShdw>
            </a:effectLst>
          </c:spPr>
          <c:marker>
            <c:symbol val="square"/>
            <c:size val="2"/>
            <c:spPr>
              <a:solidFill>
                <a:schemeClr val="tx2"/>
              </a:solidFill>
              <a:ln>
                <a:solidFill>
                  <a:srgbClr val="FF0000"/>
                </a:solidFill>
              </a:ln>
              <a:effectLst>
                <a:outerShdw blurRad="50800" dist="38100" dir="2700000" algn="tl" rotWithShape="0">
                  <a:prstClr val="black">
                    <a:alpha val="40000"/>
                  </a:prstClr>
                </a:outerShdw>
              </a:effectLst>
            </c:spPr>
          </c:marker>
          <c:dLbls>
            <c:dLbl>
              <c:idx val="0"/>
              <c:showLegendKey val="0"/>
              <c:showVal val="1"/>
              <c:showCatName val="0"/>
              <c:showSerName val="0"/>
              <c:showPercent val="0"/>
              <c:showBubbleSize val="0"/>
            </c:dLbl>
            <c:dLbl>
              <c:idx val="12"/>
              <c:layout>
                <c:manualLayout>
                  <c:x val="-2.2225785542607773E-2"/>
                  <c:y val="-6.0185185185185182E-2"/>
                </c:manualLayout>
              </c:layout>
              <c:showLegendKey val="0"/>
              <c:showVal val="1"/>
              <c:showCatName val="0"/>
              <c:showSerName val="0"/>
              <c:showPercent val="0"/>
              <c:showBubbleSize val="0"/>
            </c:dLbl>
            <c:dLbl>
              <c:idx val="24"/>
              <c:layout>
                <c:manualLayout>
                  <c:x val="-5.5564463856519431E-3"/>
                  <c:y val="-6.9444444444444448E-2"/>
                </c:manualLayout>
              </c:layout>
              <c:showLegendKey val="0"/>
              <c:showVal val="1"/>
              <c:showCatName val="0"/>
              <c:showSerName val="0"/>
              <c:showPercent val="0"/>
              <c:showBubbleSize val="0"/>
            </c:dLbl>
            <c:showLegendKey val="0"/>
            <c:showVal val="0"/>
            <c:showCatName val="0"/>
            <c:showSerName val="0"/>
            <c:showPercent val="0"/>
            <c:showBubbleSize val="0"/>
          </c:dLbls>
          <c:cat>
            <c:multiLvlStrRef>
              <c:f>Hoja2!$E$160:$F$184</c:f>
              <c:multiLvlStrCache>
                <c:ptCount val="25"/>
                <c:lvl>
                  <c:pt idx="0">
                    <c:v>Febrero</c:v>
                  </c:pt>
                  <c:pt idx="1">
                    <c:v>Marzo</c:v>
                  </c:pt>
                  <c:pt idx="2">
                    <c:v>Abril</c:v>
                  </c:pt>
                  <c:pt idx="3">
                    <c:v>Mayo</c:v>
                  </c:pt>
                  <c:pt idx="4">
                    <c:v>Junio</c:v>
                  </c:pt>
                  <c:pt idx="5">
                    <c:v>Julio</c:v>
                  </c:pt>
                  <c:pt idx="6">
                    <c:v>Agosto</c:v>
                  </c:pt>
                  <c:pt idx="7">
                    <c:v>Septiembre</c:v>
                  </c:pt>
                  <c:pt idx="8">
                    <c:v>Octubre</c:v>
                  </c:pt>
                  <c:pt idx="9">
                    <c:v>Noviembre</c:v>
                  </c:pt>
                  <c:pt idx="10">
                    <c:v>Diciembre</c:v>
                  </c:pt>
                  <c:pt idx="11">
                    <c:v>Enero</c:v>
                  </c:pt>
                  <c:pt idx="12">
                    <c:v>Febrero</c:v>
                  </c:pt>
                  <c:pt idx="13">
                    <c:v>marzo</c:v>
                  </c:pt>
                  <c:pt idx="14">
                    <c:v>Abril</c:v>
                  </c:pt>
                  <c:pt idx="15">
                    <c:v>Mayo</c:v>
                  </c:pt>
                  <c:pt idx="16">
                    <c:v>Junio</c:v>
                  </c:pt>
                  <c:pt idx="17">
                    <c:v>Julio</c:v>
                  </c:pt>
                  <c:pt idx="18">
                    <c:v>Agosto</c:v>
                  </c:pt>
                  <c:pt idx="19">
                    <c:v>Septiembre</c:v>
                  </c:pt>
                  <c:pt idx="20">
                    <c:v>Octubre</c:v>
                  </c:pt>
                  <c:pt idx="21">
                    <c:v>Noviembre</c:v>
                  </c:pt>
                  <c:pt idx="22">
                    <c:v>diciembre</c:v>
                  </c:pt>
                  <c:pt idx="23">
                    <c:v>enero</c:v>
                  </c:pt>
                  <c:pt idx="24">
                    <c:v>Febrero</c:v>
                  </c:pt>
                </c:lvl>
                <c:lvl>
                  <c:pt idx="0">
                    <c:v>2015</c:v>
                  </c:pt>
                  <c:pt idx="11">
                    <c:v>2016</c:v>
                  </c:pt>
                  <c:pt idx="23">
                    <c:v>2017</c:v>
                  </c:pt>
                </c:lvl>
              </c:multiLvlStrCache>
            </c:multiLvlStrRef>
          </c:cat>
          <c:val>
            <c:numRef>
              <c:f>Hoja2!$G$160:$G$184</c:f>
              <c:numCache>
                <c:formatCode>General</c:formatCode>
                <c:ptCount val="25"/>
                <c:pt idx="0" formatCode="0.0">
                  <c:v>60</c:v>
                </c:pt>
                <c:pt idx="1">
                  <c:v>57.82</c:v>
                </c:pt>
                <c:pt idx="2">
                  <c:v>51.14</c:v>
                </c:pt>
                <c:pt idx="3" formatCode="0.0">
                  <c:v>41.67</c:v>
                </c:pt>
                <c:pt idx="4" formatCode="0.0">
                  <c:v>33.04</c:v>
                </c:pt>
                <c:pt idx="5" formatCode="0.0">
                  <c:v>28.68</c:v>
                </c:pt>
                <c:pt idx="6" formatCode="0.0">
                  <c:v>21.67</c:v>
                </c:pt>
                <c:pt idx="7" formatCode="0.0">
                  <c:v>46.67</c:v>
                </c:pt>
                <c:pt idx="8" formatCode="0.0">
                  <c:v>47.12</c:v>
                </c:pt>
                <c:pt idx="9" formatCode="0.0">
                  <c:v>64.319999999999993</c:v>
                </c:pt>
                <c:pt idx="10" formatCode="0.0">
                  <c:v>54.97</c:v>
                </c:pt>
                <c:pt idx="11" formatCode="0.0">
                  <c:v>66.97</c:v>
                </c:pt>
                <c:pt idx="12" formatCode="0.0">
                  <c:v>60.65</c:v>
                </c:pt>
                <c:pt idx="13" formatCode="0.0">
                  <c:v>61.54</c:v>
                </c:pt>
                <c:pt idx="14" formatCode="0.0">
                  <c:v>62.5</c:v>
                </c:pt>
                <c:pt idx="15" formatCode="0.0">
                  <c:v>61.67</c:v>
                </c:pt>
                <c:pt idx="16" formatCode="0.0">
                  <c:v>50.9</c:v>
                </c:pt>
                <c:pt idx="17" formatCode="0.0">
                  <c:v>45</c:v>
                </c:pt>
                <c:pt idx="18" formatCode="0.0">
                  <c:v>37.5</c:v>
                </c:pt>
                <c:pt idx="19" formatCode="0.0">
                  <c:v>38.89</c:v>
                </c:pt>
                <c:pt idx="20" formatCode="0.0">
                  <c:v>45.14</c:v>
                </c:pt>
                <c:pt idx="21" formatCode="0.0">
                  <c:v>43.46</c:v>
                </c:pt>
                <c:pt idx="22" formatCode="0.0">
                  <c:v>56.95</c:v>
                </c:pt>
                <c:pt idx="23" formatCode="0.0">
                  <c:v>58.04</c:v>
                </c:pt>
                <c:pt idx="24" formatCode="0.0">
                  <c:v>55</c:v>
                </c:pt>
              </c:numCache>
            </c:numRef>
          </c:val>
          <c:smooth val="0"/>
        </c:ser>
        <c:ser>
          <c:idx val="1"/>
          <c:order val="1"/>
          <c:spPr>
            <a:ln w="25400">
              <a:solidFill>
                <a:schemeClr val="tx1"/>
              </a:solidFill>
            </a:ln>
          </c:spPr>
          <c:marker>
            <c:symbol val="none"/>
          </c:marker>
          <c:cat>
            <c:multiLvlStrRef>
              <c:f>Hoja2!$E$160:$F$184</c:f>
              <c:multiLvlStrCache>
                <c:ptCount val="25"/>
                <c:lvl>
                  <c:pt idx="0">
                    <c:v>Febrero</c:v>
                  </c:pt>
                  <c:pt idx="1">
                    <c:v>Marzo</c:v>
                  </c:pt>
                  <c:pt idx="2">
                    <c:v>Abril</c:v>
                  </c:pt>
                  <c:pt idx="3">
                    <c:v>Mayo</c:v>
                  </c:pt>
                  <c:pt idx="4">
                    <c:v>Junio</c:v>
                  </c:pt>
                  <c:pt idx="5">
                    <c:v>Julio</c:v>
                  </c:pt>
                  <c:pt idx="6">
                    <c:v>Agosto</c:v>
                  </c:pt>
                  <c:pt idx="7">
                    <c:v>Septiembre</c:v>
                  </c:pt>
                  <c:pt idx="8">
                    <c:v>Octubre</c:v>
                  </c:pt>
                  <c:pt idx="9">
                    <c:v>Noviembre</c:v>
                  </c:pt>
                  <c:pt idx="10">
                    <c:v>Diciembre</c:v>
                  </c:pt>
                  <c:pt idx="11">
                    <c:v>Enero</c:v>
                  </c:pt>
                  <c:pt idx="12">
                    <c:v>Febrero</c:v>
                  </c:pt>
                  <c:pt idx="13">
                    <c:v>marzo</c:v>
                  </c:pt>
                  <c:pt idx="14">
                    <c:v>Abril</c:v>
                  </c:pt>
                  <c:pt idx="15">
                    <c:v>Mayo</c:v>
                  </c:pt>
                  <c:pt idx="16">
                    <c:v>Junio</c:v>
                  </c:pt>
                  <c:pt idx="17">
                    <c:v>Julio</c:v>
                  </c:pt>
                  <c:pt idx="18">
                    <c:v>Agosto</c:v>
                  </c:pt>
                  <c:pt idx="19">
                    <c:v>Septiembre</c:v>
                  </c:pt>
                  <c:pt idx="20">
                    <c:v>Octubre</c:v>
                  </c:pt>
                  <c:pt idx="21">
                    <c:v>Noviembre</c:v>
                  </c:pt>
                  <c:pt idx="22">
                    <c:v>diciembre</c:v>
                  </c:pt>
                  <c:pt idx="23">
                    <c:v>enero</c:v>
                  </c:pt>
                  <c:pt idx="24">
                    <c:v>Febrero</c:v>
                  </c:pt>
                </c:lvl>
                <c:lvl>
                  <c:pt idx="0">
                    <c:v>2015</c:v>
                  </c:pt>
                  <c:pt idx="11">
                    <c:v>2016</c:v>
                  </c:pt>
                  <c:pt idx="23">
                    <c:v>2017</c:v>
                  </c:pt>
                </c:lvl>
              </c:multiLvlStrCache>
            </c:multiLvlStrRef>
          </c:cat>
          <c:val>
            <c:numRef>
              <c:f>Hoja2!$H$160:$H$184</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ser>
        <c:dLbls>
          <c:showLegendKey val="0"/>
          <c:showVal val="0"/>
          <c:showCatName val="0"/>
          <c:showSerName val="0"/>
          <c:showPercent val="0"/>
          <c:showBubbleSize val="0"/>
        </c:dLbls>
        <c:marker val="1"/>
        <c:smooth val="0"/>
        <c:axId val="23968000"/>
        <c:axId val="115404800"/>
      </c:lineChart>
      <c:catAx>
        <c:axId val="23968000"/>
        <c:scaling>
          <c:orientation val="minMax"/>
        </c:scaling>
        <c:delete val="0"/>
        <c:axPos val="b"/>
        <c:majorTickMark val="out"/>
        <c:minorTickMark val="none"/>
        <c:tickLblPos val="nextTo"/>
        <c:crossAx val="115404800"/>
        <c:crosses val="autoZero"/>
        <c:auto val="1"/>
        <c:lblAlgn val="ctr"/>
        <c:lblOffset val="100"/>
        <c:noMultiLvlLbl val="0"/>
      </c:catAx>
      <c:valAx>
        <c:axId val="115404800"/>
        <c:scaling>
          <c:orientation val="minMax"/>
          <c:min val="20"/>
        </c:scaling>
        <c:delete val="0"/>
        <c:axPos val="l"/>
        <c:numFmt formatCode="#,##0.00" sourceLinked="0"/>
        <c:majorTickMark val="out"/>
        <c:minorTickMark val="none"/>
        <c:tickLblPos val="nextTo"/>
        <c:crossAx val="23968000"/>
        <c:crosses val="autoZero"/>
        <c:crossBetween val="between"/>
      </c:valAx>
    </c:plotArea>
    <c:plotVisOnly val="1"/>
    <c:dispBlanksAs val="gap"/>
    <c:showDLblsOverMax val="0"/>
  </c:chart>
  <c:spPr>
    <a:ln>
      <a:noFill/>
    </a:ln>
  </c:spPr>
  <c:txPr>
    <a:bodyPr/>
    <a:lstStyle/>
    <a:p>
      <a:pPr>
        <a:defRPr sz="500">
          <a:latin typeface="Times New Roman" pitchFamily="18" charset="0"/>
          <a:cs typeface="Times New Roman"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0.8971</cdr:x>
      <cdr:y>0.02525</cdr:y>
    </cdr:from>
    <cdr:to>
      <cdr:x>0.89919</cdr:x>
      <cdr:y>0.7683</cdr:y>
    </cdr:to>
    <cdr:cxnSp macro="">
      <cdr:nvCxnSpPr>
        <cdr:cNvPr id="3" name="2 Conector recto"/>
        <cdr:cNvCxnSpPr/>
      </cdr:nvCxnSpPr>
      <cdr:spPr>
        <a:xfrm xmlns:a="http://schemas.openxmlformats.org/drawingml/2006/main" flipV="1">
          <a:off x="4096125" y="69273"/>
          <a:ext cx="9543" cy="2038335"/>
        </a:xfrm>
        <a:prstGeom xmlns:a="http://schemas.openxmlformats.org/drawingml/2006/main" prst="line">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91BA-0079-43EF-BB79-5CDF25D3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1823</Words>
  <Characters>10030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DAPF</cp:lastModifiedBy>
  <cp:revision>6</cp:revision>
  <dcterms:created xsi:type="dcterms:W3CDTF">2017-03-31T16:57:00Z</dcterms:created>
  <dcterms:modified xsi:type="dcterms:W3CDTF">2017-04-03T14:41:00Z</dcterms:modified>
</cp:coreProperties>
</file>