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drawings/drawing5.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drawings/drawing6.xml" ContentType="application/vnd.openxmlformats-officedocument.drawingml.chartshapes+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drawings/drawing7.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drawings/drawing8.xml" ContentType="application/vnd.openxmlformats-officedocument.drawingml.chartshapes+xml"/>
  <Override PartName="/word/charts/chart20.xml" ContentType="application/vnd.openxmlformats-officedocument.drawingml.chart+xml"/>
  <Override PartName="/word/drawings/drawing9.xml" ContentType="application/vnd.openxmlformats-officedocument.drawingml.chartshapes+xml"/>
  <Override PartName="/word/charts/chart21.xml" ContentType="application/vnd.openxmlformats-officedocument.drawingml.chart+xml"/>
  <Override PartName="/word/charts/chart22.xml" ContentType="application/vnd.openxmlformats-officedocument.drawingml.chart+xml"/>
  <Override PartName="/word/drawings/drawing10.xml" ContentType="application/vnd.openxmlformats-officedocument.drawingml.chartshapes+xml"/>
  <Override PartName="/word/charts/chart23.xml" ContentType="application/vnd.openxmlformats-officedocument.drawingml.chart+xml"/>
  <Override PartName="/word/drawings/drawing11.xml" ContentType="application/vnd.openxmlformats-officedocument.drawingml.chartshapes+xml"/>
  <Override PartName="/word/charts/chart24.xml" ContentType="application/vnd.openxmlformats-officedocument.drawingml.chart+xml"/>
  <Override PartName="/word/drawings/drawing1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944DB" w14:textId="77777777" w:rsidR="0032588B" w:rsidRPr="00113A1E" w:rsidRDefault="0032588B" w:rsidP="00F474A5">
      <w:pPr>
        <w:jc w:val="both"/>
        <w:outlineLvl w:val="0"/>
        <w:rPr>
          <w:rFonts w:ascii="Times New Roman" w:eastAsiaTheme="majorEastAsia" w:hAnsi="Times New Roman" w:cs="Times New Roman"/>
          <w:b/>
          <w:bCs/>
          <w:color w:val="FF0000"/>
          <w:szCs w:val="26"/>
        </w:rPr>
      </w:pPr>
      <w:bookmarkStart w:id="0" w:name="_Toc410402057"/>
      <w:bookmarkStart w:id="1" w:name="_Toc457550818"/>
      <w:bookmarkStart w:id="2" w:name="_GoBack"/>
      <w:bookmarkEnd w:id="2"/>
    </w:p>
    <w:p w14:paraId="28136FF5"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0CBAE126"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785C2BCB"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03090568"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0C212799"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6EF8D0A1"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5A689C39"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7A3E2F6A"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3EADE740"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308D51E6" w14:textId="77777777" w:rsidR="00D8619A" w:rsidRPr="00113A1E"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388BC19E" w14:textId="77777777" w:rsidR="00D8619A" w:rsidRPr="00113A1E"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648F94CD" w14:textId="77777777" w:rsidR="00D8619A" w:rsidRPr="00113A1E"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734C6478" w14:textId="77777777" w:rsidR="00D8619A" w:rsidRPr="00113A1E"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54B7544A" w14:textId="77777777" w:rsidR="00D8619A" w:rsidRPr="00113A1E" w:rsidRDefault="00D8619A"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18298F19"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0D63815C"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3D6660A4" w14:textId="77777777" w:rsidR="0032588B" w:rsidRPr="00E353E5" w:rsidRDefault="00D8619A" w:rsidP="00F75211">
      <w:pPr>
        <w:pStyle w:val="Prrafodelista"/>
        <w:ind w:left="709"/>
        <w:jc w:val="center"/>
        <w:rPr>
          <w:rFonts w:ascii="Times New Roman" w:eastAsiaTheme="majorEastAsia" w:hAnsi="Times New Roman" w:cs="Times New Roman"/>
          <w:b/>
          <w:bCs/>
          <w:sz w:val="36"/>
          <w:szCs w:val="26"/>
          <w:lang w:val="es-ES_tradnl" w:eastAsia="es-ES"/>
        </w:rPr>
      </w:pPr>
      <w:r w:rsidRPr="00E353E5">
        <w:rPr>
          <w:rFonts w:ascii="Times New Roman" w:eastAsiaTheme="majorEastAsia" w:hAnsi="Times New Roman" w:cs="Times New Roman"/>
          <w:b/>
          <w:bCs/>
          <w:sz w:val="36"/>
          <w:szCs w:val="26"/>
          <w:lang w:val="es-ES_tradnl" w:eastAsia="es-ES"/>
        </w:rPr>
        <w:t xml:space="preserve">Informe de </w:t>
      </w:r>
      <w:r w:rsidR="00602DF4">
        <w:rPr>
          <w:rFonts w:ascii="Times New Roman" w:eastAsiaTheme="majorEastAsia" w:hAnsi="Times New Roman" w:cs="Times New Roman"/>
          <w:b/>
          <w:bCs/>
          <w:sz w:val="36"/>
          <w:szCs w:val="26"/>
          <w:lang w:val="es-ES_tradnl" w:eastAsia="es-ES"/>
        </w:rPr>
        <w:t>D</w:t>
      </w:r>
      <w:r w:rsidRPr="00E353E5">
        <w:rPr>
          <w:rFonts w:ascii="Times New Roman" w:eastAsiaTheme="majorEastAsia" w:hAnsi="Times New Roman" w:cs="Times New Roman"/>
          <w:b/>
          <w:bCs/>
          <w:sz w:val="36"/>
          <w:szCs w:val="26"/>
          <w:lang w:val="es-ES_tradnl" w:eastAsia="es-ES"/>
        </w:rPr>
        <w:t>ese</w:t>
      </w:r>
      <w:r w:rsidR="00694C06" w:rsidRPr="00E353E5">
        <w:rPr>
          <w:rFonts w:ascii="Times New Roman" w:eastAsiaTheme="majorEastAsia" w:hAnsi="Times New Roman" w:cs="Times New Roman"/>
          <w:b/>
          <w:bCs/>
          <w:sz w:val="36"/>
          <w:szCs w:val="26"/>
          <w:lang w:val="es-ES_tradnl" w:eastAsia="es-ES"/>
        </w:rPr>
        <w:t>mpeño de la Política Fiscal 201</w:t>
      </w:r>
      <w:r w:rsidR="00E353E5" w:rsidRPr="00E353E5">
        <w:rPr>
          <w:rFonts w:ascii="Times New Roman" w:eastAsiaTheme="majorEastAsia" w:hAnsi="Times New Roman" w:cs="Times New Roman"/>
          <w:b/>
          <w:bCs/>
          <w:sz w:val="36"/>
          <w:szCs w:val="26"/>
          <w:lang w:val="es-ES_tradnl" w:eastAsia="es-ES"/>
        </w:rPr>
        <w:t>9</w:t>
      </w:r>
      <w:r w:rsidRPr="00E353E5">
        <w:rPr>
          <w:rFonts w:ascii="Times New Roman" w:eastAsiaTheme="majorEastAsia" w:hAnsi="Times New Roman" w:cs="Times New Roman"/>
          <w:b/>
          <w:bCs/>
          <w:sz w:val="36"/>
          <w:szCs w:val="26"/>
          <w:lang w:val="es-ES_tradnl" w:eastAsia="es-ES"/>
        </w:rPr>
        <w:t xml:space="preserve"> </w:t>
      </w:r>
    </w:p>
    <w:p w14:paraId="1B965297"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70EB2A9E"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08CEDF58"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035AF4D6"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536F5C41"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72331163"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2C2EF2C2"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2023D69E"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19ED3295"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3BBA4709"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7443F3FE" w14:textId="77777777" w:rsidR="00D8619A" w:rsidRPr="00E353E5"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6DF43B4D" w14:textId="77777777" w:rsidR="00D8619A" w:rsidRPr="00E353E5" w:rsidRDefault="00D8619A"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4D93E5B1"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3DDFA6B8"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480BBE81"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059836A8"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3B756BB3"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22B1935C"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116F0864" w14:textId="77777777" w:rsidR="0032588B" w:rsidRPr="00E353E5" w:rsidRDefault="0032588B" w:rsidP="0032588B">
      <w:pPr>
        <w:pStyle w:val="Prrafodelista"/>
        <w:ind w:left="709"/>
        <w:jc w:val="both"/>
        <w:outlineLvl w:val="0"/>
        <w:rPr>
          <w:rFonts w:ascii="Times New Roman" w:eastAsiaTheme="majorEastAsia" w:hAnsi="Times New Roman" w:cs="Times New Roman"/>
          <w:b/>
          <w:bCs/>
          <w:sz w:val="24"/>
          <w:szCs w:val="26"/>
          <w:lang w:val="es-ES_tradnl" w:eastAsia="es-ES"/>
        </w:rPr>
      </w:pPr>
    </w:p>
    <w:p w14:paraId="6BA1A13E" w14:textId="77777777" w:rsidR="0032588B" w:rsidRPr="00E353E5" w:rsidRDefault="00BB0B76" w:rsidP="00F75211">
      <w:pPr>
        <w:pStyle w:val="Prrafodelista"/>
        <w:ind w:left="709"/>
        <w:jc w:val="center"/>
        <w:rPr>
          <w:rFonts w:ascii="Times New Roman" w:eastAsiaTheme="majorEastAsia" w:hAnsi="Times New Roman" w:cs="Times New Roman"/>
          <w:b/>
          <w:bCs/>
          <w:sz w:val="24"/>
          <w:szCs w:val="26"/>
          <w:lang w:val="es-ES_tradnl" w:eastAsia="es-ES"/>
        </w:rPr>
      </w:pPr>
      <w:r>
        <w:rPr>
          <w:rFonts w:ascii="Times New Roman" w:eastAsiaTheme="majorEastAsia" w:hAnsi="Times New Roman" w:cs="Times New Roman"/>
          <w:b/>
          <w:bCs/>
          <w:sz w:val="24"/>
          <w:szCs w:val="26"/>
          <w:lang w:val="es-ES_tradnl" w:eastAsia="es-ES"/>
        </w:rPr>
        <w:t>Guatemala, febr</w:t>
      </w:r>
      <w:r w:rsidR="00113A1E" w:rsidRPr="00E353E5">
        <w:rPr>
          <w:rFonts w:ascii="Times New Roman" w:eastAsiaTheme="majorEastAsia" w:hAnsi="Times New Roman" w:cs="Times New Roman"/>
          <w:b/>
          <w:bCs/>
          <w:sz w:val="24"/>
          <w:szCs w:val="26"/>
          <w:lang w:val="es-ES_tradnl" w:eastAsia="es-ES"/>
        </w:rPr>
        <w:t>ero 2020</w:t>
      </w:r>
    </w:p>
    <w:p w14:paraId="32B3BB37"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3421F1D7"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15479C2D"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773F205E"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4BC9B4ED"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142ECED4"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62C14F9D" w14:textId="77777777" w:rsidR="0032588B" w:rsidRPr="00113A1E" w:rsidRDefault="0032588B" w:rsidP="0032588B">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2D182782" w14:textId="77777777" w:rsidR="0032588B" w:rsidRPr="00113A1E" w:rsidRDefault="0032588B" w:rsidP="0032588B">
      <w:pPr>
        <w:jc w:val="both"/>
        <w:outlineLvl w:val="0"/>
        <w:rPr>
          <w:rFonts w:ascii="Times New Roman" w:eastAsiaTheme="majorEastAsia" w:hAnsi="Times New Roman" w:cs="Times New Roman"/>
          <w:b/>
          <w:bCs/>
          <w:color w:val="FF0000"/>
          <w:szCs w:val="26"/>
        </w:rPr>
      </w:pPr>
    </w:p>
    <w:sdt>
      <w:sdtPr>
        <w:rPr>
          <w:rFonts w:asciiTheme="minorHAnsi" w:eastAsiaTheme="minorEastAsia" w:hAnsiTheme="minorHAnsi" w:cstheme="minorBidi"/>
          <w:b w:val="0"/>
          <w:bCs w:val="0"/>
          <w:color w:val="FF0000"/>
          <w:sz w:val="24"/>
          <w:szCs w:val="24"/>
          <w:lang w:val="es-ES" w:eastAsia="es-ES"/>
        </w:rPr>
        <w:id w:val="-1412613934"/>
        <w:docPartObj>
          <w:docPartGallery w:val="Table of Contents"/>
          <w:docPartUnique/>
        </w:docPartObj>
      </w:sdtPr>
      <w:sdtEndPr>
        <w:rPr>
          <w:rFonts w:ascii="Times New Roman" w:hAnsi="Times New Roman" w:cs="Times New Roman"/>
        </w:rPr>
      </w:sdtEndPr>
      <w:sdtContent>
        <w:p w14:paraId="12B0682B" w14:textId="77777777" w:rsidR="0032588B" w:rsidRPr="00795274" w:rsidRDefault="0032588B" w:rsidP="000D58D6">
          <w:pPr>
            <w:pStyle w:val="TtulodeTDC"/>
            <w:jc w:val="center"/>
            <w:rPr>
              <w:rFonts w:ascii="Times New Roman" w:hAnsi="Times New Roman" w:cs="Times New Roman"/>
              <w:color w:val="auto"/>
              <w:sz w:val="24"/>
              <w:szCs w:val="24"/>
              <w:lang w:val="es-ES"/>
            </w:rPr>
          </w:pPr>
          <w:r w:rsidRPr="00795274">
            <w:rPr>
              <w:rFonts w:ascii="Times New Roman" w:hAnsi="Times New Roman" w:cs="Times New Roman"/>
              <w:color w:val="auto"/>
              <w:sz w:val="24"/>
              <w:szCs w:val="24"/>
              <w:lang w:val="es-ES"/>
            </w:rPr>
            <w:t>Contenido</w:t>
          </w:r>
        </w:p>
        <w:p w14:paraId="1498E71B" w14:textId="77777777" w:rsidR="00F3006C" w:rsidRPr="00113A1E" w:rsidRDefault="00F3006C" w:rsidP="000D58D6">
          <w:pPr>
            <w:spacing w:line="276" w:lineRule="auto"/>
            <w:rPr>
              <w:rFonts w:ascii="Times New Roman" w:hAnsi="Times New Roman" w:cs="Times New Roman"/>
              <w:color w:val="FF0000"/>
              <w:lang w:val="es-ES" w:eastAsia="es-GT"/>
            </w:rPr>
          </w:pPr>
        </w:p>
        <w:p w14:paraId="0CF9E97B" w14:textId="77B8A61E" w:rsidR="00C44114" w:rsidRPr="0054409D" w:rsidRDefault="0032588B" w:rsidP="0054409D">
          <w:pPr>
            <w:pStyle w:val="TDC1"/>
            <w:rPr>
              <w:rFonts w:eastAsiaTheme="minorEastAsia"/>
              <w:szCs w:val="22"/>
              <w:lang w:val="es-GT" w:eastAsia="es-GT"/>
            </w:rPr>
          </w:pPr>
          <w:r w:rsidRPr="0054409D">
            <w:rPr>
              <w:color w:val="FF0000"/>
            </w:rPr>
            <w:fldChar w:fldCharType="begin"/>
          </w:r>
          <w:r w:rsidRPr="0054409D">
            <w:rPr>
              <w:color w:val="FF0000"/>
            </w:rPr>
            <w:instrText xml:space="preserve"> TOC \o "1-3" \h \z \u </w:instrText>
          </w:r>
          <w:r w:rsidRPr="0054409D">
            <w:rPr>
              <w:color w:val="FF0000"/>
            </w:rPr>
            <w:fldChar w:fldCharType="separate"/>
          </w:r>
          <w:hyperlink w:anchor="_Toc32230878" w:history="1">
            <w:r w:rsidR="00C44114" w:rsidRPr="0054409D">
              <w:rPr>
                <w:rStyle w:val="Hipervnculo"/>
              </w:rPr>
              <w:t>Introducción</w:t>
            </w:r>
            <w:r w:rsidR="00C44114" w:rsidRPr="0054409D">
              <w:rPr>
                <w:webHidden/>
              </w:rPr>
              <w:tab/>
            </w:r>
            <w:r w:rsidR="00C44114" w:rsidRPr="0054409D">
              <w:rPr>
                <w:webHidden/>
              </w:rPr>
              <w:fldChar w:fldCharType="begin"/>
            </w:r>
            <w:r w:rsidR="00C44114" w:rsidRPr="0054409D">
              <w:rPr>
                <w:webHidden/>
              </w:rPr>
              <w:instrText xml:space="preserve"> PAGEREF _Toc32230878 \h </w:instrText>
            </w:r>
            <w:r w:rsidR="00C44114" w:rsidRPr="0054409D">
              <w:rPr>
                <w:webHidden/>
              </w:rPr>
            </w:r>
            <w:r w:rsidR="00C44114" w:rsidRPr="0054409D">
              <w:rPr>
                <w:webHidden/>
              </w:rPr>
              <w:fldChar w:fldCharType="separate"/>
            </w:r>
            <w:r w:rsidR="00CF7B4B">
              <w:rPr>
                <w:webHidden/>
              </w:rPr>
              <w:t>3</w:t>
            </w:r>
            <w:r w:rsidR="00C44114" w:rsidRPr="0054409D">
              <w:rPr>
                <w:webHidden/>
              </w:rPr>
              <w:fldChar w:fldCharType="end"/>
            </w:r>
          </w:hyperlink>
        </w:p>
        <w:p w14:paraId="6A7EBD0B" w14:textId="14F57A27" w:rsidR="00C44114" w:rsidRPr="0054409D" w:rsidRDefault="001B501F" w:rsidP="0054409D">
          <w:pPr>
            <w:pStyle w:val="TDC1"/>
            <w:rPr>
              <w:rFonts w:eastAsiaTheme="minorEastAsia"/>
              <w:szCs w:val="22"/>
              <w:lang w:val="es-GT" w:eastAsia="es-GT"/>
            </w:rPr>
          </w:pPr>
          <w:hyperlink w:anchor="_Toc32230879" w:history="1">
            <w:r w:rsidR="00C44114" w:rsidRPr="0054409D">
              <w:rPr>
                <w:rStyle w:val="Hipervnculo"/>
              </w:rPr>
              <w:t>I.</w:t>
            </w:r>
            <w:r w:rsidR="00C44114" w:rsidRPr="0054409D">
              <w:rPr>
                <w:rFonts w:eastAsiaTheme="minorEastAsia"/>
                <w:szCs w:val="22"/>
                <w:lang w:val="es-GT" w:eastAsia="es-GT"/>
              </w:rPr>
              <w:tab/>
            </w:r>
            <w:r w:rsidR="00C44114" w:rsidRPr="0054409D">
              <w:rPr>
                <w:rStyle w:val="Hipervnculo"/>
              </w:rPr>
              <w:t>Recaudación tributaria</w:t>
            </w:r>
            <w:r w:rsidR="00C44114" w:rsidRPr="0054409D">
              <w:rPr>
                <w:webHidden/>
              </w:rPr>
              <w:tab/>
            </w:r>
            <w:r w:rsidR="00C44114" w:rsidRPr="0054409D">
              <w:rPr>
                <w:webHidden/>
              </w:rPr>
              <w:fldChar w:fldCharType="begin"/>
            </w:r>
            <w:r w:rsidR="00C44114" w:rsidRPr="0054409D">
              <w:rPr>
                <w:webHidden/>
              </w:rPr>
              <w:instrText xml:space="preserve"> PAGEREF _Toc32230879 \h </w:instrText>
            </w:r>
            <w:r w:rsidR="00C44114" w:rsidRPr="0054409D">
              <w:rPr>
                <w:webHidden/>
              </w:rPr>
            </w:r>
            <w:r w:rsidR="00C44114" w:rsidRPr="0054409D">
              <w:rPr>
                <w:webHidden/>
              </w:rPr>
              <w:fldChar w:fldCharType="separate"/>
            </w:r>
            <w:r w:rsidR="00CF7B4B">
              <w:rPr>
                <w:webHidden/>
              </w:rPr>
              <w:t>4</w:t>
            </w:r>
            <w:r w:rsidR="00C44114" w:rsidRPr="0054409D">
              <w:rPr>
                <w:webHidden/>
              </w:rPr>
              <w:fldChar w:fldCharType="end"/>
            </w:r>
          </w:hyperlink>
        </w:p>
        <w:p w14:paraId="1B273307" w14:textId="69F37659" w:rsidR="00C44114" w:rsidRPr="0054409D" w:rsidRDefault="001B501F" w:rsidP="0054409D">
          <w:pPr>
            <w:pStyle w:val="TDC2"/>
            <w:rPr>
              <w:rFonts w:ascii="Times New Roman" w:hAnsi="Times New Roman" w:cs="Times New Roman"/>
              <w:noProof/>
              <w:sz w:val="22"/>
              <w:szCs w:val="22"/>
              <w:lang w:val="es-GT" w:eastAsia="es-GT"/>
            </w:rPr>
          </w:pPr>
          <w:hyperlink w:anchor="_Toc32230881" w:history="1">
            <w:r w:rsidR="00C44114" w:rsidRPr="0054409D">
              <w:rPr>
                <w:rStyle w:val="Hipervnculo"/>
                <w:rFonts w:ascii="Times New Roman" w:hAnsi="Times New Roman" w:cs="Times New Roman"/>
                <w:noProof/>
              </w:rPr>
              <w:t>1.1</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Evolución de la recaudación tributaria 2019</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_Toc32230881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4</w:t>
            </w:r>
            <w:r w:rsidR="00C44114" w:rsidRPr="0054409D">
              <w:rPr>
                <w:rFonts w:ascii="Times New Roman" w:hAnsi="Times New Roman" w:cs="Times New Roman"/>
                <w:noProof/>
                <w:webHidden/>
              </w:rPr>
              <w:fldChar w:fldCharType="end"/>
            </w:r>
          </w:hyperlink>
        </w:p>
        <w:p w14:paraId="49DD59D3" w14:textId="53E1C745" w:rsidR="00C44114" w:rsidRPr="0054409D" w:rsidRDefault="001B501F" w:rsidP="0054409D">
          <w:pPr>
            <w:pStyle w:val="TDC2"/>
            <w:rPr>
              <w:rFonts w:ascii="Times New Roman" w:hAnsi="Times New Roman" w:cs="Times New Roman"/>
              <w:noProof/>
              <w:sz w:val="22"/>
              <w:szCs w:val="22"/>
              <w:lang w:val="es-GT" w:eastAsia="es-GT"/>
            </w:rPr>
          </w:pPr>
          <w:hyperlink w:anchor="_Toc32230882" w:history="1">
            <w:r w:rsidR="00C44114" w:rsidRPr="0054409D">
              <w:rPr>
                <w:rStyle w:val="Hipervnculo"/>
                <w:rFonts w:ascii="Times New Roman" w:hAnsi="Times New Roman" w:cs="Times New Roman"/>
                <w:noProof/>
              </w:rPr>
              <w:t>1.2</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Recaudación por impuesto</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_Toc32230882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5</w:t>
            </w:r>
            <w:r w:rsidR="00C44114" w:rsidRPr="0054409D">
              <w:rPr>
                <w:rFonts w:ascii="Times New Roman" w:hAnsi="Times New Roman" w:cs="Times New Roman"/>
                <w:noProof/>
                <w:webHidden/>
              </w:rPr>
              <w:fldChar w:fldCharType="end"/>
            </w:r>
          </w:hyperlink>
        </w:p>
        <w:p w14:paraId="4BCBDC07" w14:textId="69CC7ADD" w:rsidR="00C44114" w:rsidRPr="0054409D" w:rsidRDefault="001B501F" w:rsidP="0054409D">
          <w:pPr>
            <w:pStyle w:val="TDC3"/>
            <w:rPr>
              <w:rFonts w:ascii="Times New Roman" w:hAnsi="Times New Roman" w:cs="Times New Roman"/>
              <w:noProof/>
              <w:sz w:val="22"/>
              <w:szCs w:val="22"/>
              <w:lang w:val="es-GT" w:eastAsia="es-GT"/>
            </w:rPr>
          </w:pPr>
          <w:hyperlink w:anchor="_Toc32230886" w:history="1">
            <w:r w:rsidR="00C44114" w:rsidRPr="0054409D">
              <w:rPr>
                <w:rStyle w:val="Hipervnculo"/>
                <w:rFonts w:ascii="Times New Roman" w:hAnsi="Times New Roman" w:cs="Times New Roman"/>
                <w:noProof/>
                <w:lang w:val="es-MX"/>
              </w:rPr>
              <w:t>1.2.1</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lang w:val="es-MX"/>
              </w:rPr>
              <w:t>Impuesto Sobre la Renta -ISR-</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_Toc32230886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6</w:t>
            </w:r>
            <w:r w:rsidR="00C44114" w:rsidRPr="0054409D">
              <w:rPr>
                <w:rFonts w:ascii="Times New Roman" w:hAnsi="Times New Roman" w:cs="Times New Roman"/>
                <w:noProof/>
                <w:webHidden/>
              </w:rPr>
              <w:fldChar w:fldCharType="end"/>
            </w:r>
          </w:hyperlink>
        </w:p>
        <w:p w14:paraId="66C4D35B" w14:textId="5EB356F2" w:rsidR="00C44114" w:rsidRPr="0054409D" w:rsidRDefault="001B501F" w:rsidP="0054409D">
          <w:pPr>
            <w:pStyle w:val="TDC3"/>
            <w:rPr>
              <w:rFonts w:ascii="Times New Roman" w:hAnsi="Times New Roman" w:cs="Times New Roman"/>
              <w:noProof/>
              <w:sz w:val="22"/>
              <w:szCs w:val="22"/>
              <w:lang w:val="es-GT" w:eastAsia="es-GT"/>
            </w:rPr>
          </w:pPr>
          <w:hyperlink w:anchor="_Toc32230887" w:history="1">
            <w:r w:rsidR="00C44114" w:rsidRPr="0054409D">
              <w:rPr>
                <w:rStyle w:val="Hipervnculo"/>
                <w:rFonts w:ascii="Times New Roman" w:hAnsi="Times New Roman" w:cs="Times New Roman"/>
                <w:noProof/>
                <w:lang w:val="es-MX"/>
              </w:rPr>
              <w:t>1.2.2</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lang w:val="es-MX"/>
              </w:rPr>
              <w:t>Impuesto al Valor Agregado –IVA-</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_Toc32230887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7</w:t>
            </w:r>
            <w:r w:rsidR="00C44114" w:rsidRPr="0054409D">
              <w:rPr>
                <w:rFonts w:ascii="Times New Roman" w:hAnsi="Times New Roman" w:cs="Times New Roman"/>
                <w:noProof/>
                <w:webHidden/>
              </w:rPr>
              <w:fldChar w:fldCharType="end"/>
            </w:r>
          </w:hyperlink>
        </w:p>
        <w:p w14:paraId="27ED2998" w14:textId="34536D7D" w:rsidR="00C44114" w:rsidRPr="0054409D" w:rsidRDefault="001B501F" w:rsidP="0054409D">
          <w:pPr>
            <w:pStyle w:val="TDC3"/>
            <w:rPr>
              <w:rFonts w:ascii="Times New Roman" w:hAnsi="Times New Roman" w:cs="Times New Roman"/>
              <w:noProof/>
              <w:sz w:val="22"/>
              <w:szCs w:val="22"/>
              <w:lang w:val="es-GT" w:eastAsia="es-GT"/>
            </w:rPr>
          </w:pPr>
          <w:hyperlink w:anchor="_Toc32230888" w:history="1">
            <w:r w:rsidR="00C44114" w:rsidRPr="0054409D">
              <w:rPr>
                <w:rStyle w:val="Hipervnculo"/>
                <w:rFonts w:ascii="Times New Roman" w:hAnsi="Times New Roman" w:cs="Times New Roman"/>
                <w:noProof/>
                <w:lang w:val="es-MX"/>
              </w:rPr>
              <w:t>1.2.3</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lang w:val="es-MX"/>
              </w:rPr>
              <w:t>Otros impuestos</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_Toc32230888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8</w:t>
            </w:r>
            <w:r w:rsidR="00C44114" w:rsidRPr="0054409D">
              <w:rPr>
                <w:rFonts w:ascii="Times New Roman" w:hAnsi="Times New Roman" w:cs="Times New Roman"/>
                <w:noProof/>
                <w:webHidden/>
              </w:rPr>
              <w:fldChar w:fldCharType="end"/>
            </w:r>
          </w:hyperlink>
        </w:p>
        <w:p w14:paraId="50617666" w14:textId="259B9F71" w:rsidR="00C44114" w:rsidRPr="0054409D" w:rsidRDefault="001B501F" w:rsidP="0054409D">
          <w:pPr>
            <w:pStyle w:val="TDC2"/>
            <w:rPr>
              <w:rFonts w:ascii="Times New Roman" w:hAnsi="Times New Roman" w:cs="Times New Roman"/>
              <w:noProof/>
              <w:sz w:val="22"/>
              <w:szCs w:val="22"/>
              <w:lang w:val="es-GT" w:eastAsia="es-GT"/>
            </w:rPr>
          </w:pPr>
          <w:hyperlink w:anchor="_Toc32230889" w:history="1">
            <w:r w:rsidR="00C44114" w:rsidRPr="0054409D">
              <w:rPr>
                <w:rStyle w:val="Hipervnculo"/>
                <w:rFonts w:ascii="Times New Roman" w:hAnsi="Times New Roman" w:cs="Times New Roman"/>
                <w:noProof/>
              </w:rPr>
              <w:t>1.3</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Evaluación del cumplimiento de la recaudación 2019.</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_Toc32230889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8</w:t>
            </w:r>
            <w:r w:rsidR="00C44114" w:rsidRPr="0054409D">
              <w:rPr>
                <w:rFonts w:ascii="Times New Roman" w:hAnsi="Times New Roman" w:cs="Times New Roman"/>
                <w:noProof/>
                <w:webHidden/>
              </w:rPr>
              <w:fldChar w:fldCharType="end"/>
            </w:r>
          </w:hyperlink>
        </w:p>
        <w:p w14:paraId="4607FA26" w14:textId="69F0A1C7" w:rsidR="00C44114" w:rsidRPr="0054409D" w:rsidRDefault="001B501F" w:rsidP="0054409D">
          <w:pPr>
            <w:pStyle w:val="TDC2"/>
            <w:rPr>
              <w:rFonts w:ascii="Times New Roman" w:hAnsi="Times New Roman" w:cs="Times New Roman"/>
              <w:noProof/>
              <w:sz w:val="22"/>
              <w:szCs w:val="22"/>
              <w:lang w:val="es-GT" w:eastAsia="es-GT"/>
            </w:rPr>
          </w:pPr>
          <w:hyperlink w:anchor="_Toc32230890" w:history="1">
            <w:r w:rsidR="00C44114" w:rsidRPr="0054409D">
              <w:rPr>
                <w:rStyle w:val="Hipervnculo"/>
                <w:rFonts w:ascii="Times New Roman" w:hAnsi="Times New Roman" w:cs="Times New Roman"/>
                <w:noProof/>
              </w:rPr>
              <w:t>1.4</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Carga tributaria</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_Toc32230890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9</w:t>
            </w:r>
            <w:r w:rsidR="00C44114" w:rsidRPr="0054409D">
              <w:rPr>
                <w:rFonts w:ascii="Times New Roman" w:hAnsi="Times New Roman" w:cs="Times New Roman"/>
                <w:noProof/>
                <w:webHidden/>
              </w:rPr>
              <w:fldChar w:fldCharType="end"/>
            </w:r>
          </w:hyperlink>
        </w:p>
        <w:p w14:paraId="3B146E81" w14:textId="47695B09" w:rsidR="00C44114" w:rsidRPr="0054409D" w:rsidRDefault="001B501F" w:rsidP="0054409D">
          <w:pPr>
            <w:pStyle w:val="TDC1"/>
            <w:rPr>
              <w:rFonts w:eastAsiaTheme="minorEastAsia"/>
              <w:szCs w:val="22"/>
              <w:lang w:val="es-GT" w:eastAsia="es-GT"/>
            </w:rPr>
          </w:pPr>
          <w:hyperlink w:anchor="_Toc32230891" w:history="1">
            <w:r w:rsidR="00C44114" w:rsidRPr="0054409D">
              <w:rPr>
                <w:rStyle w:val="Hipervnculo"/>
              </w:rPr>
              <w:t>II.</w:t>
            </w:r>
            <w:r w:rsidR="00C44114" w:rsidRPr="0054409D">
              <w:rPr>
                <w:rFonts w:eastAsiaTheme="minorEastAsia"/>
                <w:szCs w:val="22"/>
                <w:lang w:val="es-GT" w:eastAsia="es-GT"/>
              </w:rPr>
              <w:tab/>
            </w:r>
            <w:r w:rsidR="00C44114" w:rsidRPr="0054409D">
              <w:rPr>
                <w:rStyle w:val="Hipervnculo"/>
              </w:rPr>
              <w:t>Gasto Público</w:t>
            </w:r>
            <w:r w:rsidR="00C44114" w:rsidRPr="0054409D">
              <w:rPr>
                <w:webHidden/>
              </w:rPr>
              <w:tab/>
            </w:r>
            <w:r w:rsidR="00C44114" w:rsidRPr="0054409D">
              <w:rPr>
                <w:webHidden/>
              </w:rPr>
              <w:fldChar w:fldCharType="begin"/>
            </w:r>
            <w:r w:rsidR="00C44114" w:rsidRPr="0054409D">
              <w:rPr>
                <w:webHidden/>
              </w:rPr>
              <w:instrText xml:space="preserve"> PAGEREF _Toc32230891 \h </w:instrText>
            </w:r>
            <w:r w:rsidR="00C44114" w:rsidRPr="0054409D">
              <w:rPr>
                <w:webHidden/>
              </w:rPr>
            </w:r>
            <w:r w:rsidR="00C44114" w:rsidRPr="0054409D">
              <w:rPr>
                <w:webHidden/>
              </w:rPr>
              <w:fldChar w:fldCharType="separate"/>
            </w:r>
            <w:r w:rsidR="00CF7B4B">
              <w:rPr>
                <w:webHidden/>
              </w:rPr>
              <w:t>10</w:t>
            </w:r>
            <w:r w:rsidR="00C44114" w:rsidRPr="0054409D">
              <w:rPr>
                <w:webHidden/>
              </w:rPr>
              <w:fldChar w:fldCharType="end"/>
            </w:r>
          </w:hyperlink>
        </w:p>
        <w:p w14:paraId="19E01784" w14:textId="48938AC7" w:rsidR="00C44114" w:rsidRPr="0054409D" w:rsidRDefault="001B501F" w:rsidP="0054409D">
          <w:pPr>
            <w:pStyle w:val="TDC2"/>
            <w:rPr>
              <w:rFonts w:ascii="Times New Roman" w:hAnsi="Times New Roman" w:cs="Times New Roman"/>
              <w:noProof/>
              <w:sz w:val="22"/>
              <w:szCs w:val="22"/>
              <w:lang w:val="es-GT" w:eastAsia="es-GT"/>
            </w:rPr>
          </w:pPr>
          <w:hyperlink w:anchor="_Toc32230894" w:history="1">
            <w:r w:rsidR="00C44114" w:rsidRPr="0054409D">
              <w:rPr>
                <w:rStyle w:val="Hipervnculo"/>
                <w:rFonts w:ascii="Times New Roman" w:hAnsi="Times New Roman" w:cs="Times New Roman"/>
                <w:noProof/>
              </w:rPr>
              <w:t>2.1</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Aprobación del presupuesto favorece la ejecución de gasto</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_Toc32230894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10</w:t>
            </w:r>
            <w:r w:rsidR="00C44114" w:rsidRPr="0054409D">
              <w:rPr>
                <w:rFonts w:ascii="Times New Roman" w:hAnsi="Times New Roman" w:cs="Times New Roman"/>
                <w:noProof/>
                <w:webHidden/>
              </w:rPr>
              <w:fldChar w:fldCharType="end"/>
            </w:r>
          </w:hyperlink>
        </w:p>
        <w:p w14:paraId="44F2F5D3" w14:textId="2C4711DF" w:rsidR="00C44114" w:rsidRPr="0054409D" w:rsidRDefault="001B501F" w:rsidP="0054409D">
          <w:pPr>
            <w:pStyle w:val="TDC2"/>
            <w:rPr>
              <w:rFonts w:ascii="Times New Roman" w:hAnsi="Times New Roman" w:cs="Times New Roman"/>
              <w:noProof/>
              <w:sz w:val="22"/>
              <w:szCs w:val="22"/>
              <w:lang w:val="es-GT" w:eastAsia="es-GT"/>
            </w:rPr>
          </w:pPr>
          <w:hyperlink w:anchor="_Toc32230895" w:history="1">
            <w:r w:rsidR="00C44114" w:rsidRPr="0054409D">
              <w:rPr>
                <w:rStyle w:val="Hipervnculo"/>
                <w:rFonts w:ascii="Times New Roman" w:hAnsi="Times New Roman" w:cs="Times New Roman"/>
                <w:noProof/>
              </w:rPr>
              <w:t>2.2</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Repunte de la ejecución de gasto en 2019</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_Toc32230895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10</w:t>
            </w:r>
            <w:r w:rsidR="00C44114" w:rsidRPr="0054409D">
              <w:rPr>
                <w:rFonts w:ascii="Times New Roman" w:hAnsi="Times New Roman" w:cs="Times New Roman"/>
                <w:noProof/>
                <w:webHidden/>
              </w:rPr>
              <w:fldChar w:fldCharType="end"/>
            </w:r>
          </w:hyperlink>
        </w:p>
        <w:p w14:paraId="37CD7572" w14:textId="42599648" w:rsidR="00C44114" w:rsidRPr="0054409D" w:rsidRDefault="001B501F" w:rsidP="0054409D">
          <w:pPr>
            <w:pStyle w:val="TDC2"/>
            <w:rPr>
              <w:rFonts w:ascii="Times New Roman" w:hAnsi="Times New Roman" w:cs="Times New Roman"/>
              <w:noProof/>
              <w:sz w:val="22"/>
              <w:szCs w:val="22"/>
              <w:lang w:val="es-GT" w:eastAsia="es-GT"/>
            </w:rPr>
          </w:pPr>
          <w:hyperlink w:anchor="_Toc32230896" w:history="1">
            <w:r w:rsidR="00C44114" w:rsidRPr="0054409D">
              <w:rPr>
                <w:rStyle w:val="Hipervnculo"/>
                <w:rFonts w:ascii="Times New Roman" w:hAnsi="Times New Roman" w:cs="Times New Roman"/>
                <w:noProof/>
              </w:rPr>
              <w:t>2.3</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Aumento de gastos no esenciales</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_Toc32230896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13</w:t>
            </w:r>
            <w:r w:rsidR="00C44114" w:rsidRPr="0054409D">
              <w:rPr>
                <w:rFonts w:ascii="Times New Roman" w:hAnsi="Times New Roman" w:cs="Times New Roman"/>
                <w:noProof/>
                <w:webHidden/>
              </w:rPr>
              <w:fldChar w:fldCharType="end"/>
            </w:r>
          </w:hyperlink>
        </w:p>
        <w:p w14:paraId="601F6F6D" w14:textId="1CCAB165" w:rsidR="00C44114" w:rsidRPr="0054409D" w:rsidRDefault="001B501F" w:rsidP="0054409D">
          <w:pPr>
            <w:pStyle w:val="TDC2"/>
            <w:rPr>
              <w:rFonts w:ascii="Times New Roman" w:hAnsi="Times New Roman" w:cs="Times New Roman"/>
              <w:noProof/>
              <w:sz w:val="22"/>
              <w:szCs w:val="22"/>
              <w:lang w:val="es-GT" w:eastAsia="es-GT"/>
            </w:rPr>
          </w:pPr>
          <w:hyperlink w:anchor="_Toc32230897" w:history="1">
            <w:r w:rsidR="00C44114" w:rsidRPr="0054409D">
              <w:rPr>
                <w:rStyle w:val="Hipervnculo"/>
                <w:rFonts w:ascii="Times New Roman" w:hAnsi="Times New Roman" w:cs="Times New Roman"/>
                <w:noProof/>
              </w:rPr>
              <w:t>2.4</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Aumento del gasto social se asocia a aumento salarial</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_Toc32230897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14</w:t>
            </w:r>
            <w:r w:rsidR="00C44114" w:rsidRPr="0054409D">
              <w:rPr>
                <w:rFonts w:ascii="Times New Roman" w:hAnsi="Times New Roman" w:cs="Times New Roman"/>
                <w:noProof/>
                <w:webHidden/>
              </w:rPr>
              <w:fldChar w:fldCharType="end"/>
            </w:r>
          </w:hyperlink>
        </w:p>
        <w:p w14:paraId="3102A0B5" w14:textId="675573CF" w:rsidR="00C44114" w:rsidRPr="0054409D" w:rsidRDefault="001B501F" w:rsidP="0054409D">
          <w:pPr>
            <w:pStyle w:val="TDC2"/>
            <w:rPr>
              <w:rFonts w:ascii="Times New Roman" w:hAnsi="Times New Roman" w:cs="Times New Roman"/>
              <w:noProof/>
              <w:sz w:val="22"/>
              <w:szCs w:val="22"/>
              <w:lang w:val="es-GT" w:eastAsia="es-GT"/>
            </w:rPr>
          </w:pPr>
          <w:hyperlink w:anchor="_Toc32230898" w:history="1">
            <w:r w:rsidR="00C44114" w:rsidRPr="0054409D">
              <w:rPr>
                <w:rStyle w:val="Hipervnculo"/>
                <w:rFonts w:ascii="Times New Roman" w:hAnsi="Times New Roman" w:cs="Times New Roman"/>
                <w:noProof/>
              </w:rPr>
              <w:t>2.5</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Ejecución institucional</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_Toc32230898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14</w:t>
            </w:r>
            <w:r w:rsidR="00C44114" w:rsidRPr="0054409D">
              <w:rPr>
                <w:rFonts w:ascii="Times New Roman" w:hAnsi="Times New Roman" w:cs="Times New Roman"/>
                <w:noProof/>
                <w:webHidden/>
              </w:rPr>
              <w:fldChar w:fldCharType="end"/>
            </w:r>
          </w:hyperlink>
        </w:p>
        <w:p w14:paraId="4CDC201C" w14:textId="0394EE1C" w:rsidR="00C44114" w:rsidRPr="0054409D" w:rsidRDefault="001B501F" w:rsidP="0054409D">
          <w:pPr>
            <w:pStyle w:val="TDC2"/>
            <w:rPr>
              <w:rFonts w:ascii="Times New Roman" w:hAnsi="Times New Roman" w:cs="Times New Roman"/>
              <w:noProof/>
              <w:sz w:val="22"/>
              <w:szCs w:val="22"/>
              <w:lang w:val="es-GT" w:eastAsia="es-GT"/>
            </w:rPr>
          </w:pPr>
          <w:hyperlink w:anchor="_Toc32230899" w:history="1">
            <w:r w:rsidR="00C44114" w:rsidRPr="0054409D">
              <w:rPr>
                <w:rStyle w:val="Hipervnculo"/>
                <w:rFonts w:ascii="Times New Roman" w:hAnsi="Times New Roman" w:cs="Times New Roman"/>
                <w:noProof/>
              </w:rPr>
              <w:t>2.6</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Plan de la Alianza para la Prosperidad del Triángulo Norte –PAPTN- pierde protagonismo en 2019</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_Toc32230899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15</w:t>
            </w:r>
            <w:r w:rsidR="00C44114" w:rsidRPr="0054409D">
              <w:rPr>
                <w:rFonts w:ascii="Times New Roman" w:hAnsi="Times New Roman" w:cs="Times New Roman"/>
                <w:noProof/>
                <w:webHidden/>
              </w:rPr>
              <w:fldChar w:fldCharType="end"/>
            </w:r>
          </w:hyperlink>
        </w:p>
        <w:p w14:paraId="33C8C2A4" w14:textId="4633F4C3" w:rsidR="00C44114" w:rsidRPr="0054409D" w:rsidRDefault="001B501F" w:rsidP="0054409D">
          <w:pPr>
            <w:pStyle w:val="TDC3"/>
            <w:rPr>
              <w:rFonts w:ascii="Times New Roman" w:hAnsi="Times New Roman" w:cs="Times New Roman"/>
              <w:noProof/>
              <w:sz w:val="22"/>
              <w:szCs w:val="22"/>
              <w:lang w:val="es-GT" w:eastAsia="es-GT"/>
            </w:rPr>
          </w:pPr>
          <w:hyperlink w:anchor="_Toc32230907" w:history="1">
            <w:r w:rsidR="00C44114" w:rsidRPr="0054409D">
              <w:rPr>
                <w:rStyle w:val="Hipervnculo"/>
                <w:rFonts w:ascii="Times New Roman" w:hAnsi="Times New Roman" w:cs="Times New Roman"/>
                <w:noProof/>
                <w:lang w:val="es-MX"/>
              </w:rPr>
              <w:t>2.6.1</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lang w:val="es-MX"/>
              </w:rPr>
              <w:t>Plan de Desarrollo Integral para El Salvador, Guatemala, Honduras y el sur-sureste de México –PDI-</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_Toc32230907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16</w:t>
            </w:r>
            <w:r w:rsidR="00C44114" w:rsidRPr="0054409D">
              <w:rPr>
                <w:rFonts w:ascii="Times New Roman" w:hAnsi="Times New Roman" w:cs="Times New Roman"/>
                <w:noProof/>
                <w:webHidden/>
              </w:rPr>
              <w:fldChar w:fldCharType="end"/>
            </w:r>
          </w:hyperlink>
        </w:p>
        <w:p w14:paraId="37DFD9B5" w14:textId="4079C6D2" w:rsidR="00C44114" w:rsidRPr="0054409D" w:rsidRDefault="001B501F" w:rsidP="0054409D">
          <w:pPr>
            <w:pStyle w:val="TDC3"/>
            <w:rPr>
              <w:rFonts w:ascii="Times New Roman" w:hAnsi="Times New Roman" w:cs="Times New Roman"/>
              <w:noProof/>
              <w:sz w:val="22"/>
              <w:szCs w:val="22"/>
              <w:lang w:val="es-GT" w:eastAsia="es-GT"/>
            </w:rPr>
          </w:pPr>
          <w:hyperlink w:anchor="_Toc32230908" w:history="1">
            <w:r w:rsidR="00C44114" w:rsidRPr="0054409D">
              <w:rPr>
                <w:rStyle w:val="Hipervnculo"/>
                <w:rFonts w:ascii="Times New Roman" w:hAnsi="Times New Roman" w:cs="Times New Roman"/>
                <w:noProof/>
                <w:lang w:val="es-MX"/>
              </w:rPr>
              <w:t>2.6.2</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lang w:val="es-MX"/>
              </w:rPr>
              <w:t>América Crece</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_Toc32230908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17</w:t>
            </w:r>
            <w:r w:rsidR="00C44114" w:rsidRPr="0054409D">
              <w:rPr>
                <w:rFonts w:ascii="Times New Roman" w:hAnsi="Times New Roman" w:cs="Times New Roman"/>
                <w:noProof/>
                <w:webHidden/>
              </w:rPr>
              <w:fldChar w:fldCharType="end"/>
            </w:r>
          </w:hyperlink>
        </w:p>
        <w:p w14:paraId="21AFBD36" w14:textId="4D47B900" w:rsidR="00C44114" w:rsidRPr="0054409D" w:rsidRDefault="001B501F" w:rsidP="0054409D">
          <w:pPr>
            <w:pStyle w:val="TDC1"/>
            <w:rPr>
              <w:rFonts w:eastAsiaTheme="minorEastAsia"/>
              <w:szCs w:val="22"/>
              <w:lang w:val="es-GT" w:eastAsia="es-GT"/>
            </w:rPr>
          </w:pPr>
          <w:hyperlink w:anchor="_Toc32230909" w:history="1">
            <w:r w:rsidR="00C44114" w:rsidRPr="0054409D">
              <w:rPr>
                <w:rStyle w:val="Hipervnculo"/>
                <w:lang w:val="es-MX"/>
              </w:rPr>
              <w:t>III.</w:t>
            </w:r>
            <w:r w:rsidR="00C44114" w:rsidRPr="0054409D">
              <w:rPr>
                <w:rFonts w:eastAsiaTheme="minorEastAsia"/>
                <w:szCs w:val="22"/>
                <w:lang w:val="es-GT" w:eastAsia="es-GT"/>
              </w:rPr>
              <w:tab/>
            </w:r>
            <w:r w:rsidR="00C44114" w:rsidRPr="0054409D">
              <w:rPr>
                <w:rStyle w:val="Hipervnculo"/>
                <w:lang w:val="es-MX"/>
              </w:rPr>
              <w:t>Resultado Fiscal y Financiamiento</w:t>
            </w:r>
            <w:r w:rsidR="00C44114" w:rsidRPr="0054409D">
              <w:rPr>
                <w:webHidden/>
              </w:rPr>
              <w:tab/>
            </w:r>
            <w:r w:rsidR="00C44114" w:rsidRPr="0054409D">
              <w:rPr>
                <w:webHidden/>
              </w:rPr>
              <w:fldChar w:fldCharType="begin"/>
            </w:r>
            <w:r w:rsidR="00C44114" w:rsidRPr="0054409D">
              <w:rPr>
                <w:webHidden/>
              </w:rPr>
              <w:instrText xml:space="preserve"> PAGEREF _Toc32230909 \h </w:instrText>
            </w:r>
            <w:r w:rsidR="00C44114" w:rsidRPr="0054409D">
              <w:rPr>
                <w:webHidden/>
              </w:rPr>
            </w:r>
            <w:r w:rsidR="00C44114" w:rsidRPr="0054409D">
              <w:rPr>
                <w:webHidden/>
              </w:rPr>
              <w:fldChar w:fldCharType="separate"/>
            </w:r>
            <w:r w:rsidR="00CF7B4B">
              <w:rPr>
                <w:webHidden/>
              </w:rPr>
              <w:t>17</w:t>
            </w:r>
            <w:r w:rsidR="00C44114" w:rsidRPr="0054409D">
              <w:rPr>
                <w:webHidden/>
              </w:rPr>
              <w:fldChar w:fldCharType="end"/>
            </w:r>
          </w:hyperlink>
        </w:p>
        <w:p w14:paraId="6DFA8CE4" w14:textId="7D4C92C9" w:rsidR="00C44114" w:rsidRPr="0054409D" w:rsidRDefault="001B501F" w:rsidP="0054409D">
          <w:pPr>
            <w:pStyle w:val="TDC2"/>
            <w:rPr>
              <w:rFonts w:ascii="Times New Roman" w:hAnsi="Times New Roman" w:cs="Times New Roman"/>
              <w:noProof/>
              <w:sz w:val="22"/>
              <w:szCs w:val="22"/>
              <w:lang w:val="es-GT" w:eastAsia="es-GT"/>
            </w:rPr>
          </w:pPr>
          <w:hyperlink w:anchor="_Toc32230911" w:history="1">
            <w:r w:rsidR="00C44114" w:rsidRPr="0054409D">
              <w:rPr>
                <w:rStyle w:val="Hipervnculo"/>
                <w:rFonts w:ascii="Times New Roman" w:hAnsi="Times New Roman" w:cs="Times New Roman"/>
                <w:noProof/>
              </w:rPr>
              <w:t>3.1</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Aumento del déficit fiscal financiado principalmente con Bonos del Tesoro</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_Toc32230911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17</w:t>
            </w:r>
            <w:r w:rsidR="00C44114" w:rsidRPr="0054409D">
              <w:rPr>
                <w:rFonts w:ascii="Times New Roman" w:hAnsi="Times New Roman" w:cs="Times New Roman"/>
                <w:noProof/>
                <w:webHidden/>
              </w:rPr>
              <w:fldChar w:fldCharType="end"/>
            </w:r>
          </w:hyperlink>
        </w:p>
        <w:p w14:paraId="3FFC0396" w14:textId="35FD7025" w:rsidR="00C44114" w:rsidRPr="0054409D" w:rsidRDefault="001B501F" w:rsidP="0054409D">
          <w:pPr>
            <w:pStyle w:val="TDC2"/>
            <w:rPr>
              <w:rFonts w:ascii="Times New Roman" w:hAnsi="Times New Roman" w:cs="Times New Roman"/>
              <w:noProof/>
              <w:sz w:val="22"/>
              <w:szCs w:val="22"/>
              <w:lang w:val="es-GT" w:eastAsia="es-GT"/>
            </w:rPr>
          </w:pPr>
          <w:hyperlink w:anchor="_Toc32230912" w:history="1">
            <w:r w:rsidR="00C44114" w:rsidRPr="0054409D">
              <w:rPr>
                <w:rStyle w:val="Hipervnculo"/>
                <w:rFonts w:ascii="Times New Roman" w:hAnsi="Times New Roman" w:cs="Times New Roman"/>
                <w:noProof/>
              </w:rPr>
              <w:t>3.2</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Aumento en la deuda pública en niveles sostenibles</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_Toc32230912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20</w:t>
            </w:r>
            <w:r w:rsidR="00C44114" w:rsidRPr="0054409D">
              <w:rPr>
                <w:rFonts w:ascii="Times New Roman" w:hAnsi="Times New Roman" w:cs="Times New Roman"/>
                <w:noProof/>
                <w:webHidden/>
              </w:rPr>
              <w:fldChar w:fldCharType="end"/>
            </w:r>
          </w:hyperlink>
        </w:p>
        <w:p w14:paraId="4222559A" w14:textId="3885DE74" w:rsidR="00C44114" w:rsidRPr="0054409D" w:rsidRDefault="001B501F" w:rsidP="0054409D">
          <w:pPr>
            <w:pStyle w:val="TDC1"/>
            <w:rPr>
              <w:rFonts w:eastAsiaTheme="minorEastAsia"/>
              <w:szCs w:val="22"/>
              <w:lang w:val="es-GT" w:eastAsia="es-GT"/>
            </w:rPr>
          </w:pPr>
          <w:hyperlink w:anchor="_Toc32230913" w:history="1">
            <w:r w:rsidR="00C44114" w:rsidRPr="0054409D">
              <w:rPr>
                <w:rStyle w:val="Hipervnculo"/>
              </w:rPr>
              <w:t>IV.</w:t>
            </w:r>
            <w:r w:rsidR="00C44114" w:rsidRPr="0054409D">
              <w:rPr>
                <w:rFonts w:eastAsiaTheme="minorEastAsia"/>
                <w:szCs w:val="22"/>
                <w:lang w:val="es-GT" w:eastAsia="es-GT"/>
              </w:rPr>
              <w:tab/>
            </w:r>
            <w:r w:rsidR="00C44114" w:rsidRPr="0054409D">
              <w:rPr>
                <w:rStyle w:val="Hipervnculo"/>
              </w:rPr>
              <w:t>Apéndice contexto macroeconómico</w:t>
            </w:r>
            <w:r w:rsidR="00C44114" w:rsidRPr="0054409D">
              <w:rPr>
                <w:webHidden/>
              </w:rPr>
              <w:tab/>
            </w:r>
            <w:r w:rsidR="00C44114" w:rsidRPr="0054409D">
              <w:rPr>
                <w:webHidden/>
              </w:rPr>
              <w:fldChar w:fldCharType="begin"/>
            </w:r>
            <w:r w:rsidR="00C44114" w:rsidRPr="0054409D">
              <w:rPr>
                <w:webHidden/>
              </w:rPr>
              <w:instrText xml:space="preserve"> PAGEREF _Toc32230913 \h </w:instrText>
            </w:r>
            <w:r w:rsidR="00C44114" w:rsidRPr="0054409D">
              <w:rPr>
                <w:webHidden/>
              </w:rPr>
            </w:r>
            <w:r w:rsidR="00C44114" w:rsidRPr="0054409D">
              <w:rPr>
                <w:webHidden/>
              </w:rPr>
              <w:fldChar w:fldCharType="separate"/>
            </w:r>
            <w:r w:rsidR="00CF7B4B">
              <w:rPr>
                <w:webHidden/>
              </w:rPr>
              <w:t>20</w:t>
            </w:r>
            <w:r w:rsidR="00C44114" w:rsidRPr="0054409D">
              <w:rPr>
                <w:webHidden/>
              </w:rPr>
              <w:fldChar w:fldCharType="end"/>
            </w:r>
          </w:hyperlink>
        </w:p>
        <w:p w14:paraId="3A3AD30E" w14:textId="49787149" w:rsidR="00C44114" w:rsidRPr="0054409D" w:rsidRDefault="001B501F" w:rsidP="0054409D">
          <w:pPr>
            <w:pStyle w:val="TDC2"/>
            <w:rPr>
              <w:rFonts w:ascii="Times New Roman" w:hAnsi="Times New Roman" w:cs="Times New Roman"/>
              <w:noProof/>
              <w:sz w:val="22"/>
              <w:szCs w:val="22"/>
              <w:lang w:val="es-GT" w:eastAsia="es-GT"/>
            </w:rPr>
          </w:pPr>
          <w:hyperlink w:anchor="_Toc32230918" w:history="1">
            <w:r w:rsidR="00C44114" w:rsidRPr="0054409D">
              <w:rPr>
                <w:rStyle w:val="Hipervnculo"/>
                <w:rFonts w:ascii="Times New Roman" w:hAnsi="Times New Roman" w:cs="Times New Roman"/>
                <w:noProof/>
              </w:rPr>
              <w:t>4.1</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Entorno Macroeconómico Internacional</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_Toc32230918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20</w:t>
            </w:r>
            <w:r w:rsidR="00C44114" w:rsidRPr="0054409D">
              <w:rPr>
                <w:rFonts w:ascii="Times New Roman" w:hAnsi="Times New Roman" w:cs="Times New Roman"/>
                <w:noProof/>
                <w:webHidden/>
              </w:rPr>
              <w:fldChar w:fldCharType="end"/>
            </w:r>
          </w:hyperlink>
        </w:p>
        <w:p w14:paraId="7DBF9F51" w14:textId="6798ABFD" w:rsidR="00C44114" w:rsidRPr="0054409D" w:rsidRDefault="001B501F" w:rsidP="0054409D">
          <w:pPr>
            <w:pStyle w:val="TDC2"/>
            <w:rPr>
              <w:rFonts w:ascii="Times New Roman" w:hAnsi="Times New Roman" w:cs="Times New Roman"/>
              <w:noProof/>
              <w:sz w:val="22"/>
              <w:szCs w:val="22"/>
              <w:lang w:val="es-GT" w:eastAsia="es-GT"/>
            </w:rPr>
          </w:pPr>
          <w:hyperlink w:anchor="_Toc32230919" w:history="1">
            <w:r w:rsidR="00C44114" w:rsidRPr="0054409D">
              <w:rPr>
                <w:rStyle w:val="Hipervnculo"/>
                <w:rFonts w:ascii="Times New Roman" w:hAnsi="Times New Roman" w:cs="Times New Roman"/>
                <w:noProof/>
              </w:rPr>
              <w:t>4.2</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Desempeño económico de los principales socios comerciales</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_Toc32230919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21</w:t>
            </w:r>
            <w:r w:rsidR="00C44114" w:rsidRPr="0054409D">
              <w:rPr>
                <w:rFonts w:ascii="Times New Roman" w:hAnsi="Times New Roman" w:cs="Times New Roman"/>
                <w:noProof/>
                <w:webHidden/>
              </w:rPr>
              <w:fldChar w:fldCharType="end"/>
            </w:r>
          </w:hyperlink>
        </w:p>
        <w:p w14:paraId="3B4FE175" w14:textId="291C80BE" w:rsidR="00C44114" w:rsidRPr="0054409D" w:rsidRDefault="001B501F" w:rsidP="0054409D">
          <w:pPr>
            <w:pStyle w:val="TDC2"/>
            <w:rPr>
              <w:rFonts w:ascii="Times New Roman" w:hAnsi="Times New Roman" w:cs="Times New Roman"/>
              <w:noProof/>
              <w:sz w:val="22"/>
              <w:szCs w:val="22"/>
              <w:lang w:val="es-GT" w:eastAsia="es-GT"/>
            </w:rPr>
          </w:pPr>
          <w:hyperlink w:anchor="_Toc32230920" w:history="1">
            <w:r w:rsidR="00C44114" w:rsidRPr="0054409D">
              <w:rPr>
                <w:rStyle w:val="Hipervnculo"/>
                <w:rFonts w:ascii="Times New Roman" w:hAnsi="Times New Roman" w:cs="Times New Roman"/>
                <w:noProof/>
              </w:rPr>
              <w:t>4.3</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Principales indicadores Macroeconómicos y Fiscales de la región</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_Toc32230920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22</w:t>
            </w:r>
            <w:r w:rsidR="00C44114" w:rsidRPr="0054409D">
              <w:rPr>
                <w:rFonts w:ascii="Times New Roman" w:hAnsi="Times New Roman" w:cs="Times New Roman"/>
                <w:noProof/>
                <w:webHidden/>
              </w:rPr>
              <w:fldChar w:fldCharType="end"/>
            </w:r>
          </w:hyperlink>
        </w:p>
        <w:p w14:paraId="0289293D" w14:textId="683E1381" w:rsidR="00C44114" w:rsidRPr="0054409D" w:rsidRDefault="001B501F" w:rsidP="0054409D">
          <w:pPr>
            <w:pStyle w:val="TDC2"/>
            <w:rPr>
              <w:rFonts w:ascii="Times New Roman" w:hAnsi="Times New Roman" w:cs="Times New Roman"/>
              <w:noProof/>
              <w:sz w:val="22"/>
              <w:szCs w:val="22"/>
              <w:lang w:val="es-GT" w:eastAsia="es-GT"/>
            </w:rPr>
          </w:pPr>
          <w:hyperlink w:anchor="_Toc32230921" w:history="1">
            <w:r w:rsidR="00C44114" w:rsidRPr="0054409D">
              <w:rPr>
                <w:rStyle w:val="Hipervnculo"/>
                <w:rFonts w:ascii="Times New Roman" w:hAnsi="Times New Roman" w:cs="Times New Roman"/>
                <w:noProof/>
              </w:rPr>
              <w:t>4.4</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Entorno macroeconómico Nacional</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_Toc32230921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23</w:t>
            </w:r>
            <w:r w:rsidR="00C44114" w:rsidRPr="0054409D">
              <w:rPr>
                <w:rFonts w:ascii="Times New Roman" w:hAnsi="Times New Roman" w:cs="Times New Roman"/>
                <w:noProof/>
                <w:webHidden/>
              </w:rPr>
              <w:fldChar w:fldCharType="end"/>
            </w:r>
          </w:hyperlink>
        </w:p>
        <w:p w14:paraId="62FFB391" w14:textId="1AFC97B0" w:rsidR="00C44114" w:rsidRPr="0054409D" w:rsidRDefault="001B501F" w:rsidP="0054409D">
          <w:pPr>
            <w:pStyle w:val="TDC3"/>
            <w:rPr>
              <w:rFonts w:ascii="Times New Roman" w:hAnsi="Times New Roman" w:cs="Times New Roman"/>
              <w:noProof/>
              <w:sz w:val="22"/>
              <w:szCs w:val="22"/>
              <w:lang w:val="es-GT" w:eastAsia="es-GT"/>
            </w:rPr>
          </w:pPr>
          <w:hyperlink w:anchor="_Toc32230930" w:history="1">
            <w:r w:rsidR="00C44114" w:rsidRPr="0054409D">
              <w:rPr>
                <w:rStyle w:val="Hipervnculo"/>
                <w:rFonts w:ascii="Times New Roman" w:hAnsi="Times New Roman" w:cs="Times New Roman"/>
                <w:noProof/>
              </w:rPr>
              <w:t>4.4.1.</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Economía alcanza su nivel potencial</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_Toc32230930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24</w:t>
            </w:r>
            <w:r w:rsidR="00C44114" w:rsidRPr="0054409D">
              <w:rPr>
                <w:rFonts w:ascii="Times New Roman" w:hAnsi="Times New Roman" w:cs="Times New Roman"/>
                <w:noProof/>
                <w:webHidden/>
              </w:rPr>
              <w:fldChar w:fldCharType="end"/>
            </w:r>
          </w:hyperlink>
        </w:p>
        <w:p w14:paraId="0698BA8B" w14:textId="1CB42A3D" w:rsidR="00C44114" w:rsidRPr="0054409D" w:rsidRDefault="001B501F" w:rsidP="0054409D">
          <w:pPr>
            <w:pStyle w:val="TDC3"/>
            <w:rPr>
              <w:rFonts w:ascii="Times New Roman" w:hAnsi="Times New Roman" w:cs="Times New Roman"/>
              <w:noProof/>
              <w:sz w:val="22"/>
              <w:szCs w:val="22"/>
              <w:lang w:val="es-GT" w:eastAsia="es-GT"/>
            </w:rPr>
          </w:pPr>
          <w:hyperlink w:anchor="_Toc32230931" w:history="1">
            <w:r w:rsidR="00C44114" w:rsidRPr="0054409D">
              <w:rPr>
                <w:rStyle w:val="Hipervnculo"/>
                <w:rFonts w:ascii="Times New Roman" w:hAnsi="Times New Roman" w:cs="Times New Roman"/>
                <w:noProof/>
              </w:rPr>
              <w:t>4.4.2.</w:t>
            </w:r>
            <w:r w:rsidR="00C44114" w:rsidRPr="0054409D">
              <w:rPr>
                <w:rFonts w:ascii="Times New Roman" w:hAnsi="Times New Roman" w:cs="Times New Roman"/>
                <w:noProof/>
                <w:sz w:val="22"/>
                <w:szCs w:val="22"/>
                <w:lang w:val="es-GT" w:eastAsia="es-GT"/>
              </w:rPr>
              <w:tab/>
            </w:r>
            <w:r w:rsidR="00C44114" w:rsidRPr="0054409D">
              <w:rPr>
                <w:rStyle w:val="Hipervnculo"/>
                <w:rFonts w:ascii="Times New Roman" w:hAnsi="Times New Roman" w:cs="Times New Roman"/>
                <w:noProof/>
              </w:rPr>
              <w:t>Ralentización del comercio exterior</w:t>
            </w:r>
            <w:r w:rsidR="00C44114" w:rsidRPr="0054409D">
              <w:rPr>
                <w:rFonts w:ascii="Times New Roman" w:hAnsi="Times New Roman" w:cs="Times New Roman"/>
                <w:noProof/>
                <w:webHidden/>
              </w:rPr>
              <w:tab/>
            </w:r>
            <w:r w:rsidR="00C44114" w:rsidRPr="0054409D">
              <w:rPr>
                <w:rFonts w:ascii="Times New Roman" w:hAnsi="Times New Roman" w:cs="Times New Roman"/>
                <w:noProof/>
                <w:webHidden/>
              </w:rPr>
              <w:fldChar w:fldCharType="begin"/>
            </w:r>
            <w:r w:rsidR="00C44114" w:rsidRPr="0054409D">
              <w:rPr>
                <w:rFonts w:ascii="Times New Roman" w:hAnsi="Times New Roman" w:cs="Times New Roman"/>
                <w:noProof/>
                <w:webHidden/>
              </w:rPr>
              <w:instrText xml:space="preserve"> PAGEREF _Toc32230931 \h </w:instrText>
            </w:r>
            <w:r w:rsidR="00C44114" w:rsidRPr="0054409D">
              <w:rPr>
                <w:rFonts w:ascii="Times New Roman" w:hAnsi="Times New Roman" w:cs="Times New Roman"/>
                <w:noProof/>
                <w:webHidden/>
              </w:rPr>
            </w:r>
            <w:r w:rsidR="00C44114" w:rsidRPr="0054409D">
              <w:rPr>
                <w:rFonts w:ascii="Times New Roman" w:hAnsi="Times New Roman" w:cs="Times New Roman"/>
                <w:noProof/>
                <w:webHidden/>
              </w:rPr>
              <w:fldChar w:fldCharType="separate"/>
            </w:r>
            <w:r w:rsidR="00CF7B4B">
              <w:rPr>
                <w:rFonts w:ascii="Times New Roman" w:hAnsi="Times New Roman" w:cs="Times New Roman"/>
                <w:noProof/>
                <w:webHidden/>
              </w:rPr>
              <w:t>25</w:t>
            </w:r>
            <w:r w:rsidR="00C44114" w:rsidRPr="0054409D">
              <w:rPr>
                <w:rFonts w:ascii="Times New Roman" w:hAnsi="Times New Roman" w:cs="Times New Roman"/>
                <w:noProof/>
                <w:webHidden/>
              </w:rPr>
              <w:fldChar w:fldCharType="end"/>
            </w:r>
          </w:hyperlink>
        </w:p>
        <w:p w14:paraId="0DEFDA39" w14:textId="59698514" w:rsidR="0032588B" w:rsidRPr="0054409D" w:rsidRDefault="0032588B" w:rsidP="000D58D6">
          <w:pPr>
            <w:spacing w:line="276" w:lineRule="auto"/>
            <w:rPr>
              <w:rFonts w:ascii="Times New Roman" w:hAnsi="Times New Roman" w:cs="Times New Roman"/>
              <w:color w:val="FF0000"/>
            </w:rPr>
          </w:pPr>
          <w:r w:rsidRPr="0054409D">
            <w:rPr>
              <w:rFonts w:ascii="Times New Roman" w:hAnsi="Times New Roman" w:cs="Times New Roman"/>
              <w:bCs/>
              <w:color w:val="FF0000"/>
              <w:lang w:val="es-ES"/>
            </w:rPr>
            <w:fldChar w:fldCharType="end"/>
          </w:r>
        </w:p>
      </w:sdtContent>
    </w:sdt>
    <w:p w14:paraId="459382C4" w14:textId="77777777" w:rsidR="0032588B" w:rsidRPr="00113A1E" w:rsidRDefault="0032588B" w:rsidP="0032588B">
      <w:pPr>
        <w:jc w:val="both"/>
        <w:outlineLvl w:val="0"/>
        <w:rPr>
          <w:rFonts w:ascii="Times New Roman" w:eastAsiaTheme="majorEastAsia" w:hAnsi="Times New Roman" w:cs="Times New Roman"/>
          <w:bCs/>
          <w:color w:val="FF0000"/>
          <w:szCs w:val="26"/>
        </w:rPr>
      </w:pPr>
    </w:p>
    <w:p w14:paraId="470C6CAC" w14:textId="77777777" w:rsidR="0032588B" w:rsidRPr="00113A1E" w:rsidRDefault="0032588B" w:rsidP="0032588B">
      <w:pPr>
        <w:pStyle w:val="Prrafodelista"/>
        <w:ind w:left="709"/>
        <w:jc w:val="both"/>
        <w:outlineLvl w:val="0"/>
        <w:rPr>
          <w:rFonts w:ascii="Times New Roman" w:eastAsiaTheme="majorEastAsia" w:hAnsi="Times New Roman" w:cs="Times New Roman"/>
          <w:bCs/>
          <w:color w:val="FF0000"/>
          <w:sz w:val="24"/>
          <w:szCs w:val="26"/>
          <w:lang w:val="es-ES_tradnl" w:eastAsia="es-ES"/>
        </w:rPr>
      </w:pPr>
    </w:p>
    <w:p w14:paraId="42B1E9A9" w14:textId="77777777" w:rsidR="0032588B" w:rsidRPr="00113A1E" w:rsidRDefault="0032588B" w:rsidP="0032588B">
      <w:pPr>
        <w:pStyle w:val="Prrafodelista"/>
        <w:ind w:left="709"/>
        <w:jc w:val="both"/>
        <w:outlineLvl w:val="0"/>
        <w:rPr>
          <w:rFonts w:ascii="Times New Roman" w:eastAsiaTheme="majorEastAsia" w:hAnsi="Times New Roman" w:cs="Times New Roman"/>
          <w:bCs/>
          <w:color w:val="FF0000"/>
          <w:sz w:val="24"/>
          <w:szCs w:val="26"/>
          <w:lang w:val="es-ES_tradnl" w:eastAsia="es-ES"/>
        </w:rPr>
      </w:pPr>
    </w:p>
    <w:p w14:paraId="3E5DD6CE" w14:textId="77777777" w:rsidR="00DD1859" w:rsidRDefault="00DD1859" w:rsidP="0032588B">
      <w:pPr>
        <w:pStyle w:val="Prrafodelista"/>
        <w:ind w:left="709"/>
        <w:jc w:val="both"/>
        <w:outlineLvl w:val="0"/>
        <w:rPr>
          <w:rFonts w:ascii="Times New Roman" w:eastAsiaTheme="majorEastAsia" w:hAnsi="Times New Roman" w:cs="Times New Roman"/>
          <w:bCs/>
          <w:color w:val="FF0000"/>
          <w:sz w:val="24"/>
          <w:szCs w:val="26"/>
          <w:lang w:val="es-ES_tradnl" w:eastAsia="es-ES"/>
        </w:rPr>
      </w:pPr>
    </w:p>
    <w:p w14:paraId="31067195" w14:textId="77777777" w:rsidR="00795274" w:rsidRDefault="00795274" w:rsidP="0032588B">
      <w:pPr>
        <w:pStyle w:val="Prrafodelista"/>
        <w:ind w:left="709"/>
        <w:jc w:val="both"/>
        <w:outlineLvl w:val="0"/>
        <w:rPr>
          <w:rFonts w:ascii="Times New Roman" w:eastAsiaTheme="majorEastAsia" w:hAnsi="Times New Roman" w:cs="Times New Roman"/>
          <w:bCs/>
          <w:color w:val="FF0000"/>
          <w:sz w:val="24"/>
          <w:szCs w:val="26"/>
          <w:lang w:val="es-ES_tradnl" w:eastAsia="es-ES"/>
        </w:rPr>
      </w:pPr>
    </w:p>
    <w:p w14:paraId="5F402550" w14:textId="77777777" w:rsidR="00795274" w:rsidRPr="00113A1E" w:rsidRDefault="00795274" w:rsidP="0032588B">
      <w:pPr>
        <w:pStyle w:val="Prrafodelista"/>
        <w:ind w:left="709"/>
        <w:jc w:val="both"/>
        <w:outlineLvl w:val="0"/>
        <w:rPr>
          <w:rFonts w:ascii="Times New Roman" w:eastAsiaTheme="majorEastAsia" w:hAnsi="Times New Roman" w:cs="Times New Roman"/>
          <w:bCs/>
          <w:color w:val="FF0000"/>
          <w:sz w:val="24"/>
          <w:szCs w:val="26"/>
          <w:lang w:val="es-ES_tradnl" w:eastAsia="es-ES"/>
        </w:rPr>
      </w:pPr>
    </w:p>
    <w:p w14:paraId="3AE45324" w14:textId="77777777" w:rsidR="00DD1859" w:rsidRPr="00113A1E" w:rsidRDefault="00DD1859" w:rsidP="0032588B">
      <w:pPr>
        <w:pStyle w:val="Prrafodelista"/>
        <w:ind w:left="709"/>
        <w:jc w:val="both"/>
        <w:outlineLvl w:val="0"/>
        <w:rPr>
          <w:rFonts w:ascii="Times New Roman" w:eastAsiaTheme="majorEastAsia" w:hAnsi="Times New Roman" w:cs="Times New Roman"/>
          <w:bCs/>
          <w:color w:val="FF0000"/>
          <w:sz w:val="24"/>
          <w:szCs w:val="26"/>
          <w:lang w:val="es-ES_tradnl" w:eastAsia="es-ES"/>
        </w:rPr>
      </w:pPr>
    </w:p>
    <w:p w14:paraId="64566730" w14:textId="77777777" w:rsidR="00DD1859" w:rsidRPr="006907C5" w:rsidRDefault="00DD1859" w:rsidP="00DD1859">
      <w:pPr>
        <w:pStyle w:val="Prrafodelista"/>
        <w:ind w:left="0"/>
        <w:jc w:val="both"/>
        <w:outlineLvl w:val="0"/>
        <w:rPr>
          <w:rFonts w:ascii="Times New Roman" w:eastAsiaTheme="majorEastAsia" w:hAnsi="Times New Roman" w:cs="Times New Roman"/>
          <w:b/>
          <w:bCs/>
          <w:sz w:val="24"/>
          <w:szCs w:val="26"/>
          <w:lang w:val="es-ES_tradnl" w:eastAsia="es-ES"/>
        </w:rPr>
      </w:pPr>
      <w:bookmarkStart w:id="3" w:name="_Toc32230878"/>
      <w:r w:rsidRPr="006907C5">
        <w:rPr>
          <w:rFonts w:ascii="Times New Roman" w:eastAsiaTheme="majorEastAsia" w:hAnsi="Times New Roman" w:cs="Times New Roman"/>
          <w:b/>
          <w:bCs/>
          <w:sz w:val="24"/>
          <w:szCs w:val="26"/>
          <w:lang w:val="es-ES_tradnl" w:eastAsia="es-ES"/>
        </w:rPr>
        <w:t>Introducción</w:t>
      </w:r>
      <w:bookmarkEnd w:id="3"/>
    </w:p>
    <w:p w14:paraId="61C197D8" w14:textId="77777777" w:rsidR="00DD1859" w:rsidRPr="00113A1E" w:rsidRDefault="00DD1859" w:rsidP="00DD1859">
      <w:pPr>
        <w:pStyle w:val="Prrafodelista"/>
        <w:ind w:left="709"/>
        <w:jc w:val="both"/>
        <w:outlineLvl w:val="0"/>
        <w:rPr>
          <w:rFonts w:ascii="Times New Roman" w:eastAsiaTheme="majorEastAsia" w:hAnsi="Times New Roman" w:cs="Times New Roman"/>
          <w:b/>
          <w:bCs/>
          <w:color w:val="FF0000"/>
          <w:sz w:val="24"/>
          <w:szCs w:val="26"/>
          <w:lang w:val="es-ES_tradnl" w:eastAsia="es-ES"/>
        </w:rPr>
      </w:pPr>
    </w:p>
    <w:p w14:paraId="5AEB1987"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083F24A4" w14:textId="77777777" w:rsidR="00E14CCD" w:rsidRPr="00D23E26" w:rsidRDefault="00E14CCD" w:rsidP="00E14CCD">
      <w:pPr>
        <w:jc w:val="both"/>
        <w:rPr>
          <w:rFonts w:ascii="Times New Roman" w:hAnsi="Times New Roman" w:cs="Times New Roman"/>
          <w:sz w:val="22"/>
          <w:lang w:val="es-MX"/>
        </w:rPr>
      </w:pPr>
      <w:r w:rsidRPr="00D23E26">
        <w:rPr>
          <w:rFonts w:ascii="Times New Roman" w:hAnsi="Times New Roman" w:cs="Times New Roman"/>
          <w:sz w:val="22"/>
          <w:lang w:val="es-MX"/>
        </w:rPr>
        <w:t>La Dirección de Análisis y Política Fiscal del Ministerio de Finanzas Públicas</w:t>
      </w:r>
      <w:r w:rsidR="00F35C6D">
        <w:rPr>
          <w:rFonts w:ascii="Times New Roman" w:hAnsi="Times New Roman" w:cs="Times New Roman"/>
          <w:sz w:val="22"/>
          <w:lang w:val="es-MX"/>
        </w:rPr>
        <w:t>,</w:t>
      </w:r>
      <w:r w:rsidRPr="00D23E26">
        <w:rPr>
          <w:rFonts w:ascii="Times New Roman" w:hAnsi="Times New Roman" w:cs="Times New Roman"/>
          <w:sz w:val="22"/>
          <w:lang w:val="es-MX"/>
        </w:rPr>
        <w:t xml:space="preserve"> conforme el Acuerdo Gubernativo No. 118-2018, Reglamento Orgánico del Ministerio de Finanzas Públicas, es la dependencia responsable de la formulación y seguimiento de la política fiscal, así como de concentrar y proveer información de índole fiscal, mediante análisis económicos y fiscales (Artículo 54).  </w:t>
      </w:r>
      <w:r w:rsidR="00F4141C">
        <w:rPr>
          <w:rFonts w:ascii="Times New Roman" w:hAnsi="Times New Roman" w:cs="Times New Roman"/>
          <w:sz w:val="22"/>
          <w:lang w:val="es-MX"/>
        </w:rPr>
        <w:t xml:space="preserve">El inciso 4 de ese mismo artículo, indica: “4) Elaborar informes periódicos y extraordinarios sobre los resultados de la política </w:t>
      </w:r>
      <w:r w:rsidR="00C7496B">
        <w:rPr>
          <w:rFonts w:ascii="Times New Roman" w:hAnsi="Times New Roman" w:cs="Times New Roman"/>
          <w:sz w:val="22"/>
          <w:lang w:val="es-MX"/>
        </w:rPr>
        <w:t>fiscal…</w:t>
      </w:r>
      <w:r w:rsidR="009A707D">
        <w:rPr>
          <w:rFonts w:ascii="Times New Roman" w:hAnsi="Times New Roman" w:cs="Times New Roman"/>
          <w:sz w:val="22"/>
          <w:lang w:val="es-MX"/>
        </w:rPr>
        <w:t>”</w:t>
      </w:r>
      <w:r w:rsidR="00F4141C">
        <w:rPr>
          <w:rFonts w:ascii="Times New Roman" w:hAnsi="Times New Roman" w:cs="Times New Roman"/>
          <w:sz w:val="22"/>
          <w:lang w:val="es-MX"/>
        </w:rPr>
        <w:t xml:space="preserve"> </w:t>
      </w:r>
    </w:p>
    <w:p w14:paraId="796D5DD3" w14:textId="77777777" w:rsidR="00E14CCD" w:rsidRPr="00A82646" w:rsidRDefault="00E14CCD" w:rsidP="00E14CCD">
      <w:pPr>
        <w:jc w:val="both"/>
        <w:rPr>
          <w:rFonts w:ascii="Times New Roman" w:hAnsi="Times New Roman" w:cs="Times New Roman"/>
          <w:color w:val="FF0000"/>
          <w:sz w:val="22"/>
          <w:lang w:val="es-MX"/>
        </w:rPr>
      </w:pPr>
      <w:r w:rsidRPr="00A82646">
        <w:rPr>
          <w:rFonts w:ascii="Times New Roman" w:hAnsi="Times New Roman" w:cs="Times New Roman"/>
          <w:color w:val="FF0000"/>
          <w:sz w:val="22"/>
          <w:lang w:val="es-MX"/>
        </w:rPr>
        <w:t xml:space="preserve">   </w:t>
      </w:r>
    </w:p>
    <w:p w14:paraId="73B554F8" w14:textId="77777777" w:rsidR="00E14CCD" w:rsidRPr="00D23E26" w:rsidRDefault="00E14CCD" w:rsidP="00E14CCD">
      <w:pPr>
        <w:jc w:val="both"/>
        <w:rPr>
          <w:rFonts w:ascii="Times New Roman" w:hAnsi="Times New Roman" w:cs="Times New Roman"/>
          <w:sz w:val="22"/>
          <w:lang w:val="es-MX"/>
        </w:rPr>
      </w:pPr>
      <w:r w:rsidRPr="00D23E26">
        <w:rPr>
          <w:rFonts w:ascii="Times New Roman" w:hAnsi="Times New Roman" w:cs="Times New Roman"/>
          <w:sz w:val="22"/>
          <w:lang w:val="es-MX"/>
        </w:rPr>
        <w:t>Para cumplir dichas atribuciones, y de acuerdo a los lineamientos y requerimientos d</w:t>
      </w:r>
      <w:r w:rsidR="00C7496B">
        <w:rPr>
          <w:rFonts w:ascii="Times New Roman" w:hAnsi="Times New Roman" w:cs="Times New Roman"/>
          <w:sz w:val="22"/>
          <w:lang w:val="es-MX"/>
        </w:rPr>
        <w:t>e</w:t>
      </w:r>
      <w:r w:rsidR="0052459C">
        <w:rPr>
          <w:rFonts w:ascii="Times New Roman" w:hAnsi="Times New Roman" w:cs="Times New Roman"/>
          <w:sz w:val="22"/>
          <w:lang w:val="es-MX"/>
        </w:rPr>
        <w:t xml:space="preserve"> las actuales autoridades del m</w:t>
      </w:r>
      <w:r w:rsidRPr="00D23E26">
        <w:rPr>
          <w:rFonts w:ascii="Times New Roman" w:hAnsi="Times New Roman" w:cs="Times New Roman"/>
          <w:sz w:val="22"/>
          <w:lang w:val="es-MX"/>
        </w:rPr>
        <w:t xml:space="preserve">inisterio, </w:t>
      </w:r>
      <w:r w:rsidR="0063084D">
        <w:rPr>
          <w:rFonts w:ascii="Times New Roman" w:hAnsi="Times New Roman" w:cs="Times New Roman"/>
          <w:sz w:val="22"/>
          <w:lang w:val="es-MX"/>
        </w:rPr>
        <w:t xml:space="preserve">se </w:t>
      </w:r>
      <w:r w:rsidRPr="00D23E26">
        <w:rPr>
          <w:rFonts w:ascii="Times New Roman" w:hAnsi="Times New Roman" w:cs="Times New Roman"/>
          <w:sz w:val="22"/>
          <w:lang w:val="es-MX"/>
        </w:rPr>
        <w:t xml:space="preserve">ha elaborado el presente Informe de </w:t>
      </w:r>
      <w:r w:rsidR="00B2217D">
        <w:rPr>
          <w:rFonts w:ascii="Times New Roman" w:hAnsi="Times New Roman" w:cs="Times New Roman"/>
          <w:sz w:val="22"/>
          <w:lang w:val="es-MX"/>
        </w:rPr>
        <w:t>D</w:t>
      </w:r>
      <w:r w:rsidRPr="00D23E26">
        <w:rPr>
          <w:rFonts w:ascii="Times New Roman" w:hAnsi="Times New Roman" w:cs="Times New Roman"/>
          <w:sz w:val="22"/>
          <w:lang w:val="es-MX"/>
        </w:rPr>
        <w:t>ese</w:t>
      </w:r>
      <w:r w:rsidR="00D23E26" w:rsidRPr="00D23E26">
        <w:rPr>
          <w:rFonts w:ascii="Times New Roman" w:hAnsi="Times New Roman" w:cs="Times New Roman"/>
          <w:sz w:val="22"/>
          <w:lang w:val="es-MX"/>
        </w:rPr>
        <w:t>mpeño de la Política Fiscal 2019</w:t>
      </w:r>
      <w:r w:rsidRPr="00D23E26">
        <w:rPr>
          <w:rFonts w:ascii="Times New Roman" w:hAnsi="Times New Roman" w:cs="Times New Roman"/>
          <w:sz w:val="22"/>
          <w:lang w:val="es-MX"/>
        </w:rPr>
        <w:t>, el cual contiene los aspectos más relevantes de la evolución de las variables fiscales durante el año recién finali</w:t>
      </w:r>
      <w:r w:rsidR="00D23E26" w:rsidRPr="00D23E26">
        <w:rPr>
          <w:rFonts w:ascii="Times New Roman" w:hAnsi="Times New Roman" w:cs="Times New Roman"/>
          <w:sz w:val="22"/>
          <w:lang w:val="es-MX"/>
        </w:rPr>
        <w:t xml:space="preserve">zado.  En el mismo se resaltan las </w:t>
      </w:r>
      <w:r w:rsidRPr="00D23E26">
        <w:rPr>
          <w:rFonts w:ascii="Times New Roman" w:hAnsi="Times New Roman" w:cs="Times New Roman"/>
          <w:sz w:val="22"/>
          <w:lang w:val="es-MX"/>
        </w:rPr>
        <w:t xml:space="preserve">principales acciones en materia de ingresos, gasto público y financiamiento.  El documento también incluye un anexo macroeconómico que destaca el comportamiento de la economía internacional, regional y nacional.  </w:t>
      </w:r>
    </w:p>
    <w:p w14:paraId="0E89AEE6" w14:textId="77777777" w:rsidR="00E14CCD" w:rsidRPr="00D23E26" w:rsidRDefault="00E14CCD" w:rsidP="00E14CCD">
      <w:pPr>
        <w:jc w:val="both"/>
        <w:rPr>
          <w:rFonts w:ascii="Times New Roman" w:hAnsi="Times New Roman" w:cs="Times New Roman"/>
          <w:sz w:val="22"/>
          <w:lang w:val="es-MX"/>
        </w:rPr>
      </w:pPr>
    </w:p>
    <w:p w14:paraId="53076A52" w14:textId="77777777" w:rsidR="00E14CCD" w:rsidRPr="00A82646" w:rsidRDefault="00E14CCD" w:rsidP="00E14CCD">
      <w:pPr>
        <w:jc w:val="both"/>
        <w:rPr>
          <w:rFonts w:ascii="Times New Roman" w:hAnsi="Times New Roman" w:cs="Times New Roman"/>
          <w:color w:val="FF0000"/>
          <w:sz w:val="22"/>
          <w:lang w:val="es-MX"/>
        </w:rPr>
      </w:pPr>
      <w:r w:rsidRPr="00D23E26">
        <w:rPr>
          <w:rFonts w:ascii="Times New Roman" w:hAnsi="Times New Roman" w:cs="Times New Roman"/>
          <w:sz w:val="22"/>
          <w:lang w:val="es-MX"/>
        </w:rPr>
        <w:t>Es preciso indicar que la información utilizada en el presente informe es aún de carácter preliminar, sin embargo, las variaciones y ajustes derivadas de los procesos de cierre en las entidades del Estado</w:t>
      </w:r>
      <w:r w:rsidR="00D23E26" w:rsidRPr="00D23E26">
        <w:rPr>
          <w:rFonts w:ascii="Times New Roman" w:hAnsi="Times New Roman" w:cs="Times New Roman"/>
          <w:sz w:val="22"/>
          <w:lang w:val="es-MX"/>
        </w:rPr>
        <w:t xml:space="preserve">, se estima serán </w:t>
      </w:r>
      <w:r w:rsidR="001703DF">
        <w:rPr>
          <w:rFonts w:ascii="Times New Roman" w:hAnsi="Times New Roman" w:cs="Times New Roman"/>
          <w:sz w:val="22"/>
          <w:lang w:val="es-MX"/>
        </w:rPr>
        <w:t>poco significativas</w:t>
      </w:r>
      <w:r w:rsidRPr="00D23E26">
        <w:rPr>
          <w:rFonts w:ascii="Times New Roman" w:hAnsi="Times New Roman" w:cs="Times New Roman"/>
          <w:sz w:val="22"/>
          <w:lang w:val="es-MX"/>
        </w:rPr>
        <w:t>.</w:t>
      </w:r>
      <w:r w:rsidRPr="00A82646">
        <w:rPr>
          <w:rFonts w:ascii="Times New Roman" w:hAnsi="Times New Roman" w:cs="Times New Roman"/>
          <w:color w:val="FF0000"/>
          <w:sz w:val="22"/>
          <w:lang w:val="es-MX"/>
        </w:rPr>
        <w:t xml:space="preserve">    </w:t>
      </w:r>
    </w:p>
    <w:p w14:paraId="5E86B18A" w14:textId="77777777" w:rsidR="00E14CCD" w:rsidRPr="00A82646" w:rsidRDefault="00E14CCD" w:rsidP="00E14CCD">
      <w:pPr>
        <w:jc w:val="both"/>
        <w:rPr>
          <w:rFonts w:ascii="Times New Roman" w:hAnsi="Times New Roman" w:cs="Times New Roman"/>
          <w:color w:val="FF0000"/>
          <w:sz w:val="22"/>
          <w:lang w:val="es-MX"/>
        </w:rPr>
      </w:pPr>
    </w:p>
    <w:p w14:paraId="7055EE98"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2BAF39E7"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7C4D0FFB"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336B11D0"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2D971555"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181A1D45"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3CE1AD2B"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38BD20F0"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4AA57A9E"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495DDAA9"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309A6860"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2EA302B1"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3EAB15A5"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446A3082"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38D3D5B3"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31BA1223"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4A56A7F3" w14:textId="77777777" w:rsidR="00DD1859" w:rsidRPr="00113A1E"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7975E9F1" w14:textId="77777777" w:rsidR="00DD1859" w:rsidRDefault="00DD1859"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3B9CCC7F" w14:textId="77777777" w:rsidR="008F29E8" w:rsidRDefault="008F29E8"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095DE70D" w14:textId="77777777" w:rsidR="00D23E26" w:rsidRDefault="00D23E26" w:rsidP="00DD1859">
      <w:pPr>
        <w:pStyle w:val="Prrafodelista"/>
        <w:ind w:left="0"/>
        <w:jc w:val="both"/>
        <w:rPr>
          <w:rFonts w:ascii="Times New Roman" w:eastAsiaTheme="majorEastAsia" w:hAnsi="Times New Roman" w:cs="Times New Roman"/>
          <w:b/>
          <w:bCs/>
          <w:color w:val="FF0000"/>
          <w:sz w:val="24"/>
          <w:szCs w:val="26"/>
          <w:lang w:val="es-ES_tradnl" w:eastAsia="es-ES"/>
        </w:rPr>
      </w:pPr>
    </w:p>
    <w:p w14:paraId="72759910" w14:textId="77777777" w:rsidR="00D23E26" w:rsidRDefault="00D23E26" w:rsidP="00DD1859">
      <w:pPr>
        <w:pStyle w:val="Prrafodelista"/>
        <w:ind w:left="0"/>
        <w:jc w:val="both"/>
        <w:rPr>
          <w:rFonts w:ascii="Times New Roman" w:eastAsiaTheme="majorEastAsia" w:hAnsi="Times New Roman" w:cs="Times New Roman"/>
          <w:b/>
          <w:bCs/>
          <w:color w:val="FF0000"/>
          <w:sz w:val="24"/>
          <w:szCs w:val="26"/>
          <w:lang w:val="es-ES_tradnl" w:eastAsia="es-ES"/>
        </w:rPr>
      </w:pPr>
    </w:p>
    <w:bookmarkEnd w:id="0"/>
    <w:bookmarkEnd w:id="1"/>
    <w:p w14:paraId="247DF59F" w14:textId="77777777" w:rsidR="0008775B" w:rsidRDefault="0008775B" w:rsidP="00D43598">
      <w:pPr>
        <w:rPr>
          <w:rFonts w:ascii="Times New Roman" w:eastAsiaTheme="majorEastAsia" w:hAnsi="Times New Roman" w:cs="Times New Roman"/>
          <w:b/>
          <w:bCs/>
          <w:color w:val="FF0000"/>
          <w:szCs w:val="26"/>
        </w:rPr>
      </w:pPr>
    </w:p>
    <w:p w14:paraId="0F44A384" w14:textId="77777777" w:rsidR="00A74565" w:rsidRPr="00E353E5" w:rsidRDefault="00A74565" w:rsidP="00D43598">
      <w:pPr>
        <w:rPr>
          <w:rFonts w:ascii="Times New Roman" w:hAnsi="Times New Roman" w:cs="Times New Roman"/>
          <w:lang w:val="es-MX"/>
        </w:rPr>
      </w:pPr>
    </w:p>
    <w:p w14:paraId="5741AEC2" w14:textId="77777777" w:rsidR="00E66A98" w:rsidRPr="00E353E5" w:rsidRDefault="00E66A98" w:rsidP="00E66A98">
      <w:pPr>
        <w:pStyle w:val="Prrafodelista"/>
        <w:numPr>
          <w:ilvl w:val="0"/>
          <w:numId w:val="1"/>
        </w:numPr>
        <w:ind w:left="284" w:hanging="284"/>
        <w:jc w:val="both"/>
        <w:outlineLvl w:val="0"/>
        <w:rPr>
          <w:rFonts w:ascii="Times New Roman" w:eastAsiaTheme="majorEastAsia" w:hAnsi="Times New Roman" w:cs="Times New Roman"/>
          <w:b/>
          <w:bCs/>
          <w:sz w:val="24"/>
          <w:szCs w:val="26"/>
          <w:lang w:val="es-ES_tradnl" w:eastAsia="es-ES"/>
        </w:rPr>
      </w:pPr>
      <w:bookmarkStart w:id="4" w:name="_Toc32230879"/>
      <w:r w:rsidRPr="00E353E5">
        <w:rPr>
          <w:rFonts w:ascii="Times New Roman" w:eastAsiaTheme="majorEastAsia" w:hAnsi="Times New Roman" w:cs="Times New Roman"/>
          <w:b/>
          <w:bCs/>
          <w:sz w:val="24"/>
          <w:szCs w:val="26"/>
          <w:lang w:val="es-ES_tradnl" w:eastAsia="es-ES"/>
        </w:rPr>
        <w:lastRenderedPageBreak/>
        <w:t>Recaudación tributaria</w:t>
      </w:r>
      <w:bookmarkEnd w:id="4"/>
    </w:p>
    <w:p w14:paraId="0DDA1DF9" w14:textId="77777777" w:rsidR="00E66A98" w:rsidRPr="00383208" w:rsidRDefault="00E66A98" w:rsidP="00E66A98">
      <w:pPr>
        <w:pStyle w:val="Prrafodelista"/>
        <w:ind w:left="709"/>
        <w:jc w:val="both"/>
        <w:outlineLvl w:val="0"/>
        <w:rPr>
          <w:rFonts w:ascii="Times New Roman" w:eastAsiaTheme="majorEastAsia" w:hAnsi="Times New Roman" w:cs="Times New Roman"/>
          <w:b/>
          <w:bCs/>
          <w:sz w:val="20"/>
          <w:szCs w:val="26"/>
          <w:lang w:val="es-ES_tradnl" w:eastAsia="es-ES"/>
        </w:rPr>
      </w:pPr>
      <w:r w:rsidRPr="00E353E5">
        <w:rPr>
          <w:rFonts w:ascii="Times New Roman" w:eastAsiaTheme="majorEastAsia" w:hAnsi="Times New Roman" w:cs="Times New Roman"/>
          <w:b/>
          <w:bCs/>
          <w:sz w:val="24"/>
          <w:szCs w:val="26"/>
          <w:lang w:val="es-ES_tradnl" w:eastAsia="es-ES"/>
        </w:rPr>
        <w:t xml:space="preserve"> </w:t>
      </w:r>
    </w:p>
    <w:p w14:paraId="03BC969A" w14:textId="77777777" w:rsidR="00E66A98" w:rsidRPr="00E353E5" w:rsidRDefault="00E66A98" w:rsidP="00E66A98">
      <w:pPr>
        <w:pStyle w:val="Prrafodelista"/>
        <w:keepNext/>
        <w:keepLines/>
        <w:numPr>
          <w:ilvl w:val="0"/>
          <w:numId w:val="11"/>
        </w:numPr>
        <w:spacing w:before="200"/>
        <w:contextualSpacing w:val="0"/>
        <w:outlineLvl w:val="1"/>
        <w:rPr>
          <w:rFonts w:ascii="Times New Roman" w:eastAsiaTheme="majorEastAsia" w:hAnsi="Times New Roman" w:cs="Times New Roman"/>
          <w:b/>
          <w:bCs/>
          <w:vanish/>
          <w:sz w:val="24"/>
          <w:szCs w:val="26"/>
          <w:lang w:val="es-ES_tradnl" w:eastAsia="es-ES"/>
        </w:rPr>
      </w:pPr>
      <w:bookmarkStart w:id="5" w:name="_Toc471986924"/>
      <w:bookmarkStart w:id="6" w:name="_Toc471987059"/>
      <w:bookmarkStart w:id="7" w:name="_Toc471987107"/>
      <w:bookmarkStart w:id="8" w:name="_Toc471987129"/>
      <w:bookmarkStart w:id="9" w:name="_Toc472082158"/>
      <w:bookmarkStart w:id="10" w:name="_Toc472082190"/>
      <w:bookmarkStart w:id="11" w:name="_Toc472089905"/>
      <w:bookmarkStart w:id="12" w:name="_Toc472089928"/>
      <w:bookmarkStart w:id="13" w:name="_Toc505346056"/>
      <w:bookmarkStart w:id="14" w:name="_Toc505349869"/>
      <w:bookmarkStart w:id="15" w:name="_Toc534985827"/>
      <w:bookmarkStart w:id="16" w:name="_Toc534988220"/>
      <w:bookmarkStart w:id="17" w:name="_Toc31611540"/>
      <w:bookmarkStart w:id="18" w:name="_Toc31612756"/>
      <w:bookmarkStart w:id="19" w:name="_Toc31612788"/>
      <w:bookmarkStart w:id="20" w:name="_Toc31614814"/>
      <w:bookmarkStart w:id="21" w:name="_Toc31614846"/>
      <w:bookmarkStart w:id="22" w:name="_Toc31618683"/>
      <w:bookmarkStart w:id="23" w:name="_Toc31618716"/>
      <w:bookmarkStart w:id="24" w:name="_Toc31624492"/>
      <w:bookmarkStart w:id="25" w:name="_Toc31625344"/>
      <w:bookmarkStart w:id="26" w:name="_Toc31626799"/>
      <w:bookmarkStart w:id="27" w:name="_Toc31811250"/>
      <w:bookmarkStart w:id="28" w:name="_Toc31811695"/>
      <w:bookmarkStart w:id="29" w:name="_Toc31971858"/>
      <w:bookmarkStart w:id="30" w:name="_Toc322308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4EA4DCF" w14:textId="77777777" w:rsidR="00E66A98" w:rsidRPr="00E353E5" w:rsidRDefault="00E66A98" w:rsidP="00E66A98">
      <w:pPr>
        <w:pStyle w:val="Ttulo2"/>
        <w:numPr>
          <w:ilvl w:val="1"/>
          <w:numId w:val="11"/>
        </w:numPr>
        <w:spacing w:before="0"/>
        <w:ind w:left="567"/>
        <w:rPr>
          <w:rFonts w:ascii="Times New Roman" w:hAnsi="Times New Roman" w:cs="Times New Roman"/>
          <w:color w:val="auto"/>
          <w:sz w:val="24"/>
        </w:rPr>
      </w:pPr>
      <w:bookmarkStart w:id="31" w:name="_Toc471987131"/>
      <w:bookmarkStart w:id="32" w:name="_Toc32230881"/>
      <w:r w:rsidRPr="00E353E5">
        <w:rPr>
          <w:rFonts w:ascii="Times New Roman" w:hAnsi="Times New Roman" w:cs="Times New Roman"/>
          <w:color w:val="auto"/>
          <w:sz w:val="24"/>
        </w:rPr>
        <w:t>Evolución de la recaudación tributaria 201</w:t>
      </w:r>
      <w:bookmarkEnd w:id="31"/>
      <w:r w:rsidRPr="00E353E5">
        <w:rPr>
          <w:rFonts w:ascii="Times New Roman" w:hAnsi="Times New Roman" w:cs="Times New Roman"/>
          <w:color w:val="auto"/>
          <w:sz w:val="24"/>
        </w:rPr>
        <w:t>9</w:t>
      </w:r>
      <w:bookmarkEnd w:id="32"/>
    </w:p>
    <w:p w14:paraId="5BB8036C" w14:textId="77777777" w:rsidR="00E66A98" w:rsidRPr="00383208" w:rsidRDefault="00E66A98" w:rsidP="00E66A98">
      <w:pPr>
        <w:jc w:val="both"/>
        <w:rPr>
          <w:rFonts w:ascii="Times New Roman" w:hAnsi="Times New Roman" w:cs="Times New Roman"/>
          <w:b/>
          <w:color w:val="FF0000"/>
          <w:sz w:val="22"/>
          <w:lang w:val="es-MX"/>
        </w:rPr>
      </w:pPr>
    </w:p>
    <w:p w14:paraId="3D681E93" w14:textId="77777777" w:rsidR="00E66A98" w:rsidRPr="0065539C" w:rsidRDefault="00E66A98" w:rsidP="00E66A98">
      <w:pPr>
        <w:autoSpaceDE w:val="0"/>
        <w:autoSpaceDN w:val="0"/>
        <w:adjustRightInd w:val="0"/>
        <w:jc w:val="both"/>
        <w:rPr>
          <w:rFonts w:ascii="Times New Roman" w:hAnsi="Times New Roman" w:cs="Times New Roman"/>
          <w:sz w:val="22"/>
          <w:szCs w:val="22"/>
        </w:rPr>
      </w:pPr>
      <w:r w:rsidRPr="0065539C">
        <w:rPr>
          <w:rFonts w:ascii="Times New Roman" w:hAnsi="Times New Roman" w:cs="Times New Roman"/>
          <w:noProof/>
          <w:sz w:val="22"/>
          <w:szCs w:val="22"/>
          <w:lang w:val="es-ES"/>
        </w:rPr>
        <w:drawing>
          <wp:anchor distT="0" distB="0" distL="114300" distR="114300" simplePos="0" relativeHeight="251651584" behindDoc="0" locked="0" layoutInCell="1" allowOverlap="1" wp14:anchorId="024E550D" wp14:editId="78C3F8A8">
            <wp:simplePos x="0" y="0"/>
            <wp:positionH relativeFrom="margin">
              <wp:posOffset>2423160</wp:posOffset>
            </wp:positionH>
            <wp:positionV relativeFrom="paragraph">
              <wp:posOffset>143510</wp:posOffset>
            </wp:positionV>
            <wp:extent cx="3590925" cy="2846070"/>
            <wp:effectExtent l="0" t="0" r="0" b="0"/>
            <wp:wrapSquare wrapText="bothSides"/>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65539C">
        <w:rPr>
          <w:rFonts w:ascii="Times New Roman" w:hAnsi="Times New Roman" w:cs="Times New Roman"/>
          <w:sz w:val="22"/>
          <w:szCs w:val="22"/>
        </w:rPr>
        <w:t xml:space="preserve">Cifras preliminares de </w:t>
      </w:r>
      <w:r w:rsidR="00E01930">
        <w:rPr>
          <w:rFonts w:ascii="Times New Roman" w:hAnsi="Times New Roman" w:cs="Times New Roman"/>
          <w:sz w:val="22"/>
          <w:szCs w:val="22"/>
        </w:rPr>
        <w:t xml:space="preserve">recaudación </w:t>
      </w:r>
      <w:r w:rsidR="00FE2E9A">
        <w:rPr>
          <w:rFonts w:ascii="Times New Roman" w:hAnsi="Times New Roman" w:cs="Times New Roman"/>
          <w:sz w:val="22"/>
          <w:szCs w:val="22"/>
        </w:rPr>
        <w:t>al 31 de diciembre de 2019</w:t>
      </w:r>
      <w:r w:rsidR="00E01930" w:rsidRPr="0065539C">
        <w:rPr>
          <w:rFonts w:ascii="Times New Roman" w:hAnsi="Times New Roman" w:cs="Times New Roman"/>
          <w:sz w:val="22"/>
          <w:szCs w:val="22"/>
        </w:rPr>
        <w:t xml:space="preserve"> </w:t>
      </w:r>
      <w:r w:rsidR="006D5B3B">
        <w:rPr>
          <w:rFonts w:ascii="Times New Roman" w:hAnsi="Times New Roman" w:cs="Times New Roman"/>
          <w:sz w:val="22"/>
          <w:szCs w:val="22"/>
        </w:rPr>
        <w:t>muestran</w:t>
      </w:r>
      <w:r w:rsidRPr="0065539C">
        <w:rPr>
          <w:rFonts w:ascii="Times New Roman" w:hAnsi="Times New Roman" w:cs="Times New Roman"/>
          <w:sz w:val="22"/>
          <w:szCs w:val="22"/>
        </w:rPr>
        <w:t xml:space="preserve"> un crecimiento interanual de 6.4% respecto a lo observado en 2018</w:t>
      </w:r>
      <w:r w:rsidR="00FE2E9A">
        <w:rPr>
          <w:rFonts w:ascii="Times New Roman" w:hAnsi="Times New Roman" w:cs="Times New Roman"/>
          <w:sz w:val="22"/>
          <w:szCs w:val="22"/>
        </w:rPr>
        <w:t>.</w:t>
      </w:r>
      <w:r w:rsidRPr="0065539C">
        <w:rPr>
          <w:rFonts w:ascii="Times New Roman" w:hAnsi="Times New Roman" w:cs="Times New Roman"/>
          <w:sz w:val="22"/>
          <w:szCs w:val="22"/>
        </w:rPr>
        <w:t xml:space="preserve"> </w:t>
      </w:r>
      <w:r w:rsidR="00FE2E9A">
        <w:rPr>
          <w:rFonts w:ascii="Times New Roman" w:hAnsi="Times New Roman" w:cs="Times New Roman"/>
          <w:sz w:val="22"/>
          <w:szCs w:val="22"/>
        </w:rPr>
        <w:t>D</w:t>
      </w:r>
      <w:r w:rsidRPr="0065539C">
        <w:rPr>
          <w:rFonts w:ascii="Times New Roman" w:hAnsi="Times New Roman" w:cs="Times New Roman"/>
          <w:sz w:val="22"/>
          <w:szCs w:val="22"/>
        </w:rPr>
        <w:t>icho crecimiento se fundamenta en el desempeño positivo en los principales impuestos que administra la Superintendencia de Administración Tributaria -SAT-</w:t>
      </w:r>
      <w:r w:rsidR="00062E16">
        <w:rPr>
          <w:rFonts w:ascii="Times New Roman" w:hAnsi="Times New Roman" w:cs="Times New Roman"/>
          <w:sz w:val="22"/>
          <w:szCs w:val="22"/>
        </w:rPr>
        <w:t>, tales como e</w:t>
      </w:r>
      <w:r w:rsidR="000002AE">
        <w:rPr>
          <w:rFonts w:ascii="Times New Roman" w:hAnsi="Times New Roman" w:cs="Times New Roman"/>
          <w:sz w:val="22"/>
          <w:szCs w:val="22"/>
        </w:rPr>
        <w:t>l I</w:t>
      </w:r>
      <w:r w:rsidRPr="0065539C">
        <w:rPr>
          <w:rFonts w:ascii="Times New Roman" w:hAnsi="Times New Roman" w:cs="Times New Roman"/>
          <w:sz w:val="22"/>
          <w:szCs w:val="22"/>
        </w:rPr>
        <w:t xml:space="preserve">mpuesto </w:t>
      </w:r>
      <w:r w:rsidR="000002AE">
        <w:rPr>
          <w:rFonts w:ascii="Times New Roman" w:hAnsi="Times New Roman" w:cs="Times New Roman"/>
          <w:sz w:val="22"/>
          <w:szCs w:val="22"/>
        </w:rPr>
        <w:t>S</w:t>
      </w:r>
      <w:r>
        <w:rPr>
          <w:rFonts w:ascii="Times New Roman" w:hAnsi="Times New Roman" w:cs="Times New Roman"/>
          <w:sz w:val="22"/>
          <w:szCs w:val="22"/>
        </w:rPr>
        <w:t xml:space="preserve">obre </w:t>
      </w:r>
      <w:r w:rsidRPr="0065539C">
        <w:rPr>
          <w:rFonts w:ascii="Times New Roman" w:hAnsi="Times New Roman" w:cs="Times New Roman"/>
          <w:sz w:val="22"/>
          <w:szCs w:val="22"/>
        </w:rPr>
        <w:t xml:space="preserve">la </w:t>
      </w:r>
      <w:r w:rsidR="000002AE">
        <w:rPr>
          <w:rFonts w:ascii="Times New Roman" w:hAnsi="Times New Roman" w:cs="Times New Roman"/>
          <w:sz w:val="22"/>
          <w:szCs w:val="22"/>
        </w:rPr>
        <w:t>R</w:t>
      </w:r>
      <w:r w:rsidRPr="0065539C">
        <w:rPr>
          <w:rFonts w:ascii="Times New Roman" w:hAnsi="Times New Roman" w:cs="Times New Roman"/>
          <w:sz w:val="22"/>
          <w:szCs w:val="22"/>
        </w:rPr>
        <w:t>enta -ISR- que creció 5.3%</w:t>
      </w:r>
      <w:r w:rsidR="004F7BE1">
        <w:rPr>
          <w:rFonts w:ascii="Times New Roman" w:hAnsi="Times New Roman" w:cs="Times New Roman"/>
          <w:sz w:val="22"/>
          <w:szCs w:val="22"/>
        </w:rPr>
        <w:t>,</w:t>
      </w:r>
      <w:r w:rsidR="000002AE">
        <w:rPr>
          <w:rFonts w:ascii="Times New Roman" w:hAnsi="Times New Roman" w:cs="Times New Roman"/>
          <w:sz w:val="22"/>
          <w:szCs w:val="22"/>
        </w:rPr>
        <w:t xml:space="preserve"> el Impuesto al  Valor A</w:t>
      </w:r>
      <w:r w:rsidRPr="0065539C">
        <w:rPr>
          <w:rFonts w:ascii="Times New Roman" w:hAnsi="Times New Roman" w:cs="Times New Roman"/>
          <w:sz w:val="22"/>
          <w:szCs w:val="22"/>
        </w:rPr>
        <w:t xml:space="preserve">gregado -IVA- </w:t>
      </w:r>
      <w:r w:rsidR="004F7BE1">
        <w:rPr>
          <w:rFonts w:ascii="Times New Roman" w:hAnsi="Times New Roman" w:cs="Times New Roman"/>
          <w:sz w:val="22"/>
          <w:szCs w:val="22"/>
        </w:rPr>
        <w:t>con</w:t>
      </w:r>
      <w:r w:rsidR="00AF4618">
        <w:rPr>
          <w:rFonts w:ascii="Times New Roman" w:hAnsi="Times New Roman" w:cs="Times New Roman"/>
          <w:sz w:val="22"/>
          <w:szCs w:val="22"/>
        </w:rPr>
        <w:t xml:space="preserve"> un incremento de</w:t>
      </w:r>
      <w:r w:rsidRPr="0065539C">
        <w:rPr>
          <w:rFonts w:ascii="Times New Roman" w:hAnsi="Times New Roman" w:cs="Times New Roman"/>
          <w:sz w:val="22"/>
          <w:szCs w:val="22"/>
        </w:rPr>
        <w:t xml:space="preserve"> 7.9% (el IVA asociado al consumo interno creció en 10.2% y el asociado al comercio exterior en 5.8%), además destaca el buen desempeño </w:t>
      </w:r>
      <w:r w:rsidR="00CC462B">
        <w:rPr>
          <w:rFonts w:ascii="Times New Roman" w:hAnsi="Times New Roman" w:cs="Times New Roman"/>
          <w:sz w:val="22"/>
          <w:szCs w:val="22"/>
        </w:rPr>
        <w:t>del impuesto</w:t>
      </w:r>
      <w:r w:rsidRPr="0065539C">
        <w:rPr>
          <w:rFonts w:ascii="Times New Roman" w:hAnsi="Times New Roman" w:cs="Times New Roman"/>
          <w:sz w:val="22"/>
          <w:szCs w:val="22"/>
        </w:rPr>
        <w:t xml:space="preserve"> a los derivados del petróleo que superaron lo recaudado en 2018 </w:t>
      </w:r>
      <w:r w:rsidRPr="00252AFC">
        <w:rPr>
          <w:rFonts w:ascii="Times New Roman" w:hAnsi="Times New Roman" w:cs="Times New Roman"/>
          <w:sz w:val="22"/>
          <w:szCs w:val="22"/>
        </w:rPr>
        <w:t>en 9.5%.</w:t>
      </w:r>
      <w:r>
        <w:rPr>
          <w:rFonts w:ascii="Times New Roman" w:hAnsi="Times New Roman" w:cs="Times New Roman"/>
          <w:sz w:val="22"/>
          <w:szCs w:val="22"/>
        </w:rPr>
        <w:t xml:space="preserve"> Los </w:t>
      </w:r>
      <w:r w:rsidR="00E96044" w:rsidRPr="0065539C">
        <w:rPr>
          <w:rFonts w:ascii="Times New Roman" w:hAnsi="Times New Roman" w:cs="Times New Roman"/>
          <w:sz w:val="22"/>
          <w:szCs w:val="22"/>
        </w:rPr>
        <w:t>impuestos que</w:t>
      </w:r>
      <w:r w:rsidRPr="0065539C">
        <w:rPr>
          <w:rFonts w:ascii="Times New Roman" w:hAnsi="Times New Roman" w:cs="Times New Roman"/>
          <w:sz w:val="22"/>
          <w:szCs w:val="22"/>
        </w:rPr>
        <w:t xml:space="preserve"> impidieron </w:t>
      </w:r>
      <w:r>
        <w:rPr>
          <w:rFonts w:ascii="Times New Roman" w:hAnsi="Times New Roman" w:cs="Times New Roman"/>
          <w:sz w:val="22"/>
          <w:szCs w:val="22"/>
        </w:rPr>
        <w:t xml:space="preserve">un mayor </w:t>
      </w:r>
      <w:r w:rsidRPr="0065539C">
        <w:rPr>
          <w:rFonts w:ascii="Times New Roman" w:hAnsi="Times New Roman" w:cs="Times New Roman"/>
          <w:sz w:val="22"/>
          <w:szCs w:val="22"/>
        </w:rPr>
        <w:t xml:space="preserve">crecimiento </w:t>
      </w:r>
      <w:r>
        <w:rPr>
          <w:rFonts w:ascii="Times New Roman" w:hAnsi="Times New Roman" w:cs="Times New Roman"/>
          <w:sz w:val="22"/>
          <w:szCs w:val="22"/>
        </w:rPr>
        <w:t xml:space="preserve">en </w:t>
      </w:r>
      <w:r w:rsidRPr="0065539C">
        <w:rPr>
          <w:rFonts w:ascii="Times New Roman" w:hAnsi="Times New Roman" w:cs="Times New Roman"/>
          <w:sz w:val="22"/>
          <w:szCs w:val="22"/>
        </w:rPr>
        <w:t xml:space="preserve">la recaudación </w:t>
      </w:r>
      <w:r>
        <w:rPr>
          <w:rFonts w:ascii="Times New Roman" w:hAnsi="Times New Roman" w:cs="Times New Roman"/>
          <w:sz w:val="22"/>
          <w:szCs w:val="22"/>
        </w:rPr>
        <w:t xml:space="preserve">fueron: </w:t>
      </w:r>
      <w:r w:rsidR="00D1104A">
        <w:rPr>
          <w:rFonts w:ascii="Times New Roman" w:hAnsi="Times New Roman" w:cs="Times New Roman"/>
          <w:sz w:val="22"/>
          <w:szCs w:val="22"/>
        </w:rPr>
        <w:t>t</w:t>
      </w:r>
      <w:r w:rsidRPr="0065539C">
        <w:rPr>
          <w:rFonts w:ascii="Times New Roman" w:hAnsi="Times New Roman" w:cs="Times New Roman"/>
          <w:sz w:val="22"/>
          <w:szCs w:val="22"/>
        </w:rPr>
        <w:t>imbres fiscales y regalías e hidrocarburos compartibles</w:t>
      </w:r>
      <w:r>
        <w:rPr>
          <w:rFonts w:ascii="Times New Roman" w:hAnsi="Times New Roman" w:cs="Times New Roman"/>
          <w:sz w:val="22"/>
          <w:szCs w:val="22"/>
        </w:rPr>
        <w:t>,</w:t>
      </w:r>
      <w:r w:rsidRPr="0065539C">
        <w:rPr>
          <w:rFonts w:ascii="Times New Roman" w:hAnsi="Times New Roman" w:cs="Times New Roman"/>
          <w:sz w:val="22"/>
          <w:szCs w:val="22"/>
        </w:rPr>
        <w:t xml:space="preserve"> </w:t>
      </w:r>
      <w:r>
        <w:rPr>
          <w:rFonts w:ascii="Times New Roman" w:hAnsi="Times New Roman" w:cs="Times New Roman"/>
          <w:sz w:val="22"/>
          <w:szCs w:val="22"/>
        </w:rPr>
        <w:t>los cuales registraron una contracción</w:t>
      </w:r>
      <w:r w:rsidR="003E32DE">
        <w:rPr>
          <w:rFonts w:ascii="Times New Roman" w:hAnsi="Times New Roman" w:cs="Times New Roman"/>
          <w:sz w:val="22"/>
          <w:szCs w:val="22"/>
        </w:rPr>
        <w:t xml:space="preserve">, </w:t>
      </w:r>
      <w:r>
        <w:rPr>
          <w:rFonts w:ascii="Times New Roman" w:hAnsi="Times New Roman" w:cs="Times New Roman"/>
          <w:sz w:val="22"/>
          <w:szCs w:val="22"/>
        </w:rPr>
        <w:t xml:space="preserve">disminuyendo en </w:t>
      </w:r>
      <w:r w:rsidRPr="0065539C">
        <w:rPr>
          <w:rFonts w:ascii="Times New Roman" w:hAnsi="Times New Roman" w:cs="Times New Roman"/>
          <w:sz w:val="22"/>
          <w:szCs w:val="22"/>
        </w:rPr>
        <w:t>Q105.9 millones</w:t>
      </w:r>
      <w:r>
        <w:rPr>
          <w:rFonts w:ascii="Times New Roman" w:hAnsi="Times New Roman" w:cs="Times New Roman"/>
          <w:sz w:val="22"/>
          <w:szCs w:val="22"/>
        </w:rPr>
        <w:t xml:space="preserve"> con respecto al año anterior</w:t>
      </w:r>
      <w:r w:rsidRPr="0065539C">
        <w:rPr>
          <w:rFonts w:ascii="Times New Roman" w:hAnsi="Times New Roman" w:cs="Times New Roman"/>
          <w:sz w:val="22"/>
          <w:szCs w:val="22"/>
        </w:rPr>
        <w:t>.</w:t>
      </w:r>
    </w:p>
    <w:p w14:paraId="5E69CD29" w14:textId="77777777" w:rsidR="00E66A98" w:rsidRPr="0065539C" w:rsidRDefault="00E66A98" w:rsidP="00E66A98">
      <w:pPr>
        <w:autoSpaceDE w:val="0"/>
        <w:autoSpaceDN w:val="0"/>
        <w:adjustRightInd w:val="0"/>
        <w:jc w:val="both"/>
        <w:rPr>
          <w:rFonts w:ascii="Times New Roman" w:hAnsi="Times New Roman" w:cs="Times New Roman"/>
          <w:sz w:val="22"/>
          <w:szCs w:val="22"/>
        </w:rPr>
      </w:pPr>
    </w:p>
    <w:p w14:paraId="1BF07CFB" w14:textId="77777777" w:rsidR="00E66A98" w:rsidRPr="0065539C" w:rsidRDefault="00E66A98" w:rsidP="00E66A98">
      <w:pPr>
        <w:autoSpaceDE w:val="0"/>
        <w:autoSpaceDN w:val="0"/>
        <w:adjustRightInd w:val="0"/>
        <w:jc w:val="both"/>
        <w:rPr>
          <w:rFonts w:ascii="Times New Roman" w:hAnsi="Times New Roman" w:cs="Times New Roman"/>
          <w:sz w:val="22"/>
          <w:szCs w:val="22"/>
        </w:rPr>
      </w:pPr>
      <w:r w:rsidRPr="0065539C">
        <w:rPr>
          <w:rFonts w:ascii="Times New Roman" w:hAnsi="Times New Roman" w:cs="Times New Roman"/>
          <w:noProof/>
          <w:sz w:val="22"/>
          <w:szCs w:val="22"/>
          <w:lang w:val="es-ES"/>
        </w:rPr>
        <w:drawing>
          <wp:anchor distT="0" distB="0" distL="114300" distR="114300" simplePos="0" relativeHeight="251652608" behindDoc="0" locked="0" layoutInCell="1" allowOverlap="1" wp14:anchorId="2B5DC06D" wp14:editId="507D6A96">
            <wp:simplePos x="0" y="0"/>
            <wp:positionH relativeFrom="margin">
              <wp:posOffset>2462530</wp:posOffset>
            </wp:positionH>
            <wp:positionV relativeFrom="paragraph">
              <wp:posOffset>553085</wp:posOffset>
            </wp:positionV>
            <wp:extent cx="3446780" cy="2750820"/>
            <wp:effectExtent l="0" t="0" r="1270" b="1143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Times New Roman" w:hAnsi="Times New Roman" w:cs="Times New Roman"/>
          <w:sz w:val="22"/>
          <w:szCs w:val="22"/>
        </w:rPr>
        <w:t>Con relación al p</w:t>
      </w:r>
      <w:r w:rsidRPr="0065539C">
        <w:rPr>
          <w:rFonts w:ascii="Times New Roman" w:hAnsi="Times New Roman" w:cs="Times New Roman"/>
          <w:sz w:val="22"/>
          <w:szCs w:val="22"/>
        </w:rPr>
        <w:t xml:space="preserve">resupuesto de </w:t>
      </w:r>
      <w:r>
        <w:rPr>
          <w:rFonts w:ascii="Times New Roman" w:hAnsi="Times New Roman" w:cs="Times New Roman"/>
          <w:sz w:val="22"/>
          <w:szCs w:val="22"/>
        </w:rPr>
        <w:t>i</w:t>
      </w:r>
      <w:r w:rsidRPr="0065539C">
        <w:rPr>
          <w:rFonts w:ascii="Times New Roman" w:hAnsi="Times New Roman" w:cs="Times New Roman"/>
          <w:sz w:val="22"/>
          <w:szCs w:val="22"/>
        </w:rPr>
        <w:t xml:space="preserve">ngresos </w:t>
      </w:r>
      <w:r>
        <w:rPr>
          <w:rFonts w:ascii="Times New Roman" w:hAnsi="Times New Roman" w:cs="Times New Roman"/>
          <w:sz w:val="22"/>
          <w:szCs w:val="22"/>
        </w:rPr>
        <w:t>tributarios 2019</w:t>
      </w:r>
      <w:r w:rsidR="00FE7391">
        <w:rPr>
          <w:rFonts w:ascii="Times New Roman" w:hAnsi="Times New Roman" w:cs="Times New Roman"/>
          <w:sz w:val="22"/>
          <w:szCs w:val="22"/>
        </w:rPr>
        <w:t>,</w:t>
      </w:r>
      <w:r>
        <w:rPr>
          <w:rFonts w:ascii="Times New Roman" w:hAnsi="Times New Roman" w:cs="Times New Roman"/>
          <w:sz w:val="22"/>
          <w:szCs w:val="22"/>
        </w:rPr>
        <w:t xml:space="preserve"> </w:t>
      </w:r>
      <w:r w:rsidRPr="0065539C">
        <w:rPr>
          <w:rFonts w:ascii="Times New Roman" w:hAnsi="Times New Roman" w:cs="Times New Roman"/>
          <w:sz w:val="22"/>
          <w:szCs w:val="22"/>
        </w:rPr>
        <w:t>se observa una brecha negativa de Q</w:t>
      </w:r>
      <w:r w:rsidR="00E96044" w:rsidRPr="0065539C">
        <w:rPr>
          <w:rFonts w:ascii="Times New Roman" w:hAnsi="Times New Roman" w:cs="Times New Roman"/>
          <w:sz w:val="22"/>
          <w:szCs w:val="22"/>
        </w:rPr>
        <w:t>1,431.1 millones</w:t>
      </w:r>
      <w:r w:rsidRPr="0065539C">
        <w:rPr>
          <w:rFonts w:ascii="Times New Roman" w:hAnsi="Times New Roman" w:cs="Times New Roman"/>
          <w:sz w:val="22"/>
          <w:szCs w:val="22"/>
        </w:rPr>
        <w:t xml:space="preserve">, </w:t>
      </w:r>
      <w:r w:rsidR="00B818EB">
        <w:rPr>
          <w:rFonts w:ascii="Times New Roman" w:hAnsi="Times New Roman" w:cs="Times New Roman"/>
          <w:sz w:val="22"/>
          <w:szCs w:val="22"/>
        </w:rPr>
        <w:t xml:space="preserve">de la cual, </w:t>
      </w:r>
      <w:r w:rsidRPr="0065539C">
        <w:rPr>
          <w:rFonts w:ascii="Times New Roman" w:hAnsi="Times New Roman" w:cs="Times New Roman"/>
          <w:sz w:val="22"/>
          <w:szCs w:val="22"/>
        </w:rPr>
        <w:t xml:space="preserve">los impuestos administrados por </w:t>
      </w:r>
      <w:r w:rsidR="00B818EB">
        <w:rPr>
          <w:rFonts w:ascii="Times New Roman" w:hAnsi="Times New Roman" w:cs="Times New Roman"/>
          <w:sz w:val="22"/>
          <w:szCs w:val="22"/>
        </w:rPr>
        <w:t xml:space="preserve">la </w:t>
      </w:r>
      <w:r w:rsidRPr="0065539C">
        <w:rPr>
          <w:rFonts w:ascii="Times New Roman" w:hAnsi="Times New Roman" w:cs="Times New Roman"/>
          <w:sz w:val="22"/>
          <w:szCs w:val="22"/>
        </w:rPr>
        <w:t xml:space="preserve">SAT generaron </w:t>
      </w:r>
      <w:r w:rsidR="00B818EB">
        <w:rPr>
          <w:rFonts w:ascii="Times New Roman" w:hAnsi="Times New Roman" w:cs="Times New Roman"/>
          <w:sz w:val="22"/>
          <w:szCs w:val="22"/>
        </w:rPr>
        <w:t xml:space="preserve">una </w:t>
      </w:r>
      <w:r w:rsidRPr="0065539C">
        <w:rPr>
          <w:rFonts w:ascii="Times New Roman" w:hAnsi="Times New Roman" w:cs="Times New Roman"/>
          <w:sz w:val="22"/>
          <w:szCs w:val="22"/>
        </w:rPr>
        <w:t>brecha negativa de Q1,391.6 millones</w:t>
      </w:r>
      <w:r>
        <w:rPr>
          <w:rFonts w:ascii="Times New Roman" w:hAnsi="Times New Roman" w:cs="Times New Roman"/>
          <w:sz w:val="22"/>
          <w:szCs w:val="22"/>
        </w:rPr>
        <w:t>,</w:t>
      </w:r>
      <w:r w:rsidRPr="0065539C">
        <w:rPr>
          <w:rFonts w:ascii="Times New Roman" w:hAnsi="Times New Roman" w:cs="Times New Roman"/>
          <w:sz w:val="22"/>
          <w:szCs w:val="22"/>
        </w:rPr>
        <w:t xml:space="preserve"> </w:t>
      </w:r>
      <w:r w:rsidR="00E670E3">
        <w:rPr>
          <w:rFonts w:ascii="Times New Roman" w:hAnsi="Times New Roman" w:cs="Times New Roman"/>
          <w:sz w:val="22"/>
          <w:szCs w:val="22"/>
        </w:rPr>
        <w:t>contribuyendo</w:t>
      </w:r>
      <w:r w:rsidRPr="0065539C">
        <w:rPr>
          <w:rFonts w:ascii="Times New Roman" w:hAnsi="Times New Roman" w:cs="Times New Roman"/>
          <w:sz w:val="22"/>
          <w:szCs w:val="22"/>
        </w:rPr>
        <w:t xml:space="preserve"> el </w:t>
      </w:r>
      <w:r w:rsidR="00E37841">
        <w:rPr>
          <w:rFonts w:ascii="Times New Roman" w:hAnsi="Times New Roman" w:cs="Times New Roman"/>
          <w:sz w:val="22"/>
          <w:szCs w:val="22"/>
        </w:rPr>
        <w:t>I</w:t>
      </w:r>
      <w:r w:rsidRPr="0065539C">
        <w:rPr>
          <w:rFonts w:ascii="Times New Roman" w:hAnsi="Times New Roman" w:cs="Times New Roman"/>
          <w:sz w:val="22"/>
          <w:szCs w:val="22"/>
        </w:rPr>
        <w:t xml:space="preserve">mpuesto al </w:t>
      </w:r>
      <w:r w:rsidR="00E37841">
        <w:rPr>
          <w:rFonts w:ascii="Times New Roman" w:hAnsi="Times New Roman" w:cs="Times New Roman"/>
          <w:sz w:val="22"/>
          <w:szCs w:val="22"/>
        </w:rPr>
        <w:t>V</w:t>
      </w:r>
      <w:r w:rsidRPr="0065539C">
        <w:rPr>
          <w:rFonts w:ascii="Times New Roman" w:hAnsi="Times New Roman" w:cs="Times New Roman"/>
          <w:sz w:val="22"/>
          <w:szCs w:val="22"/>
        </w:rPr>
        <w:t xml:space="preserve">alor </w:t>
      </w:r>
      <w:r w:rsidR="00E37841">
        <w:rPr>
          <w:rFonts w:ascii="Times New Roman" w:hAnsi="Times New Roman" w:cs="Times New Roman"/>
          <w:sz w:val="22"/>
          <w:szCs w:val="22"/>
        </w:rPr>
        <w:t>A</w:t>
      </w:r>
      <w:r w:rsidRPr="0065539C">
        <w:rPr>
          <w:rFonts w:ascii="Times New Roman" w:hAnsi="Times New Roman" w:cs="Times New Roman"/>
          <w:sz w:val="22"/>
          <w:szCs w:val="22"/>
        </w:rPr>
        <w:t xml:space="preserve">gregado </w:t>
      </w:r>
      <w:r w:rsidR="00E670E3">
        <w:rPr>
          <w:rFonts w:ascii="Times New Roman" w:hAnsi="Times New Roman" w:cs="Times New Roman"/>
          <w:sz w:val="22"/>
          <w:szCs w:val="22"/>
        </w:rPr>
        <w:t>con</w:t>
      </w:r>
      <w:r w:rsidRPr="0065539C">
        <w:rPr>
          <w:rFonts w:ascii="Times New Roman" w:hAnsi="Times New Roman" w:cs="Times New Roman"/>
          <w:sz w:val="22"/>
          <w:szCs w:val="22"/>
        </w:rPr>
        <w:t xml:space="preserve"> Q1,249.9 millones</w:t>
      </w:r>
      <w:r>
        <w:rPr>
          <w:rFonts w:ascii="Times New Roman" w:hAnsi="Times New Roman" w:cs="Times New Roman"/>
          <w:sz w:val="22"/>
          <w:szCs w:val="22"/>
        </w:rPr>
        <w:t>,</w:t>
      </w:r>
      <w:r w:rsidRPr="0065539C">
        <w:rPr>
          <w:rFonts w:ascii="Times New Roman" w:hAnsi="Times New Roman" w:cs="Times New Roman"/>
          <w:sz w:val="22"/>
          <w:szCs w:val="22"/>
        </w:rPr>
        <w:t xml:space="preserve"> esto a pesar </w:t>
      </w:r>
      <w:r w:rsidR="00E357EE">
        <w:rPr>
          <w:rFonts w:ascii="Times New Roman" w:hAnsi="Times New Roman" w:cs="Times New Roman"/>
          <w:sz w:val="22"/>
          <w:szCs w:val="22"/>
        </w:rPr>
        <w:t>que del análisis de situación que se realizó por parte de la SAT y el Minfin respecto del saldo de</w:t>
      </w:r>
      <w:r w:rsidR="00DD3165">
        <w:rPr>
          <w:rFonts w:ascii="Times New Roman" w:hAnsi="Times New Roman" w:cs="Times New Roman"/>
          <w:sz w:val="22"/>
          <w:szCs w:val="22"/>
        </w:rPr>
        <w:t xml:space="preserve">l </w:t>
      </w:r>
      <w:r w:rsidRPr="0065539C">
        <w:rPr>
          <w:rFonts w:ascii="Times New Roman" w:hAnsi="Times New Roman" w:cs="Times New Roman"/>
          <w:sz w:val="22"/>
          <w:szCs w:val="22"/>
        </w:rPr>
        <w:t>fondo de crédito fiscal a los exportadores</w:t>
      </w:r>
      <w:r w:rsidR="00DD3165">
        <w:rPr>
          <w:rFonts w:ascii="Times New Roman" w:hAnsi="Times New Roman" w:cs="Times New Roman"/>
          <w:sz w:val="22"/>
          <w:szCs w:val="22"/>
        </w:rPr>
        <w:t>,</w:t>
      </w:r>
      <w:r w:rsidRPr="0065539C">
        <w:rPr>
          <w:rFonts w:ascii="Times New Roman" w:hAnsi="Times New Roman" w:cs="Times New Roman"/>
          <w:sz w:val="22"/>
          <w:szCs w:val="22"/>
        </w:rPr>
        <w:t xml:space="preserve"> a partir del 16 de octubre</w:t>
      </w:r>
      <w:r>
        <w:rPr>
          <w:rFonts w:ascii="Times New Roman" w:hAnsi="Times New Roman" w:cs="Times New Roman"/>
          <w:sz w:val="22"/>
          <w:szCs w:val="22"/>
        </w:rPr>
        <w:t xml:space="preserve">, </w:t>
      </w:r>
      <w:r w:rsidR="00DD3165">
        <w:rPr>
          <w:rFonts w:ascii="Times New Roman" w:hAnsi="Times New Roman" w:cs="Times New Roman"/>
          <w:sz w:val="22"/>
          <w:szCs w:val="22"/>
        </w:rPr>
        <w:t xml:space="preserve">se suspendió </w:t>
      </w:r>
      <w:r w:rsidR="00A27F00">
        <w:rPr>
          <w:rFonts w:ascii="Times New Roman" w:hAnsi="Times New Roman" w:cs="Times New Roman"/>
          <w:sz w:val="22"/>
          <w:szCs w:val="22"/>
        </w:rPr>
        <w:t xml:space="preserve">el aprovisionamiento, </w:t>
      </w:r>
      <w:r>
        <w:rPr>
          <w:rFonts w:ascii="Times New Roman" w:hAnsi="Times New Roman" w:cs="Times New Roman"/>
          <w:sz w:val="22"/>
          <w:szCs w:val="22"/>
        </w:rPr>
        <w:t>lo que significó</w:t>
      </w:r>
      <w:r w:rsidRPr="0065539C">
        <w:rPr>
          <w:rFonts w:ascii="Times New Roman" w:hAnsi="Times New Roman" w:cs="Times New Roman"/>
          <w:sz w:val="22"/>
          <w:szCs w:val="22"/>
        </w:rPr>
        <w:t xml:space="preserve"> cerca de Q594 millones q</w:t>
      </w:r>
      <w:r>
        <w:rPr>
          <w:rFonts w:ascii="Times New Roman" w:hAnsi="Times New Roman" w:cs="Times New Roman"/>
          <w:sz w:val="22"/>
          <w:szCs w:val="22"/>
        </w:rPr>
        <w:t xml:space="preserve">ue se </w:t>
      </w:r>
      <w:r w:rsidR="00131D79">
        <w:rPr>
          <w:rFonts w:ascii="Times New Roman" w:hAnsi="Times New Roman" w:cs="Times New Roman"/>
          <w:sz w:val="22"/>
          <w:szCs w:val="22"/>
        </w:rPr>
        <w:t>registraron como recaudación</w:t>
      </w:r>
      <w:r w:rsidR="00286B2D">
        <w:rPr>
          <w:rFonts w:ascii="Times New Roman" w:hAnsi="Times New Roman" w:cs="Times New Roman"/>
          <w:sz w:val="22"/>
          <w:szCs w:val="22"/>
        </w:rPr>
        <w:t xml:space="preserve"> adicional</w:t>
      </w:r>
      <w:r w:rsidR="00131D79">
        <w:rPr>
          <w:rFonts w:ascii="Times New Roman" w:hAnsi="Times New Roman" w:cs="Times New Roman"/>
          <w:sz w:val="22"/>
          <w:szCs w:val="22"/>
        </w:rPr>
        <w:t xml:space="preserve"> </w:t>
      </w:r>
      <w:r>
        <w:rPr>
          <w:rFonts w:ascii="Times New Roman" w:hAnsi="Times New Roman" w:cs="Times New Roman"/>
          <w:sz w:val="22"/>
          <w:szCs w:val="22"/>
        </w:rPr>
        <w:t>en el impuesto.</w:t>
      </w:r>
      <w:r w:rsidRPr="0065539C">
        <w:rPr>
          <w:rFonts w:ascii="Times New Roman" w:hAnsi="Times New Roman" w:cs="Times New Roman"/>
          <w:sz w:val="22"/>
          <w:szCs w:val="22"/>
        </w:rPr>
        <w:t xml:space="preserve"> </w:t>
      </w:r>
      <w:r>
        <w:rPr>
          <w:rFonts w:ascii="Times New Roman" w:hAnsi="Times New Roman" w:cs="Times New Roman"/>
          <w:sz w:val="22"/>
          <w:szCs w:val="22"/>
        </w:rPr>
        <w:t>O</w:t>
      </w:r>
      <w:r w:rsidRPr="0065539C">
        <w:rPr>
          <w:rFonts w:ascii="Times New Roman" w:hAnsi="Times New Roman" w:cs="Times New Roman"/>
          <w:sz w:val="22"/>
          <w:szCs w:val="22"/>
        </w:rPr>
        <w:t xml:space="preserve">tro impuesto importante </w:t>
      </w:r>
      <w:r w:rsidR="00C7496B">
        <w:rPr>
          <w:rFonts w:ascii="Times New Roman" w:hAnsi="Times New Roman" w:cs="Times New Roman"/>
          <w:sz w:val="22"/>
          <w:szCs w:val="22"/>
        </w:rPr>
        <w:t>es el I</w:t>
      </w:r>
      <w:r w:rsidRPr="0065539C">
        <w:rPr>
          <w:rFonts w:ascii="Times New Roman" w:hAnsi="Times New Roman" w:cs="Times New Roman"/>
          <w:sz w:val="22"/>
          <w:szCs w:val="22"/>
        </w:rPr>
        <w:t xml:space="preserve">mpuesto </w:t>
      </w:r>
      <w:r w:rsidR="00C7496B">
        <w:rPr>
          <w:rFonts w:ascii="Times New Roman" w:hAnsi="Times New Roman" w:cs="Times New Roman"/>
          <w:sz w:val="22"/>
          <w:szCs w:val="22"/>
        </w:rPr>
        <w:t>S</w:t>
      </w:r>
      <w:r>
        <w:rPr>
          <w:rFonts w:ascii="Times New Roman" w:hAnsi="Times New Roman" w:cs="Times New Roman"/>
          <w:sz w:val="22"/>
          <w:szCs w:val="22"/>
        </w:rPr>
        <w:t xml:space="preserve">obre </w:t>
      </w:r>
      <w:r w:rsidR="00C7496B">
        <w:rPr>
          <w:rFonts w:ascii="Times New Roman" w:hAnsi="Times New Roman" w:cs="Times New Roman"/>
          <w:sz w:val="22"/>
          <w:szCs w:val="22"/>
        </w:rPr>
        <w:t>la R</w:t>
      </w:r>
      <w:r w:rsidRPr="0065539C">
        <w:rPr>
          <w:rFonts w:ascii="Times New Roman" w:hAnsi="Times New Roman" w:cs="Times New Roman"/>
          <w:sz w:val="22"/>
          <w:szCs w:val="22"/>
        </w:rPr>
        <w:t xml:space="preserve">enta, </w:t>
      </w:r>
      <w:r w:rsidR="00985D4E">
        <w:rPr>
          <w:rFonts w:ascii="Times New Roman" w:hAnsi="Times New Roman" w:cs="Times New Roman"/>
          <w:sz w:val="22"/>
          <w:szCs w:val="22"/>
        </w:rPr>
        <w:t xml:space="preserve">el cual </w:t>
      </w:r>
      <w:r>
        <w:rPr>
          <w:rFonts w:ascii="Times New Roman" w:hAnsi="Times New Roman" w:cs="Times New Roman"/>
          <w:sz w:val="22"/>
          <w:szCs w:val="22"/>
        </w:rPr>
        <w:t>logró</w:t>
      </w:r>
      <w:r w:rsidRPr="0065539C">
        <w:rPr>
          <w:rFonts w:ascii="Times New Roman" w:hAnsi="Times New Roman" w:cs="Times New Roman"/>
          <w:sz w:val="22"/>
          <w:szCs w:val="22"/>
        </w:rPr>
        <w:t xml:space="preserve"> cerrar la brecha negativa acumulada (Q397</w:t>
      </w:r>
      <w:r w:rsidR="00F95946">
        <w:rPr>
          <w:rFonts w:ascii="Times New Roman" w:hAnsi="Times New Roman" w:cs="Times New Roman"/>
          <w:sz w:val="22"/>
          <w:szCs w:val="22"/>
        </w:rPr>
        <w:t xml:space="preserve">.2 millones) observada en julio, </w:t>
      </w:r>
      <w:r w:rsidR="001043AB">
        <w:rPr>
          <w:rFonts w:ascii="Times New Roman" w:hAnsi="Times New Roman" w:cs="Times New Roman"/>
          <w:sz w:val="22"/>
          <w:szCs w:val="22"/>
        </w:rPr>
        <w:t>para situarse en</w:t>
      </w:r>
      <w:r w:rsidR="002D0BE6">
        <w:rPr>
          <w:rFonts w:ascii="Times New Roman" w:hAnsi="Times New Roman" w:cs="Times New Roman"/>
          <w:sz w:val="22"/>
          <w:szCs w:val="22"/>
        </w:rPr>
        <w:t xml:space="preserve"> Q58.6 millones</w:t>
      </w:r>
      <w:r w:rsidR="00647EB3">
        <w:rPr>
          <w:rFonts w:ascii="Times New Roman" w:hAnsi="Times New Roman" w:cs="Times New Roman"/>
          <w:sz w:val="22"/>
          <w:szCs w:val="22"/>
        </w:rPr>
        <w:t xml:space="preserve"> (brecha negativa)</w:t>
      </w:r>
      <w:r w:rsidR="002D0BE6">
        <w:rPr>
          <w:rFonts w:ascii="Times New Roman" w:hAnsi="Times New Roman" w:cs="Times New Roman"/>
          <w:sz w:val="22"/>
          <w:szCs w:val="22"/>
        </w:rPr>
        <w:t xml:space="preserve"> </w:t>
      </w:r>
      <w:r w:rsidR="00F95946" w:rsidRPr="0065539C">
        <w:rPr>
          <w:rFonts w:ascii="Times New Roman" w:hAnsi="Times New Roman" w:cs="Times New Roman"/>
          <w:sz w:val="22"/>
          <w:szCs w:val="22"/>
        </w:rPr>
        <w:t>al</w:t>
      </w:r>
      <w:r w:rsidRPr="0065539C">
        <w:rPr>
          <w:rFonts w:ascii="Times New Roman" w:hAnsi="Times New Roman" w:cs="Times New Roman"/>
          <w:sz w:val="22"/>
          <w:szCs w:val="22"/>
        </w:rPr>
        <w:t xml:space="preserve"> 31 de diciembre</w:t>
      </w:r>
      <w:r w:rsidR="00647EB3">
        <w:rPr>
          <w:rFonts w:ascii="Times New Roman" w:hAnsi="Times New Roman" w:cs="Times New Roman"/>
          <w:sz w:val="22"/>
          <w:szCs w:val="22"/>
        </w:rPr>
        <w:t>.</w:t>
      </w:r>
      <w:r w:rsidRPr="0065539C">
        <w:rPr>
          <w:rFonts w:ascii="Times New Roman" w:hAnsi="Times New Roman" w:cs="Times New Roman"/>
          <w:sz w:val="22"/>
          <w:szCs w:val="22"/>
        </w:rPr>
        <w:t xml:space="preserve"> </w:t>
      </w:r>
      <w:r w:rsidR="001C5F1C">
        <w:rPr>
          <w:rFonts w:ascii="Times New Roman" w:hAnsi="Times New Roman" w:cs="Times New Roman"/>
          <w:sz w:val="22"/>
          <w:szCs w:val="22"/>
        </w:rPr>
        <w:t>D</w:t>
      </w:r>
      <w:r w:rsidRPr="0065539C">
        <w:rPr>
          <w:rFonts w:ascii="Times New Roman" w:hAnsi="Times New Roman" w:cs="Times New Roman"/>
          <w:sz w:val="22"/>
          <w:szCs w:val="22"/>
        </w:rPr>
        <w:t>icho logro se sust</w:t>
      </w:r>
      <w:r>
        <w:rPr>
          <w:rFonts w:ascii="Times New Roman" w:hAnsi="Times New Roman" w:cs="Times New Roman"/>
          <w:sz w:val="22"/>
          <w:szCs w:val="22"/>
        </w:rPr>
        <w:t xml:space="preserve">enta en acciones que </w:t>
      </w:r>
      <w:r w:rsidR="00910869">
        <w:rPr>
          <w:rFonts w:ascii="Times New Roman" w:hAnsi="Times New Roman" w:cs="Times New Roman"/>
          <w:sz w:val="22"/>
          <w:szCs w:val="22"/>
        </w:rPr>
        <w:t xml:space="preserve">la </w:t>
      </w:r>
      <w:r>
        <w:rPr>
          <w:rFonts w:ascii="Times New Roman" w:hAnsi="Times New Roman" w:cs="Times New Roman"/>
          <w:sz w:val="22"/>
          <w:szCs w:val="22"/>
        </w:rPr>
        <w:t>SAT realizó</w:t>
      </w:r>
      <w:r w:rsidRPr="0065539C">
        <w:rPr>
          <w:rFonts w:ascii="Times New Roman" w:hAnsi="Times New Roman" w:cs="Times New Roman"/>
          <w:sz w:val="22"/>
          <w:szCs w:val="22"/>
        </w:rPr>
        <w:t xml:space="preserve"> durante el año</w:t>
      </w:r>
      <w:r w:rsidR="0036359B">
        <w:rPr>
          <w:rFonts w:ascii="Times New Roman" w:hAnsi="Times New Roman" w:cs="Times New Roman"/>
          <w:sz w:val="22"/>
          <w:szCs w:val="22"/>
        </w:rPr>
        <w:t xml:space="preserve"> con el propósito de </w:t>
      </w:r>
      <w:r w:rsidRPr="0065539C">
        <w:rPr>
          <w:rFonts w:ascii="Times New Roman" w:hAnsi="Times New Roman" w:cs="Times New Roman"/>
          <w:sz w:val="22"/>
          <w:szCs w:val="22"/>
        </w:rPr>
        <w:t>aumentar la percepción de riesgo de los contribuyentes y con ello darle gobernanza al ente recaudador</w:t>
      </w:r>
      <w:r>
        <w:rPr>
          <w:rFonts w:ascii="Times New Roman" w:hAnsi="Times New Roman" w:cs="Times New Roman"/>
          <w:sz w:val="22"/>
          <w:szCs w:val="22"/>
        </w:rPr>
        <w:t xml:space="preserve">. Asimismo, </w:t>
      </w:r>
      <w:r w:rsidRPr="0065539C">
        <w:rPr>
          <w:rFonts w:ascii="Times New Roman" w:hAnsi="Times New Roman" w:cs="Times New Roman"/>
          <w:sz w:val="22"/>
          <w:szCs w:val="22"/>
        </w:rPr>
        <w:t>por la incorporación de recaudación extraordinaria en los mes</w:t>
      </w:r>
      <w:r>
        <w:rPr>
          <w:rFonts w:ascii="Times New Roman" w:hAnsi="Times New Roman" w:cs="Times New Roman"/>
          <w:sz w:val="22"/>
          <w:szCs w:val="22"/>
        </w:rPr>
        <w:t>es de septiembre y diciembre</w:t>
      </w:r>
      <w:r w:rsidR="0036359B">
        <w:rPr>
          <w:rFonts w:ascii="Times New Roman" w:hAnsi="Times New Roman" w:cs="Times New Roman"/>
          <w:sz w:val="22"/>
          <w:szCs w:val="22"/>
        </w:rPr>
        <w:t>.</w:t>
      </w:r>
      <w:r>
        <w:rPr>
          <w:rFonts w:ascii="Times New Roman" w:hAnsi="Times New Roman" w:cs="Times New Roman"/>
          <w:sz w:val="22"/>
          <w:szCs w:val="22"/>
        </w:rPr>
        <w:t xml:space="preserve">  D</w:t>
      </w:r>
      <w:r w:rsidRPr="0065539C">
        <w:rPr>
          <w:rFonts w:ascii="Times New Roman" w:hAnsi="Times New Roman" w:cs="Times New Roman"/>
          <w:sz w:val="22"/>
          <w:szCs w:val="22"/>
        </w:rPr>
        <w:t>entro de las principales acciones que puso en marcha el ente recaudador</w:t>
      </w:r>
      <w:r>
        <w:rPr>
          <w:rFonts w:ascii="Times New Roman" w:hAnsi="Times New Roman" w:cs="Times New Roman"/>
          <w:sz w:val="22"/>
          <w:szCs w:val="22"/>
        </w:rPr>
        <w:t>,</w:t>
      </w:r>
      <w:r w:rsidRPr="0065539C">
        <w:rPr>
          <w:rFonts w:ascii="Times New Roman" w:hAnsi="Times New Roman" w:cs="Times New Roman"/>
          <w:sz w:val="22"/>
          <w:szCs w:val="22"/>
        </w:rPr>
        <w:t xml:space="preserve"> destaca la implementación del modelo operativo y normas aplicables a la factura electrónica en línea</w:t>
      </w:r>
      <w:r w:rsidR="0036359B">
        <w:rPr>
          <w:rFonts w:ascii="Times New Roman" w:hAnsi="Times New Roman" w:cs="Times New Roman"/>
          <w:sz w:val="22"/>
          <w:szCs w:val="22"/>
        </w:rPr>
        <w:t xml:space="preserve"> (FEL)</w:t>
      </w:r>
      <w:r w:rsidRPr="0065539C">
        <w:rPr>
          <w:rFonts w:ascii="Times New Roman" w:hAnsi="Times New Roman" w:cs="Times New Roman"/>
          <w:sz w:val="22"/>
          <w:szCs w:val="22"/>
        </w:rPr>
        <w:t xml:space="preserve">, que involucra la emisión, transmisión certificación y conservación por medios electrónicos de facturas, notas de crédito y débito, </w:t>
      </w:r>
      <w:r w:rsidRPr="0065539C">
        <w:rPr>
          <w:rFonts w:ascii="Times New Roman" w:hAnsi="Times New Roman" w:cs="Times New Roman"/>
          <w:sz w:val="22"/>
          <w:szCs w:val="22"/>
        </w:rPr>
        <w:lastRenderedPageBreak/>
        <w:t xml:space="preserve">recibos y otros documentos </w:t>
      </w:r>
      <w:r w:rsidR="00B77F00">
        <w:rPr>
          <w:rFonts w:ascii="Times New Roman" w:hAnsi="Times New Roman" w:cs="Times New Roman"/>
          <w:sz w:val="22"/>
          <w:szCs w:val="22"/>
        </w:rPr>
        <w:t>(D</w:t>
      </w:r>
      <w:r w:rsidR="00484F19">
        <w:rPr>
          <w:rFonts w:ascii="Times New Roman" w:hAnsi="Times New Roman" w:cs="Times New Roman"/>
          <w:sz w:val="22"/>
          <w:szCs w:val="22"/>
        </w:rPr>
        <w:t xml:space="preserve">TE) </w:t>
      </w:r>
      <w:r w:rsidRPr="0065539C">
        <w:rPr>
          <w:rFonts w:ascii="Times New Roman" w:hAnsi="Times New Roman" w:cs="Times New Roman"/>
          <w:sz w:val="22"/>
          <w:szCs w:val="22"/>
        </w:rPr>
        <w:t xml:space="preserve">autorizados por la SAT, </w:t>
      </w:r>
      <w:r>
        <w:rPr>
          <w:rFonts w:ascii="Times New Roman" w:hAnsi="Times New Roman" w:cs="Times New Roman"/>
          <w:sz w:val="22"/>
          <w:szCs w:val="22"/>
        </w:rPr>
        <w:t xml:space="preserve">el programa </w:t>
      </w:r>
      <w:r w:rsidRPr="0065539C">
        <w:rPr>
          <w:rFonts w:ascii="Times New Roman" w:hAnsi="Times New Roman" w:cs="Times New Roman"/>
          <w:sz w:val="22"/>
          <w:szCs w:val="22"/>
        </w:rPr>
        <w:t>Modernización Integral Aduanera</w:t>
      </w:r>
      <w:r w:rsidR="003C5975">
        <w:rPr>
          <w:rFonts w:ascii="Times New Roman" w:hAnsi="Times New Roman" w:cs="Times New Roman"/>
          <w:sz w:val="22"/>
          <w:szCs w:val="22"/>
        </w:rPr>
        <w:t xml:space="preserve"> (MIAD)</w:t>
      </w:r>
      <w:r w:rsidRPr="0065539C">
        <w:rPr>
          <w:rFonts w:ascii="Times New Roman" w:hAnsi="Times New Roman" w:cs="Times New Roman"/>
          <w:sz w:val="22"/>
          <w:szCs w:val="22"/>
        </w:rPr>
        <w:t xml:space="preserve">, </w:t>
      </w:r>
      <w:r>
        <w:rPr>
          <w:rFonts w:ascii="Times New Roman" w:hAnsi="Times New Roman" w:cs="Times New Roman"/>
          <w:sz w:val="22"/>
          <w:szCs w:val="22"/>
        </w:rPr>
        <w:t xml:space="preserve">el </w:t>
      </w:r>
      <w:r w:rsidRPr="0065539C">
        <w:rPr>
          <w:rFonts w:ascii="Times New Roman" w:hAnsi="Times New Roman" w:cs="Times New Roman"/>
          <w:sz w:val="22"/>
          <w:szCs w:val="22"/>
        </w:rPr>
        <w:t xml:space="preserve">Fortalecimiento de la Gestión Integral de Riesgos y la </w:t>
      </w:r>
      <w:r>
        <w:rPr>
          <w:rFonts w:ascii="Times New Roman" w:hAnsi="Times New Roman" w:cs="Times New Roman"/>
          <w:sz w:val="22"/>
          <w:szCs w:val="22"/>
        </w:rPr>
        <w:t>m</w:t>
      </w:r>
      <w:r w:rsidRPr="0065539C">
        <w:rPr>
          <w:rFonts w:ascii="Times New Roman" w:hAnsi="Times New Roman" w:cs="Times New Roman"/>
          <w:sz w:val="22"/>
          <w:szCs w:val="22"/>
        </w:rPr>
        <w:t>odernización del Registro Tributario Unificado</w:t>
      </w:r>
      <w:r w:rsidR="00984ECC">
        <w:rPr>
          <w:rFonts w:ascii="Times New Roman" w:hAnsi="Times New Roman" w:cs="Times New Roman"/>
          <w:sz w:val="22"/>
          <w:szCs w:val="22"/>
        </w:rPr>
        <w:t xml:space="preserve"> (RTU),</w:t>
      </w:r>
      <w:r w:rsidRPr="0065539C">
        <w:rPr>
          <w:rFonts w:ascii="Times New Roman" w:hAnsi="Times New Roman" w:cs="Times New Roman"/>
          <w:sz w:val="22"/>
          <w:szCs w:val="22"/>
        </w:rPr>
        <w:t xml:space="preserve"> entre otros.</w:t>
      </w:r>
    </w:p>
    <w:p w14:paraId="768D4FD4" w14:textId="12C068F3" w:rsidR="00E66A98" w:rsidRPr="0065539C" w:rsidRDefault="00E66A98" w:rsidP="00E66A98">
      <w:pPr>
        <w:autoSpaceDE w:val="0"/>
        <w:autoSpaceDN w:val="0"/>
        <w:adjustRightInd w:val="0"/>
        <w:jc w:val="both"/>
        <w:rPr>
          <w:rFonts w:ascii="Times New Roman" w:hAnsi="Times New Roman" w:cs="Times New Roman"/>
          <w:sz w:val="22"/>
          <w:szCs w:val="22"/>
        </w:rPr>
      </w:pPr>
    </w:p>
    <w:p w14:paraId="263C608B" w14:textId="77777777" w:rsidR="00E66A98" w:rsidRDefault="00E66A98" w:rsidP="00E66A98">
      <w:pPr>
        <w:jc w:val="both"/>
        <w:rPr>
          <w:rFonts w:ascii="Times New Roman" w:hAnsi="Times New Roman" w:cs="Times New Roman"/>
          <w:sz w:val="22"/>
          <w:szCs w:val="22"/>
        </w:rPr>
      </w:pPr>
      <w:r w:rsidRPr="0065539C">
        <w:rPr>
          <w:rFonts w:ascii="Times New Roman" w:hAnsi="Times New Roman" w:cs="Times New Roman"/>
          <w:sz w:val="22"/>
          <w:szCs w:val="22"/>
        </w:rPr>
        <w:t>Los impuestos no administrados por SAT generaron una brecha negativa de Q42.5 millones</w:t>
      </w:r>
      <w:r w:rsidR="00637486">
        <w:rPr>
          <w:rFonts w:ascii="Times New Roman" w:hAnsi="Times New Roman" w:cs="Times New Roman"/>
          <w:sz w:val="22"/>
          <w:szCs w:val="22"/>
        </w:rPr>
        <w:t>,</w:t>
      </w:r>
      <w:r w:rsidRPr="0065539C">
        <w:rPr>
          <w:rFonts w:ascii="Times New Roman" w:hAnsi="Times New Roman" w:cs="Times New Roman"/>
          <w:sz w:val="22"/>
          <w:szCs w:val="22"/>
        </w:rPr>
        <w:t xml:space="preserve"> los cuales solo por concepto de Regalías e Hidrocarburos Compartibles fueron Q47.2 millones, el impuesto de Salidas del País</w:t>
      </w:r>
      <w:r w:rsidR="00637486">
        <w:rPr>
          <w:rFonts w:ascii="Times New Roman" w:hAnsi="Times New Roman" w:cs="Times New Roman"/>
          <w:sz w:val="22"/>
          <w:szCs w:val="22"/>
        </w:rPr>
        <w:t>,</w:t>
      </w:r>
      <w:r w:rsidRPr="0065539C">
        <w:rPr>
          <w:rFonts w:ascii="Times New Roman" w:hAnsi="Times New Roman" w:cs="Times New Roman"/>
          <w:sz w:val="22"/>
          <w:szCs w:val="22"/>
        </w:rPr>
        <w:t xml:space="preserve"> que administra el INGUAT</w:t>
      </w:r>
      <w:r w:rsidR="00637486">
        <w:rPr>
          <w:rFonts w:ascii="Times New Roman" w:hAnsi="Times New Roman" w:cs="Times New Roman"/>
          <w:sz w:val="22"/>
          <w:szCs w:val="22"/>
        </w:rPr>
        <w:t>,</w:t>
      </w:r>
      <w:r w:rsidRPr="0065539C">
        <w:rPr>
          <w:rFonts w:ascii="Times New Roman" w:hAnsi="Times New Roman" w:cs="Times New Roman"/>
          <w:sz w:val="22"/>
          <w:szCs w:val="22"/>
        </w:rPr>
        <w:t xml:space="preserve"> generó brecha positiva de Q4.7 millones y un crecimiento interanual de 8.4%.</w:t>
      </w:r>
    </w:p>
    <w:p w14:paraId="755076F4" w14:textId="77777777" w:rsidR="00E66A98" w:rsidRPr="00113A1E" w:rsidRDefault="00E66A98" w:rsidP="00E66A98">
      <w:pPr>
        <w:jc w:val="both"/>
        <w:rPr>
          <w:rFonts w:ascii="Times New Roman" w:hAnsi="Times New Roman" w:cs="Times New Roman"/>
          <w:color w:val="FF0000"/>
          <w:lang w:val="es-MX"/>
        </w:rPr>
      </w:pPr>
    </w:p>
    <w:p w14:paraId="2AF07344" w14:textId="77777777" w:rsidR="00E66A98" w:rsidRPr="00E353E5" w:rsidRDefault="00E66A98" w:rsidP="00E66A98">
      <w:pPr>
        <w:pStyle w:val="Ttulo2"/>
        <w:numPr>
          <w:ilvl w:val="1"/>
          <w:numId w:val="11"/>
        </w:numPr>
        <w:spacing w:before="0"/>
        <w:ind w:left="567"/>
        <w:rPr>
          <w:rFonts w:ascii="Times New Roman" w:hAnsi="Times New Roman" w:cs="Times New Roman"/>
          <w:color w:val="auto"/>
          <w:sz w:val="24"/>
        </w:rPr>
      </w:pPr>
      <w:bookmarkStart w:id="33" w:name="_Toc471987132"/>
      <w:bookmarkStart w:id="34" w:name="_Toc32230882"/>
      <w:r w:rsidRPr="00E353E5">
        <w:rPr>
          <w:rFonts w:ascii="Times New Roman" w:hAnsi="Times New Roman" w:cs="Times New Roman"/>
          <w:color w:val="auto"/>
          <w:sz w:val="24"/>
        </w:rPr>
        <w:t>Recaudación por impuesto</w:t>
      </w:r>
      <w:bookmarkEnd w:id="33"/>
      <w:bookmarkEnd w:id="34"/>
    </w:p>
    <w:p w14:paraId="6582BEA9" w14:textId="77777777" w:rsidR="00E66A98" w:rsidRPr="00113A1E" w:rsidRDefault="00E66A98" w:rsidP="00E66A98">
      <w:pPr>
        <w:jc w:val="both"/>
        <w:rPr>
          <w:rFonts w:ascii="Times New Roman" w:hAnsi="Times New Roman" w:cs="Times New Roman"/>
          <w:color w:val="FF0000"/>
          <w:lang w:val="es-MX"/>
        </w:rPr>
      </w:pPr>
    </w:p>
    <w:p w14:paraId="63D933C2" w14:textId="77777777" w:rsidR="00E66A98" w:rsidRPr="0065539C" w:rsidRDefault="00E66A98" w:rsidP="00E66A98">
      <w:pPr>
        <w:jc w:val="both"/>
        <w:rPr>
          <w:rFonts w:ascii="Times New Roman" w:hAnsi="Times New Roman" w:cs="Times New Roman"/>
          <w:sz w:val="22"/>
          <w:szCs w:val="22"/>
          <w:lang w:val="es-MX"/>
        </w:rPr>
      </w:pPr>
      <w:r w:rsidRPr="0065539C">
        <w:rPr>
          <w:rFonts w:ascii="Times New Roman" w:hAnsi="Times New Roman" w:cs="Times New Roman"/>
          <w:sz w:val="22"/>
          <w:szCs w:val="22"/>
          <w:lang w:val="es-MX"/>
        </w:rPr>
        <w:t>El balance de la recaudación tributaria en 2019 marca un crecimiento interanual de 6.4% y un incumplimiento de 2.2% de la meta establecida en presupuesto, estos resultados obedecen a factores</w:t>
      </w:r>
      <w:r>
        <w:rPr>
          <w:rFonts w:ascii="Times New Roman" w:hAnsi="Times New Roman" w:cs="Times New Roman"/>
          <w:sz w:val="22"/>
          <w:szCs w:val="22"/>
          <w:lang w:val="es-MX"/>
        </w:rPr>
        <w:t xml:space="preserve"> tales como </w:t>
      </w:r>
      <w:r w:rsidRPr="0065539C">
        <w:rPr>
          <w:rFonts w:ascii="Times New Roman" w:hAnsi="Times New Roman" w:cs="Times New Roman"/>
          <w:sz w:val="22"/>
          <w:szCs w:val="22"/>
          <w:lang w:val="es-MX"/>
        </w:rPr>
        <w:t>el tipo de cambio, las remesas familiares, el precio internacional del petróleo y el valor de las importaciones.</w:t>
      </w:r>
    </w:p>
    <w:p w14:paraId="1EA37591" w14:textId="77777777" w:rsidR="00E66A98" w:rsidRDefault="00E66A98" w:rsidP="00E66A98">
      <w:pPr>
        <w:jc w:val="both"/>
        <w:rPr>
          <w:rFonts w:ascii="Times New Roman" w:hAnsi="Times New Roman" w:cs="Times New Roman"/>
          <w:sz w:val="22"/>
          <w:szCs w:val="22"/>
          <w:lang w:val="es-MX"/>
        </w:rPr>
      </w:pPr>
    </w:p>
    <w:p w14:paraId="7FE1F837" w14:textId="77777777" w:rsidR="00E66A98" w:rsidRDefault="00E66A98" w:rsidP="00E66A98">
      <w:pPr>
        <w:jc w:val="both"/>
        <w:rPr>
          <w:rFonts w:ascii="Times New Roman" w:hAnsi="Times New Roman" w:cs="Times New Roman"/>
          <w:sz w:val="22"/>
          <w:szCs w:val="22"/>
          <w:lang w:val="es-MX"/>
        </w:rPr>
      </w:pPr>
      <w:r>
        <w:rPr>
          <w:rFonts w:ascii="Times New Roman" w:hAnsi="Times New Roman" w:cs="Times New Roman"/>
          <w:sz w:val="22"/>
          <w:szCs w:val="22"/>
          <w:lang w:val="es-MX"/>
        </w:rPr>
        <w:t>Efectos negativos sobre la recaudación fueron producto de</w:t>
      </w:r>
      <w:r w:rsidRPr="0065539C">
        <w:rPr>
          <w:rFonts w:ascii="Times New Roman" w:hAnsi="Times New Roman" w:cs="Times New Roman"/>
          <w:sz w:val="22"/>
          <w:szCs w:val="22"/>
          <w:lang w:val="es-MX"/>
        </w:rPr>
        <w:t>:</w:t>
      </w:r>
    </w:p>
    <w:p w14:paraId="1AFC4D32" w14:textId="77777777" w:rsidR="00E66A98" w:rsidRPr="0065539C" w:rsidRDefault="00E66A98" w:rsidP="00E66A98">
      <w:pPr>
        <w:jc w:val="both"/>
        <w:rPr>
          <w:rFonts w:ascii="Times New Roman" w:hAnsi="Times New Roman" w:cs="Times New Roman"/>
          <w:sz w:val="22"/>
          <w:szCs w:val="22"/>
          <w:lang w:val="es-MX"/>
        </w:rPr>
      </w:pPr>
    </w:p>
    <w:p w14:paraId="5C2A2A57" w14:textId="77777777" w:rsidR="00E66A98" w:rsidRDefault="00637486" w:rsidP="00E66A98">
      <w:pPr>
        <w:pStyle w:val="Prrafodelista"/>
        <w:numPr>
          <w:ilvl w:val="0"/>
          <w:numId w:val="31"/>
        </w:numPr>
        <w:spacing w:line="259" w:lineRule="auto"/>
        <w:jc w:val="both"/>
        <w:rPr>
          <w:rFonts w:ascii="Times New Roman" w:hAnsi="Times New Roman" w:cs="Times New Roman"/>
          <w:lang w:val="es-MX"/>
        </w:rPr>
      </w:pPr>
      <w:r>
        <w:rPr>
          <w:rFonts w:ascii="Times New Roman" w:hAnsi="Times New Roman" w:cs="Times New Roman"/>
          <w:lang w:val="es-MX"/>
        </w:rPr>
        <w:t>L</w:t>
      </w:r>
      <w:r w:rsidR="00E66A98" w:rsidRPr="00E317DF">
        <w:rPr>
          <w:rFonts w:ascii="Times New Roman" w:hAnsi="Times New Roman" w:cs="Times New Roman"/>
          <w:lang w:val="es-MX"/>
        </w:rPr>
        <w:t>a desaceleración en las principales variables macroeconómicas para el año 2019</w:t>
      </w:r>
      <w:r>
        <w:rPr>
          <w:rFonts w:ascii="Times New Roman" w:hAnsi="Times New Roman" w:cs="Times New Roman"/>
          <w:lang w:val="es-MX"/>
        </w:rPr>
        <w:t>,</w:t>
      </w:r>
      <w:r w:rsidR="00E66A98" w:rsidRPr="00E317DF">
        <w:rPr>
          <w:rFonts w:ascii="Times New Roman" w:hAnsi="Times New Roman" w:cs="Times New Roman"/>
          <w:lang w:val="es-MX"/>
        </w:rPr>
        <w:t xml:space="preserve"> cuya evolución respecto a las expectativas de crecimiento se ubicaron en el límite inferior del rango previsto por el </w:t>
      </w:r>
      <w:r w:rsidR="00E66A98">
        <w:rPr>
          <w:rFonts w:ascii="Times New Roman" w:hAnsi="Times New Roman" w:cs="Times New Roman"/>
          <w:lang w:val="es-MX"/>
        </w:rPr>
        <w:t>Banco de Guatemala.</w:t>
      </w:r>
    </w:p>
    <w:p w14:paraId="58A727C4" w14:textId="77777777" w:rsidR="00E66A98" w:rsidRPr="00E317DF" w:rsidRDefault="00E66A98" w:rsidP="00E66A98">
      <w:pPr>
        <w:pStyle w:val="Prrafodelista"/>
        <w:spacing w:line="259" w:lineRule="auto"/>
        <w:jc w:val="both"/>
        <w:rPr>
          <w:rFonts w:ascii="Times New Roman" w:hAnsi="Times New Roman" w:cs="Times New Roman"/>
          <w:lang w:val="es-MX"/>
        </w:rPr>
      </w:pPr>
    </w:p>
    <w:p w14:paraId="1FAD7414" w14:textId="77777777" w:rsidR="00E66A98" w:rsidRPr="00E353E5" w:rsidRDefault="00E66A98" w:rsidP="00E66A98">
      <w:pPr>
        <w:pStyle w:val="Prrafodelista"/>
        <w:numPr>
          <w:ilvl w:val="0"/>
          <w:numId w:val="31"/>
        </w:numPr>
        <w:spacing w:line="259" w:lineRule="auto"/>
        <w:jc w:val="both"/>
        <w:rPr>
          <w:rFonts w:ascii="Times New Roman" w:hAnsi="Times New Roman" w:cs="Times New Roman"/>
          <w:lang w:val="es-MX"/>
        </w:rPr>
      </w:pPr>
      <w:r w:rsidRPr="0065539C">
        <w:rPr>
          <w:rFonts w:ascii="Times New Roman" w:hAnsi="Times New Roman" w:cs="Times New Roman"/>
          <w:lang w:val="es-MX"/>
        </w:rPr>
        <w:t>La implementación de la Declaración Única Centroamericana -</w:t>
      </w:r>
      <w:r w:rsidRPr="0065539C">
        <w:rPr>
          <w:rFonts w:ascii="Times New Roman" w:hAnsi="Times New Roman" w:cs="Times New Roman"/>
          <w:lang w:val="es-ES"/>
        </w:rPr>
        <w:t>DUCA- que entró en vigencia el 7 de mayo 2019, administrada por la Secretaría de Integración Económica Centroamericana (SIECA) y por las administraciones tributarias de Guatemala, El Salvador y Honduras</w:t>
      </w:r>
      <w:r>
        <w:rPr>
          <w:rFonts w:ascii="Times New Roman" w:hAnsi="Times New Roman" w:cs="Times New Roman"/>
          <w:lang w:val="es-ES"/>
        </w:rPr>
        <w:t>, afectó negativamente la recaudación durante el proceso de su implementación</w:t>
      </w:r>
      <w:r w:rsidRPr="0065539C">
        <w:rPr>
          <w:rFonts w:ascii="Times New Roman" w:hAnsi="Times New Roman" w:cs="Times New Roman"/>
          <w:lang w:val="es-ES"/>
        </w:rPr>
        <w:t>.</w:t>
      </w:r>
    </w:p>
    <w:p w14:paraId="5C4AEFFE" w14:textId="77777777" w:rsidR="00E66A98" w:rsidRPr="00E353E5" w:rsidRDefault="00E66A98" w:rsidP="00E66A98">
      <w:pPr>
        <w:spacing w:line="259" w:lineRule="auto"/>
        <w:jc w:val="both"/>
        <w:rPr>
          <w:rFonts w:ascii="Times New Roman" w:hAnsi="Times New Roman" w:cs="Times New Roman"/>
          <w:sz w:val="22"/>
          <w:szCs w:val="22"/>
          <w:lang w:val="es-MX"/>
        </w:rPr>
      </w:pPr>
    </w:p>
    <w:p w14:paraId="41E5BD1D" w14:textId="77777777" w:rsidR="00E66A98" w:rsidRPr="002A60BD" w:rsidRDefault="00E66A98" w:rsidP="00E66A98">
      <w:pPr>
        <w:pStyle w:val="Prrafodelista"/>
        <w:numPr>
          <w:ilvl w:val="0"/>
          <w:numId w:val="31"/>
        </w:numPr>
        <w:spacing w:line="259" w:lineRule="auto"/>
        <w:jc w:val="both"/>
        <w:rPr>
          <w:rFonts w:ascii="Times New Roman" w:hAnsi="Times New Roman" w:cs="Times New Roman"/>
          <w:lang w:val="es-MX"/>
        </w:rPr>
      </w:pPr>
      <w:r w:rsidRPr="0065539C">
        <w:rPr>
          <w:rFonts w:ascii="Times New Roman" w:hAnsi="Times New Roman" w:cs="Times New Roman"/>
          <w:lang w:val="es-ES"/>
        </w:rPr>
        <w:t>La aprobación del Decreto número 4-2019 el 3 de abril de 2019 y publicado en el diario oficial el 24 de abril del mismo año.  El artículo 4 reformó el primer párrafo del artículo 16 del Decreto Número 10-2012 del Congreso de la República, Ley de Actualización Tributaria, el cual modificó el tipo impositivo de las facturas especiales estableciendo el 5% sobre la renta imponible, ya que anteriormente se calculaba según el rango de renta imponible siendo de 5% hasta Q30,000 y el 7% sobre el excedente para montos mayores a Q30,000.</w:t>
      </w:r>
    </w:p>
    <w:p w14:paraId="2594D335" w14:textId="77777777" w:rsidR="00E66A98" w:rsidRPr="002A60BD" w:rsidRDefault="00E66A98" w:rsidP="00E66A98">
      <w:pPr>
        <w:pStyle w:val="Prrafodelista"/>
        <w:rPr>
          <w:rFonts w:ascii="Times New Roman" w:hAnsi="Times New Roman" w:cs="Times New Roman"/>
          <w:lang w:val="es-MX"/>
        </w:rPr>
      </w:pPr>
    </w:p>
    <w:p w14:paraId="597771A4" w14:textId="77777777" w:rsidR="00E66A98" w:rsidRPr="00383208" w:rsidRDefault="00E66A98" w:rsidP="00E66A98">
      <w:pPr>
        <w:pStyle w:val="Prrafodelista"/>
        <w:numPr>
          <w:ilvl w:val="0"/>
          <w:numId w:val="31"/>
        </w:numPr>
        <w:spacing w:line="259" w:lineRule="auto"/>
        <w:jc w:val="both"/>
        <w:rPr>
          <w:rFonts w:ascii="Times New Roman" w:hAnsi="Times New Roman" w:cs="Times New Roman"/>
          <w:lang w:val="es-MX"/>
        </w:rPr>
      </w:pPr>
      <w:r>
        <w:rPr>
          <w:rFonts w:ascii="Times New Roman" w:hAnsi="Times New Roman" w:cs="Times New Roman"/>
          <w:lang w:val="es-MX"/>
        </w:rPr>
        <w:t>La evolución de los precios internacionales del petróleo y sus derivados.</w:t>
      </w:r>
    </w:p>
    <w:p w14:paraId="564F952A" w14:textId="77777777" w:rsidR="00E66A98" w:rsidRPr="00383208" w:rsidRDefault="00E66A98" w:rsidP="00E66A98">
      <w:pPr>
        <w:spacing w:line="259" w:lineRule="auto"/>
        <w:jc w:val="both"/>
        <w:rPr>
          <w:rFonts w:ascii="Times New Roman" w:hAnsi="Times New Roman" w:cs="Times New Roman"/>
          <w:lang w:val="es-MX"/>
        </w:rPr>
      </w:pPr>
    </w:p>
    <w:p w14:paraId="461A5E60" w14:textId="77777777" w:rsidR="00E66A98" w:rsidRPr="0065539C" w:rsidRDefault="00E66A98" w:rsidP="00E66A98">
      <w:pPr>
        <w:jc w:val="both"/>
        <w:rPr>
          <w:rFonts w:ascii="Times New Roman" w:hAnsi="Times New Roman" w:cs="Times New Roman"/>
          <w:sz w:val="22"/>
          <w:szCs w:val="22"/>
          <w:lang w:val="es-MX"/>
        </w:rPr>
      </w:pPr>
      <w:r w:rsidRPr="0065539C">
        <w:rPr>
          <w:rFonts w:ascii="Times New Roman" w:hAnsi="Times New Roman" w:cs="Times New Roman"/>
          <w:sz w:val="22"/>
          <w:szCs w:val="22"/>
          <w:lang w:val="es-MX"/>
        </w:rPr>
        <w:t>A pesar de la incidencia</w:t>
      </w:r>
      <w:r>
        <w:rPr>
          <w:rFonts w:ascii="Times New Roman" w:hAnsi="Times New Roman" w:cs="Times New Roman"/>
          <w:sz w:val="22"/>
          <w:szCs w:val="22"/>
          <w:lang w:val="es-MX"/>
        </w:rPr>
        <w:t xml:space="preserve"> negativa</w:t>
      </w:r>
      <w:r w:rsidRPr="0065539C">
        <w:rPr>
          <w:rFonts w:ascii="Times New Roman" w:hAnsi="Times New Roman" w:cs="Times New Roman"/>
          <w:sz w:val="22"/>
          <w:szCs w:val="22"/>
          <w:lang w:val="es-MX"/>
        </w:rPr>
        <w:t xml:space="preserve"> de los factores mencionados con anterioridad</w:t>
      </w:r>
      <w:r>
        <w:rPr>
          <w:rFonts w:ascii="Times New Roman" w:hAnsi="Times New Roman" w:cs="Times New Roman"/>
          <w:sz w:val="22"/>
          <w:szCs w:val="22"/>
          <w:lang w:val="es-MX"/>
        </w:rPr>
        <w:t>,</w:t>
      </w:r>
      <w:r w:rsidRPr="0065539C">
        <w:rPr>
          <w:rFonts w:ascii="Times New Roman" w:hAnsi="Times New Roman" w:cs="Times New Roman"/>
          <w:sz w:val="22"/>
          <w:szCs w:val="22"/>
          <w:lang w:val="es-MX"/>
        </w:rPr>
        <w:t xml:space="preserve"> se observan resultados positivos respecto a lo observado en 2018, para los principales</w:t>
      </w:r>
      <w:r>
        <w:rPr>
          <w:rFonts w:ascii="Times New Roman" w:hAnsi="Times New Roman" w:cs="Times New Roman"/>
          <w:sz w:val="22"/>
          <w:szCs w:val="22"/>
          <w:lang w:val="es-MX"/>
        </w:rPr>
        <w:t xml:space="preserve"> impuestos que representan el 75.1</w:t>
      </w:r>
      <w:r w:rsidRPr="0065539C">
        <w:rPr>
          <w:rFonts w:ascii="Times New Roman" w:hAnsi="Times New Roman" w:cs="Times New Roman"/>
          <w:sz w:val="22"/>
          <w:szCs w:val="22"/>
          <w:lang w:val="es-MX"/>
        </w:rPr>
        <w:t>% de la recaudación total</w:t>
      </w:r>
      <w:r>
        <w:rPr>
          <w:rFonts w:ascii="Times New Roman" w:hAnsi="Times New Roman" w:cs="Times New Roman"/>
          <w:sz w:val="22"/>
          <w:szCs w:val="22"/>
          <w:lang w:val="es-MX"/>
        </w:rPr>
        <w:t>. S</w:t>
      </w:r>
      <w:r w:rsidRPr="0065539C">
        <w:rPr>
          <w:rFonts w:ascii="Times New Roman" w:hAnsi="Times New Roman" w:cs="Times New Roman"/>
          <w:sz w:val="22"/>
          <w:szCs w:val="22"/>
          <w:lang w:val="es-MX"/>
        </w:rPr>
        <w:t xml:space="preserve">e observó que el ISR creció de manera interanual en 5.3% y el impuesto al valor agregado 7.9% </w:t>
      </w:r>
      <w:r w:rsidRPr="0065539C">
        <w:rPr>
          <w:rFonts w:ascii="Times New Roman" w:hAnsi="Times New Roman" w:cs="Times New Roman"/>
          <w:i/>
          <w:sz w:val="22"/>
          <w:szCs w:val="22"/>
          <w:lang w:val="es-MX"/>
        </w:rPr>
        <w:t>(IVA asociado al consumo interno 1</w:t>
      </w:r>
      <w:r>
        <w:rPr>
          <w:rFonts w:ascii="Times New Roman" w:hAnsi="Times New Roman" w:cs="Times New Roman"/>
          <w:i/>
          <w:sz w:val="22"/>
          <w:szCs w:val="22"/>
          <w:lang w:val="es-MX"/>
        </w:rPr>
        <w:t>0</w:t>
      </w:r>
      <w:r w:rsidRPr="0065539C">
        <w:rPr>
          <w:rFonts w:ascii="Times New Roman" w:hAnsi="Times New Roman" w:cs="Times New Roman"/>
          <w:i/>
          <w:sz w:val="22"/>
          <w:szCs w:val="22"/>
          <w:lang w:val="es-MX"/>
        </w:rPr>
        <w:t>.2% e IVA asociado a las importaciones 5.8%)</w:t>
      </w:r>
      <w:r w:rsidRPr="0065539C">
        <w:rPr>
          <w:rFonts w:ascii="Times New Roman" w:hAnsi="Times New Roman" w:cs="Times New Roman"/>
          <w:sz w:val="22"/>
          <w:szCs w:val="22"/>
          <w:lang w:val="es-MX"/>
        </w:rPr>
        <w:t>.</w:t>
      </w:r>
    </w:p>
    <w:p w14:paraId="7CA354D9" w14:textId="77777777" w:rsidR="00E66A98" w:rsidRPr="0065539C" w:rsidRDefault="00E66A98" w:rsidP="00E66A98">
      <w:pPr>
        <w:jc w:val="both"/>
        <w:rPr>
          <w:rFonts w:ascii="Times New Roman" w:hAnsi="Times New Roman" w:cs="Times New Roman"/>
          <w:sz w:val="22"/>
          <w:szCs w:val="22"/>
          <w:lang w:val="es-MX"/>
        </w:rPr>
      </w:pPr>
    </w:p>
    <w:p w14:paraId="20FB1014" w14:textId="77777777" w:rsidR="00E66A98" w:rsidRDefault="00E66A98" w:rsidP="00E66A98">
      <w:pPr>
        <w:jc w:val="both"/>
        <w:rPr>
          <w:rFonts w:ascii="Times New Roman" w:hAnsi="Times New Roman" w:cs="Times New Roman"/>
          <w:sz w:val="22"/>
          <w:szCs w:val="22"/>
          <w:lang w:val="es-MX"/>
        </w:rPr>
      </w:pPr>
    </w:p>
    <w:p w14:paraId="5AA4A3DC" w14:textId="77777777" w:rsidR="00E66A98" w:rsidRDefault="00E66A98" w:rsidP="00E66A98">
      <w:pPr>
        <w:jc w:val="both"/>
        <w:rPr>
          <w:rFonts w:ascii="Times New Roman" w:hAnsi="Times New Roman" w:cs="Times New Roman"/>
          <w:sz w:val="22"/>
          <w:szCs w:val="22"/>
          <w:lang w:val="es-MX"/>
        </w:rPr>
      </w:pPr>
    </w:p>
    <w:p w14:paraId="792F0B88" w14:textId="77777777" w:rsidR="003C773C" w:rsidRDefault="003C773C" w:rsidP="00E66A98">
      <w:pPr>
        <w:jc w:val="both"/>
        <w:rPr>
          <w:rFonts w:ascii="Times New Roman" w:hAnsi="Times New Roman" w:cs="Times New Roman"/>
          <w:sz w:val="22"/>
          <w:szCs w:val="22"/>
          <w:lang w:val="es-MX"/>
        </w:rPr>
      </w:pPr>
    </w:p>
    <w:p w14:paraId="1CDA4DBB" w14:textId="4DEE9852" w:rsidR="00621318" w:rsidRDefault="00621318" w:rsidP="00E66A98">
      <w:pPr>
        <w:jc w:val="both"/>
        <w:rPr>
          <w:rFonts w:ascii="Times New Roman" w:hAnsi="Times New Roman" w:cs="Times New Roman"/>
          <w:sz w:val="22"/>
          <w:szCs w:val="22"/>
          <w:lang w:val="es-MX"/>
        </w:rPr>
      </w:pPr>
    </w:p>
    <w:p w14:paraId="55565EC6" w14:textId="41146904" w:rsidR="00714DD2" w:rsidRDefault="00714DD2" w:rsidP="00E66A98">
      <w:pPr>
        <w:jc w:val="both"/>
        <w:rPr>
          <w:rFonts w:ascii="Times New Roman" w:hAnsi="Times New Roman" w:cs="Times New Roman"/>
          <w:sz w:val="22"/>
          <w:szCs w:val="22"/>
          <w:lang w:val="es-MX"/>
        </w:rPr>
      </w:pPr>
    </w:p>
    <w:p w14:paraId="470DA1BC" w14:textId="7F7DA776" w:rsidR="00714DD2" w:rsidRDefault="00714DD2" w:rsidP="00E66A98">
      <w:pPr>
        <w:jc w:val="both"/>
        <w:rPr>
          <w:rFonts w:ascii="Times New Roman" w:hAnsi="Times New Roman" w:cs="Times New Roman"/>
          <w:sz w:val="22"/>
          <w:szCs w:val="22"/>
          <w:lang w:val="es-MX"/>
        </w:rPr>
      </w:pPr>
    </w:p>
    <w:p w14:paraId="7DE4B301" w14:textId="71CDBBA5" w:rsidR="00E66A98" w:rsidRDefault="00E66A98" w:rsidP="00E66A98">
      <w:pPr>
        <w:jc w:val="both"/>
        <w:rPr>
          <w:rFonts w:ascii="Times New Roman" w:hAnsi="Times New Roman" w:cs="Times New Roman"/>
          <w:sz w:val="22"/>
          <w:szCs w:val="22"/>
          <w:lang w:val="es-MX"/>
        </w:rPr>
      </w:pPr>
    </w:p>
    <w:p w14:paraId="7CA49E0D" w14:textId="77777777" w:rsidR="0054409D" w:rsidRPr="0065539C" w:rsidRDefault="0054409D" w:rsidP="00E66A98">
      <w:pPr>
        <w:jc w:val="both"/>
        <w:rPr>
          <w:rFonts w:ascii="Times New Roman" w:hAnsi="Times New Roman" w:cs="Times New Roman"/>
          <w:sz w:val="22"/>
          <w:szCs w:val="22"/>
          <w:lang w:val="es-MX"/>
        </w:rPr>
      </w:pPr>
    </w:p>
    <w:p w14:paraId="49B436C8" w14:textId="77777777" w:rsidR="00E66A98" w:rsidRPr="00383208" w:rsidRDefault="00E66A98" w:rsidP="00E66A98">
      <w:pPr>
        <w:jc w:val="center"/>
        <w:rPr>
          <w:rFonts w:ascii="Times New Roman" w:hAnsi="Times New Roman" w:cs="Times New Roman"/>
          <w:b/>
          <w:szCs w:val="22"/>
          <w:lang w:val="es-MX"/>
        </w:rPr>
      </w:pPr>
      <w:r>
        <w:rPr>
          <w:rFonts w:ascii="Times New Roman" w:hAnsi="Times New Roman" w:cs="Times New Roman"/>
          <w:b/>
          <w:szCs w:val="22"/>
          <w:lang w:val="es-MX"/>
        </w:rPr>
        <w:lastRenderedPageBreak/>
        <w:t>Variación Interanual de impuestos</w:t>
      </w:r>
    </w:p>
    <w:p w14:paraId="21A67598" w14:textId="77777777" w:rsidR="00E66A98" w:rsidRPr="00383208" w:rsidRDefault="00E66A98" w:rsidP="00E66A98">
      <w:pPr>
        <w:jc w:val="center"/>
        <w:rPr>
          <w:rFonts w:ascii="Times New Roman" w:hAnsi="Times New Roman" w:cs="Times New Roman"/>
          <w:sz w:val="20"/>
          <w:szCs w:val="22"/>
          <w:lang w:val="es-MX"/>
        </w:rPr>
      </w:pPr>
      <w:r w:rsidRPr="00383208">
        <w:rPr>
          <w:rFonts w:ascii="Times New Roman" w:hAnsi="Times New Roman" w:cs="Times New Roman"/>
          <w:sz w:val="20"/>
          <w:szCs w:val="22"/>
          <w:lang w:val="es-MX"/>
        </w:rPr>
        <w:t>Millones de quetzales</w:t>
      </w:r>
    </w:p>
    <w:p w14:paraId="09FA0105" w14:textId="77777777" w:rsidR="00E66A98" w:rsidRPr="0065539C" w:rsidRDefault="00E66A98" w:rsidP="00E66A98">
      <w:pPr>
        <w:jc w:val="center"/>
        <w:rPr>
          <w:rFonts w:ascii="Times New Roman" w:hAnsi="Times New Roman" w:cs="Times New Roman"/>
          <w:sz w:val="22"/>
          <w:szCs w:val="22"/>
          <w:lang w:val="es-MX"/>
        </w:rPr>
      </w:pPr>
    </w:p>
    <w:p w14:paraId="5705C427" w14:textId="77777777" w:rsidR="00E66A98" w:rsidRPr="0065539C" w:rsidRDefault="00E66A98" w:rsidP="00E66A98">
      <w:pPr>
        <w:jc w:val="center"/>
        <w:rPr>
          <w:rFonts w:ascii="Times New Roman" w:hAnsi="Times New Roman" w:cs="Times New Roman"/>
          <w:sz w:val="22"/>
          <w:szCs w:val="22"/>
          <w:lang w:val="es-MX"/>
        </w:rPr>
      </w:pPr>
      <w:r w:rsidRPr="0065539C">
        <w:rPr>
          <w:rFonts w:ascii="Times New Roman" w:hAnsi="Times New Roman" w:cs="Times New Roman"/>
          <w:noProof/>
          <w:sz w:val="22"/>
          <w:szCs w:val="22"/>
          <w:lang w:val="es-ES"/>
        </w:rPr>
        <w:drawing>
          <wp:inline distT="0" distB="0" distL="0" distR="0" wp14:anchorId="4CBA111C" wp14:editId="192F3CFC">
            <wp:extent cx="4301490" cy="2977286"/>
            <wp:effectExtent l="0" t="0" r="381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42F3DF" w14:textId="77777777" w:rsidR="00E66A98" w:rsidRPr="00E353E5" w:rsidRDefault="00E66A98" w:rsidP="00E66A98">
      <w:pPr>
        <w:jc w:val="both"/>
        <w:rPr>
          <w:rFonts w:ascii="Times New Roman" w:hAnsi="Times New Roman" w:cs="Times New Roman"/>
          <w:sz w:val="16"/>
          <w:szCs w:val="22"/>
          <w:lang w:val="es-MX"/>
        </w:rPr>
      </w:pPr>
      <w:r w:rsidRPr="00E353E5">
        <w:rPr>
          <w:rFonts w:ascii="Times New Roman" w:hAnsi="Times New Roman" w:cs="Times New Roman"/>
          <w:sz w:val="16"/>
          <w:szCs w:val="22"/>
          <w:lang w:val="es-MX"/>
        </w:rPr>
        <w:t xml:space="preserve"> </w:t>
      </w:r>
      <w:r w:rsidRPr="00E353E5">
        <w:rPr>
          <w:rFonts w:ascii="Times New Roman" w:hAnsi="Times New Roman" w:cs="Times New Roman"/>
          <w:sz w:val="16"/>
          <w:szCs w:val="22"/>
          <w:lang w:val="es-MX"/>
        </w:rPr>
        <w:tab/>
      </w:r>
      <w:r w:rsidR="00E96044">
        <w:rPr>
          <w:rFonts w:ascii="Times New Roman" w:hAnsi="Times New Roman" w:cs="Times New Roman"/>
          <w:sz w:val="16"/>
          <w:szCs w:val="22"/>
          <w:lang w:val="es-MX"/>
        </w:rPr>
        <w:tab/>
      </w:r>
      <w:r w:rsidRPr="00E353E5">
        <w:rPr>
          <w:rFonts w:ascii="Times New Roman" w:hAnsi="Times New Roman" w:cs="Times New Roman"/>
          <w:sz w:val="16"/>
          <w:szCs w:val="22"/>
          <w:lang w:val="es-MX"/>
        </w:rPr>
        <w:t>Fuente: Dirección de Análisis y Política Fiscal</w:t>
      </w:r>
    </w:p>
    <w:p w14:paraId="0A92747A" w14:textId="77777777" w:rsidR="00E66A98" w:rsidRPr="00504015" w:rsidRDefault="00E66A98" w:rsidP="00E66A98">
      <w:pPr>
        <w:jc w:val="both"/>
        <w:rPr>
          <w:rFonts w:ascii="Times New Roman" w:hAnsi="Times New Roman" w:cs="Times New Roman"/>
          <w:lang w:val="es-MX"/>
        </w:rPr>
      </w:pPr>
    </w:p>
    <w:p w14:paraId="2F8B2438" w14:textId="77777777" w:rsidR="00E66A98" w:rsidRPr="00504015" w:rsidRDefault="00E66A98" w:rsidP="00E66A98">
      <w:pPr>
        <w:pStyle w:val="Prrafodelista"/>
        <w:numPr>
          <w:ilvl w:val="0"/>
          <w:numId w:val="32"/>
        </w:numPr>
        <w:jc w:val="both"/>
        <w:outlineLvl w:val="2"/>
        <w:rPr>
          <w:rFonts w:ascii="Times New Roman" w:hAnsi="Times New Roman" w:cs="Times New Roman"/>
          <w:b/>
          <w:vanish/>
          <w:lang w:val="es-MX"/>
        </w:rPr>
      </w:pPr>
      <w:bookmarkStart w:id="35" w:name="_Toc31612759"/>
      <w:bookmarkStart w:id="36" w:name="_Toc31612791"/>
      <w:bookmarkStart w:id="37" w:name="_Toc31614817"/>
      <w:bookmarkStart w:id="38" w:name="_Toc31614849"/>
      <w:bookmarkStart w:id="39" w:name="_Toc31618686"/>
      <w:bookmarkStart w:id="40" w:name="_Toc31618719"/>
      <w:bookmarkStart w:id="41" w:name="_Toc31624495"/>
      <w:bookmarkStart w:id="42" w:name="_Toc31625347"/>
      <w:bookmarkStart w:id="43" w:name="_Toc31626802"/>
      <w:bookmarkStart w:id="44" w:name="_Toc31811253"/>
      <w:bookmarkStart w:id="45" w:name="_Toc31811698"/>
      <w:bookmarkStart w:id="46" w:name="_Toc31971861"/>
      <w:bookmarkStart w:id="47" w:name="_Toc32230883"/>
      <w:bookmarkEnd w:id="35"/>
      <w:bookmarkEnd w:id="36"/>
      <w:bookmarkEnd w:id="37"/>
      <w:bookmarkEnd w:id="38"/>
      <w:bookmarkEnd w:id="39"/>
      <w:bookmarkEnd w:id="40"/>
      <w:bookmarkEnd w:id="41"/>
      <w:bookmarkEnd w:id="42"/>
      <w:bookmarkEnd w:id="43"/>
      <w:bookmarkEnd w:id="44"/>
      <w:bookmarkEnd w:id="45"/>
      <w:bookmarkEnd w:id="46"/>
      <w:bookmarkEnd w:id="47"/>
    </w:p>
    <w:p w14:paraId="07F93F28" w14:textId="77777777" w:rsidR="00E66A98" w:rsidRPr="00504015" w:rsidRDefault="00E66A98" w:rsidP="00E66A98">
      <w:pPr>
        <w:pStyle w:val="Prrafodelista"/>
        <w:numPr>
          <w:ilvl w:val="1"/>
          <w:numId w:val="32"/>
        </w:numPr>
        <w:jc w:val="both"/>
        <w:outlineLvl w:val="2"/>
        <w:rPr>
          <w:rFonts w:ascii="Times New Roman" w:hAnsi="Times New Roman" w:cs="Times New Roman"/>
          <w:b/>
          <w:vanish/>
          <w:lang w:val="es-MX"/>
        </w:rPr>
      </w:pPr>
      <w:bookmarkStart w:id="48" w:name="_Toc31612760"/>
      <w:bookmarkStart w:id="49" w:name="_Toc31612792"/>
      <w:bookmarkStart w:id="50" w:name="_Toc31614818"/>
      <w:bookmarkStart w:id="51" w:name="_Toc31614850"/>
      <w:bookmarkStart w:id="52" w:name="_Toc31618687"/>
      <w:bookmarkStart w:id="53" w:name="_Toc31618720"/>
      <w:bookmarkStart w:id="54" w:name="_Toc31624496"/>
      <w:bookmarkStart w:id="55" w:name="_Toc31625348"/>
      <w:bookmarkStart w:id="56" w:name="_Toc31626803"/>
      <w:bookmarkStart w:id="57" w:name="_Toc31811254"/>
      <w:bookmarkStart w:id="58" w:name="_Toc31811699"/>
      <w:bookmarkStart w:id="59" w:name="_Toc31971862"/>
      <w:bookmarkStart w:id="60" w:name="_Toc32230884"/>
      <w:bookmarkEnd w:id="48"/>
      <w:bookmarkEnd w:id="49"/>
      <w:bookmarkEnd w:id="50"/>
      <w:bookmarkEnd w:id="51"/>
      <w:bookmarkEnd w:id="52"/>
      <w:bookmarkEnd w:id="53"/>
      <w:bookmarkEnd w:id="54"/>
      <w:bookmarkEnd w:id="55"/>
      <w:bookmarkEnd w:id="56"/>
      <w:bookmarkEnd w:id="57"/>
      <w:bookmarkEnd w:id="58"/>
      <w:bookmarkEnd w:id="59"/>
      <w:bookmarkEnd w:id="60"/>
    </w:p>
    <w:p w14:paraId="7FF88797" w14:textId="77777777" w:rsidR="00E66A98" w:rsidRPr="00504015" w:rsidRDefault="00E66A98" w:rsidP="00E66A98">
      <w:pPr>
        <w:pStyle w:val="Prrafodelista"/>
        <w:numPr>
          <w:ilvl w:val="1"/>
          <w:numId w:val="32"/>
        </w:numPr>
        <w:jc w:val="both"/>
        <w:outlineLvl w:val="2"/>
        <w:rPr>
          <w:rFonts w:ascii="Times New Roman" w:hAnsi="Times New Roman" w:cs="Times New Roman"/>
          <w:b/>
          <w:vanish/>
          <w:lang w:val="es-MX"/>
        </w:rPr>
      </w:pPr>
      <w:bookmarkStart w:id="61" w:name="_Toc31612761"/>
      <w:bookmarkStart w:id="62" w:name="_Toc31612793"/>
      <w:bookmarkStart w:id="63" w:name="_Toc31614819"/>
      <w:bookmarkStart w:id="64" w:name="_Toc31614851"/>
      <w:bookmarkStart w:id="65" w:name="_Toc31618688"/>
      <w:bookmarkStart w:id="66" w:name="_Toc31618721"/>
      <w:bookmarkStart w:id="67" w:name="_Toc31624497"/>
      <w:bookmarkStart w:id="68" w:name="_Toc31625349"/>
      <w:bookmarkStart w:id="69" w:name="_Toc31626804"/>
      <w:bookmarkStart w:id="70" w:name="_Toc31811255"/>
      <w:bookmarkStart w:id="71" w:name="_Toc31811700"/>
      <w:bookmarkStart w:id="72" w:name="_Toc31971863"/>
      <w:bookmarkStart w:id="73" w:name="_Toc32230885"/>
      <w:bookmarkEnd w:id="61"/>
      <w:bookmarkEnd w:id="62"/>
      <w:bookmarkEnd w:id="63"/>
      <w:bookmarkEnd w:id="64"/>
      <w:bookmarkEnd w:id="65"/>
      <w:bookmarkEnd w:id="66"/>
      <w:bookmarkEnd w:id="67"/>
      <w:bookmarkEnd w:id="68"/>
      <w:bookmarkEnd w:id="69"/>
      <w:bookmarkEnd w:id="70"/>
      <w:bookmarkEnd w:id="71"/>
      <w:bookmarkEnd w:id="72"/>
      <w:bookmarkEnd w:id="73"/>
    </w:p>
    <w:p w14:paraId="7C76B68B" w14:textId="77777777" w:rsidR="00E66A98" w:rsidRPr="00E96044" w:rsidRDefault="00E66A98" w:rsidP="00E66A98">
      <w:pPr>
        <w:pStyle w:val="Prrafodelista"/>
        <w:numPr>
          <w:ilvl w:val="2"/>
          <w:numId w:val="32"/>
        </w:numPr>
        <w:ind w:hanging="578"/>
        <w:jc w:val="both"/>
        <w:outlineLvl w:val="2"/>
        <w:rPr>
          <w:rFonts w:ascii="Times New Roman" w:hAnsi="Times New Roman" w:cs="Times New Roman"/>
          <w:b/>
          <w:sz w:val="24"/>
          <w:lang w:val="es-MX"/>
        </w:rPr>
      </w:pPr>
      <w:bookmarkStart w:id="74" w:name="_Toc32230886"/>
      <w:r w:rsidRPr="00E96044">
        <w:rPr>
          <w:rFonts w:ascii="Times New Roman" w:hAnsi="Times New Roman" w:cs="Times New Roman"/>
          <w:b/>
          <w:sz w:val="24"/>
          <w:lang w:val="es-MX"/>
        </w:rPr>
        <w:t xml:space="preserve">Impuesto </w:t>
      </w:r>
      <w:r w:rsidR="00F95946">
        <w:rPr>
          <w:rFonts w:ascii="Times New Roman" w:hAnsi="Times New Roman" w:cs="Times New Roman"/>
          <w:b/>
          <w:sz w:val="24"/>
          <w:lang w:val="es-MX"/>
        </w:rPr>
        <w:t>S</w:t>
      </w:r>
      <w:r w:rsidRPr="00E96044">
        <w:rPr>
          <w:rFonts w:ascii="Times New Roman" w:hAnsi="Times New Roman" w:cs="Times New Roman"/>
          <w:b/>
          <w:sz w:val="24"/>
          <w:lang w:val="es-MX"/>
        </w:rPr>
        <w:t xml:space="preserve">obre la </w:t>
      </w:r>
      <w:r w:rsidR="00F95946">
        <w:rPr>
          <w:rFonts w:ascii="Times New Roman" w:hAnsi="Times New Roman" w:cs="Times New Roman"/>
          <w:b/>
          <w:sz w:val="24"/>
          <w:lang w:val="es-MX"/>
        </w:rPr>
        <w:t>R</w:t>
      </w:r>
      <w:r w:rsidRPr="00E96044">
        <w:rPr>
          <w:rFonts w:ascii="Times New Roman" w:hAnsi="Times New Roman" w:cs="Times New Roman"/>
          <w:b/>
          <w:sz w:val="24"/>
          <w:lang w:val="es-MX"/>
        </w:rPr>
        <w:t>enta -ISR-</w:t>
      </w:r>
      <w:bookmarkEnd w:id="74"/>
    </w:p>
    <w:p w14:paraId="7145FB16" w14:textId="6098B5D0" w:rsidR="00E66A98" w:rsidRDefault="00E66A98" w:rsidP="00E66A98">
      <w:pPr>
        <w:jc w:val="both"/>
        <w:rPr>
          <w:rFonts w:ascii="Times New Roman" w:hAnsi="Times New Roman" w:cs="Times New Roman"/>
          <w:color w:val="FF0000"/>
          <w:lang w:val="es-MX"/>
        </w:rPr>
      </w:pPr>
    </w:p>
    <w:p w14:paraId="24BE804B" w14:textId="52258E6F" w:rsidR="00E66A98" w:rsidRDefault="00714DD2" w:rsidP="00E66A98">
      <w:pPr>
        <w:jc w:val="both"/>
        <w:rPr>
          <w:rFonts w:ascii="Times New Roman" w:hAnsi="Times New Roman" w:cs="Times New Roman"/>
          <w:sz w:val="22"/>
          <w:szCs w:val="22"/>
          <w:lang w:val="es-MX"/>
        </w:rPr>
      </w:pPr>
      <w:r w:rsidRPr="0065539C">
        <w:rPr>
          <w:rFonts w:ascii="Times New Roman" w:hAnsi="Times New Roman" w:cs="Times New Roman"/>
          <w:noProof/>
          <w:sz w:val="22"/>
          <w:szCs w:val="22"/>
          <w:lang w:val="es-ES"/>
        </w:rPr>
        <w:drawing>
          <wp:anchor distT="0" distB="0" distL="114300" distR="114300" simplePos="0" relativeHeight="251653632" behindDoc="0" locked="0" layoutInCell="1" allowOverlap="1" wp14:anchorId="444352E8" wp14:editId="68CD3721">
            <wp:simplePos x="0" y="0"/>
            <wp:positionH relativeFrom="column">
              <wp:posOffset>2478405</wp:posOffset>
            </wp:positionH>
            <wp:positionV relativeFrom="paragraph">
              <wp:posOffset>61430</wp:posOffset>
            </wp:positionV>
            <wp:extent cx="3300095" cy="2599690"/>
            <wp:effectExtent l="0" t="0" r="0" b="1016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66A98">
        <w:rPr>
          <w:rFonts w:ascii="Times New Roman" w:hAnsi="Times New Roman" w:cs="Times New Roman"/>
          <w:sz w:val="22"/>
          <w:szCs w:val="22"/>
          <w:lang w:val="es-MX"/>
        </w:rPr>
        <w:t>La integración de la recaudación del ISR</w:t>
      </w:r>
      <w:r w:rsidR="00637486">
        <w:rPr>
          <w:rFonts w:ascii="Times New Roman" w:hAnsi="Times New Roman" w:cs="Times New Roman"/>
          <w:sz w:val="22"/>
          <w:szCs w:val="22"/>
          <w:lang w:val="es-MX"/>
        </w:rPr>
        <w:t xml:space="preserve"> en los registros contables y </w:t>
      </w:r>
      <w:r>
        <w:rPr>
          <w:rFonts w:ascii="Times New Roman" w:hAnsi="Times New Roman" w:cs="Times New Roman"/>
          <w:sz w:val="22"/>
          <w:szCs w:val="22"/>
          <w:lang w:val="es-MX"/>
        </w:rPr>
        <w:t>estadísticos</w:t>
      </w:r>
      <w:r w:rsidR="00637486">
        <w:rPr>
          <w:rFonts w:ascii="Times New Roman" w:hAnsi="Times New Roman" w:cs="Times New Roman"/>
          <w:sz w:val="22"/>
          <w:szCs w:val="22"/>
          <w:lang w:val="es-MX"/>
        </w:rPr>
        <w:t>,</w:t>
      </w:r>
      <w:r w:rsidR="00E66A98">
        <w:rPr>
          <w:rFonts w:ascii="Times New Roman" w:hAnsi="Times New Roman" w:cs="Times New Roman"/>
          <w:sz w:val="22"/>
          <w:szCs w:val="22"/>
          <w:lang w:val="es-MX"/>
        </w:rPr>
        <w:t xml:space="preserve"> está conformada</w:t>
      </w:r>
      <w:r w:rsidR="00E66A98" w:rsidRPr="0065539C">
        <w:rPr>
          <w:rFonts w:ascii="Times New Roman" w:hAnsi="Times New Roman" w:cs="Times New Roman"/>
          <w:sz w:val="22"/>
          <w:szCs w:val="22"/>
          <w:lang w:val="es-MX"/>
        </w:rPr>
        <w:t xml:space="preserve"> por</w:t>
      </w:r>
      <w:r w:rsidR="00E66A98">
        <w:rPr>
          <w:rFonts w:ascii="Times New Roman" w:hAnsi="Times New Roman" w:cs="Times New Roman"/>
          <w:sz w:val="22"/>
          <w:szCs w:val="22"/>
          <w:lang w:val="es-MX"/>
        </w:rPr>
        <w:t>:</w:t>
      </w:r>
      <w:r w:rsidR="00E66A98" w:rsidRPr="0065539C">
        <w:rPr>
          <w:rFonts w:ascii="Times New Roman" w:hAnsi="Times New Roman" w:cs="Times New Roman"/>
          <w:sz w:val="22"/>
          <w:szCs w:val="22"/>
          <w:lang w:val="es-MX"/>
        </w:rPr>
        <w:t xml:space="preserve"> recaudación del impu</w:t>
      </w:r>
      <w:r w:rsidR="00E66A98">
        <w:rPr>
          <w:rFonts w:ascii="Times New Roman" w:hAnsi="Times New Roman" w:cs="Times New Roman"/>
          <w:sz w:val="22"/>
          <w:szCs w:val="22"/>
          <w:lang w:val="es-MX"/>
        </w:rPr>
        <w:t>esto, intereses, multas y moras.</w:t>
      </w:r>
      <w:r w:rsidR="00E66A98" w:rsidRPr="0065539C">
        <w:rPr>
          <w:rFonts w:ascii="Times New Roman" w:hAnsi="Times New Roman" w:cs="Times New Roman"/>
          <w:sz w:val="22"/>
          <w:szCs w:val="22"/>
          <w:lang w:val="es-MX"/>
        </w:rPr>
        <w:t xml:space="preserve"> </w:t>
      </w:r>
      <w:r w:rsidR="00E66A98">
        <w:rPr>
          <w:rFonts w:ascii="Times New Roman" w:hAnsi="Times New Roman" w:cs="Times New Roman"/>
          <w:sz w:val="22"/>
          <w:szCs w:val="22"/>
          <w:lang w:val="es-MX"/>
        </w:rPr>
        <w:t>E</w:t>
      </w:r>
      <w:r w:rsidR="00E66A98" w:rsidRPr="0065539C">
        <w:rPr>
          <w:rFonts w:ascii="Times New Roman" w:hAnsi="Times New Roman" w:cs="Times New Roman"/>
          <w:sz w:val="22"/>
          <w:szCs w:val="22"/>
          <w:lang w:val="es-MX"/>
        </w:rPr>
        <w:t>l impuesto representa el 98.9% de la recaudación total, los intereses e</w:t>
      </w:r>
      <w:r w:rsidR="00E66A98">
        <w:rPr>
          <w:rFonts w:ascii="Times New Roman" w:hAnsi="Times New Roman" w:cs="Times New Roman"/>
          <w:sz w:val="22"/>
          <w:szCs w:val="22"/>
          <w:lang w:val="es-MX"/>
        </w:rPr>
        <w:t>l</w:t>
      </w:r>
      <w:r w:rsidR="00E66A98" w:rsidRPr="0065539C">
        <w:rPr>
          <w:rFonts w:ascii="Times New Roman" w:hAnsi="Times New Roman" w:cs="Times New Roman"/>
          <w:sz w:val="22"/>
          <w:szCs w:val="22"/>
          <w:lang w:val="es-MX"/>
        </w:rPr>
        <w:t xml:space="preserve"> 0.4%, las mult</w:t>
      </w:r>
      <w:r w:rsidR="00E66A98">
        <w:rPr>
          <w:rFonts w:ascii="Times New Roman" w:hAnsi="Times New Roman" w:cs="Times New Roman"/>
          <w:sz w:val="22"/>
          <w:szCs w:val="22"/>
          <w:lang w:val="es-MX"/>
        </w:rPr>
        <w:t>as el 0.7% y las moras el 0.03%.</w:t>
      </w:r>
      <w:r w:rsidR="00E66A98" w:rsidRPr="0065539C">
        <w:rPr>
          <w:rFonts w:ascii="Times New Roman" w:hAnsi="Times New Roman" w:cs="Times New Roman"/>
          <w:sz w:val="22"/>
          <w:szCs w:val="22"/>
          <w:lang w:val="es-MX"/>
        </w:rPr>
        <w:t xml:space="preserve"> </w:t>
      </w:r>
      <w:r w:rsidR="00E66A98">
        <w:rPr>
          <w:rFonts w:ascii="Times New Roman" w:hAnsi="Times New Roman" w:cs="Times New Roman"/>
          <w:sz w:val="22"/>
          <w:szCs w:val="22"/>
          <w:lang w:val="es-MX"/>
        </w:rPr>
        <w:t>D</w:t>
      </w:r>
      <w:r w:rsidR="00E66A98" w:rsidRPr="0065539C">
        <w:rPr>
          <w:rFonts w:ascii="Times New Roman" w:hAnsi="Times New Roman" w:cs="Times New Roman"/>
          <w:sz w:val="22"/>
          <w:szCs w:val="22"/>
          <w:lang w:val="es-MX"/>
        </w:rPr>
        <w:t>e esa cuenta el impuesto refleja un crecimiento interanual del 4.9%, los intereses 146.1%</w:t>
      </w:r>
      <w:r w:rsidR="00E66A98">
        <w:rPr>
          <w:rFonts w:ascii="Times New Roman" w:hAnsi="Times New Roman" w:cs="Times New Roman"/>
          <w:sz w:val="22"/>
          <w:szCs w:val="22"/>
          <w:lang w:val="es-MX"/>
        </w:rPr>
        <w:t>,</w:t>
      </w:r>
      <w:r w:rsidR="00E66A98" w:rsidRPr="0065539C">
        <w:rPr>
          <w:rFonts w:ascii="Times New Roman" w:hAnsi="Times New Roman" w:cs="Times New Roman"/>
          <w:sz w:val="22"/>
          <w:szCs w:val="22"/>
          <w:lang w:val="es-MX"/>
        </w:rPr>
        <w:t xml:space="preserve"> las multas 44.3% y la</w:t>
      </w:r>
      <w:r w:rsidR="00E66A98">
        <w:rPr>
          <w:rFonts w:ascii="Times New Roman" w:hAnsi="Times New Roman" w:cs="Times New Roman"/>
          <w:sz w:val="22"/>
          <w:szCs w:val="22"/>
          <w:lang w:val="es-MX"/>
        </w:rPr>
        <w:t xml:space="preserve"> mora</w:t>
      </w:r>
      <w:r w:rsidR="00E66A98" w:rsidRPr="0065539C">
        <w:rPr>
          <w:rFonts w:ascii="Times New Roman" w:hAnsi="Times New Roman" w:cs="Times New Roman"/>
          <w:sz w:val="22"/>
          <w:szCs w:val="22"/>
          <w:lang w:val="es-MX"/>
        </w:rPr>
        <w:t xml:space="preserve"> 1.3%</w:t>
      </w:r>
      <w:r w:rsidR="00E66A98">
        <w:rPr>
          <w:rFonts w:ascii="Times New Roman" w:hAnsi="Times New Roman" w:cs="Times New Roman"/>
          <w:sz w:val="22"/>
          <w:szCs w:val="22"/>
          <w:lang w:val="es-MX"/>
        </w:rPr>
        <w:t xml:space="preserve">. </w:t>
      </w:r>
      <w:r w:rsidR="00E66A98" w:rsidRPr="0065539C">
        <w:rPr>
          <w:rFonts w:ascii="Times New Roman" w:hAnsi="Times New Roman" w:cs="Times New Roman"/>
          <w:sz w:val="22"/>
          <w:szCs w:val="22"/>
          <w:lang w:val="es-MX"/>
        </w:rPr>
        <w:t xml:space="preserve"> </w:t>
      </w:r>
      <w:r w:rsidR="00E66A98">
        <w:rPr>
          <w:rFonts w:ascii="Times New Roman" w:hAnsi="Times New Roman" w:cs="Times New Roman"/>
          <w:sz w:val="22"/>
          <w:szCs w:val="22"/>
          <w:lang w:val="es-MX"/>
        </w:rPr>
        <w:t>E</w:t>
      </w:r>
      <w:r w:rsidR="00E66A98" w:rsidRPr="0065539C">
        <w:rPr>
          <w:rFonts w:ascii="Times New Roman" w:hAnsi="Times New Roman" w:cs="Times New Roman"/>
          <w:sz w:val="22"/>
          <w:szCs w:val="22"/>
          <w:lang w:val="es-MX"/>
        </w:rPr>
        <w:t xml:space="preserve">n valores nominales representó que el impuesto creciera en Q782 millones los intereses en </w:t>
      </w:r>
      <w:r w:rsidR="00E66A98">
        <w:rPr>
          <w:rFonts w:ascii="Times New Roman" w:hAnsi="Times New Roman" w:cs="Times New Roman"/>
          <w:sz w:val="22"/>
          <w:szCs w:val="22"/>
          <w:lang w:val="es-MX"/>
        </w:rPr>
        <w:t>Q</w:t>
      </w:r>
      <w:r w:rsidR="00E66A98" w:rsidRPr="0065539C">
        <w:rPr>
          <w:rFonts w:ascii="Times New Roman" w:hAnsi="Times New Roman" w:cs="Times New Roman"/>
          <w:sz w:val="22"/>
          <w:szCs w:val="22"/>
          <w:lang w:val="es-MX"/>
        </w:rPr>
        <w:t>44.8 millones</w:t>
      </w:r>
      <w:r w:rsidR="00E66A98">
        <w:rPr>
          <w:rFonts w:ascii="Times New Roman" w:hAnsi="Times New Roman" w:cs="Times New Roman"/>
          <w:sz w:val="22"/>
          <w:szCs w:val="22"/>
          <w:lang w:val="es-MX"/>
        </w:rPr>
        <w:t>,</w:t>
      </w:r>
      <w:r w:rsidR="00E66A98" w:rsidRPr="0065539C">
        <w:rPr>
          <w:rFonts w:ascii="Times New Roman" w:hAnsi="Times New Roman" w:cs="Times New Roman"/>
          <w:sz w:val="22"/>
          <w:szCs w:val="22"/>
          <w:lang w:val="es-MX"/>
        </w:rPr>
        <w:t xml:space="preserve"> las multas en Q35.2 millones y las moras únicamente Q0.1 millones.</w:t>
      </w:r>
    </w:p>
    <w:p w14:paraId="3B4C761E" w14:textId="77777777" w:rsidR="00E66A98" w:rsidRPr="0065539C" w:rsidRDefault="00E66A98" w:rsidP="00E66A98">
      <w:pPr>
        <w:jc w:val="both"/>
        <w:rPr>
          <w:rFonts w:ascii="Times New Roman" w:hAnsi="Times New Roman" w:cs="Times New Roman"/>
          <w:sz w:val="22"/>
          <w:szCs w:val="22"/>
          <w:lang w:val="es-MX"/>
        </w:rPr>
      </w:pPr>
    </w:p>
    <w:p w14:paraId="7F5C3190" w14:textId="77777777" w:rsidR="00E66A98" w:rsidRDefault="00E66A98" w:rsidP="00E66A98">
      <w:pPr>
        <w:jc w:val="both"/>
        <w:rPr>
          <w:rFonts w:ascii="Times New Roman" w:hAnsi="Times New Roman" w:cs="Times New Roman"/>
          <w:sz w:val="22"/>
          <w:szCs w:val="22"/>
          <w:lang w:val="es-MX"/>
        </w:rPr>
      </w:pPr>
      <w:r>
        <w:rPr>
          <w:rFonts w:ascii="Times New Roman" w:hAnsi="Times New Roman" w:cs="Times New Roman"/>
          <w:sz w:val="22"/>
          <w:szCs w:val="22"/>
          <w:lang w:val="es-MX"/>
        </w:rPr>
        <w:t>El régimen del ISR de</w:t>
      </w:r>
      <w:r w:rsidRPr="0065539C">
        <w:rPr>
          <w:rFonts w:ascii="Times New Roman" w:hAnsi="Times New Roman" w:cs="Times New Roman"/>
          <w:sz w:val="22"/>
          <w:szCs w:val="22"/>
          <w:lang w:val="es-MX"/>
        </w:rPr>
        <w:t xml:space="preserve"> empresas</w:t>
      </w:r>
      <w:r>
        <w:rPr>
          <w:rFonts w:ascii="Times New Roman" w:hAnsi="Times New Roman" w:cs="Times New Roman"/>
          <w:sz w:val="22"/>
          <w:szCs w:val="22"/>
          <w:lang w:val="es-MX"/>
        </w:rPr>
        <w:t>, representa el 83.5%</w:t>
      </w:r>
      <w:r w:rsidRPr="0065539C">
        <w:rPr>
          <w:rFonts w:ascii="Times New Roman" w:hAnsi="Times New Roman" w:cs="Times New Roman"/>
          <w:sz w:val="22"/>
          <w:szCs w:val="22"/>
          <w:lang w:val="es-MX"/>
        </w:rPr>
        <w:t xml:space="preserve"> </w:t>
      </w:r>
      <w:r>
        <w:rPr>
          <w:rFonts w:ascii="Times New Roman" w:hAnsi="Times New Roman" w:cs="Times New Roman"/>
          <w:sz w:val="22"/>
          <w:szCs w:val="22"/>
          <w:lang w:val="es-MX"/>
        </w:rPr>
        <w:t xml:space="preserve">de la recaudación de ese impuesto, y registra </w:t>
      </w:r>
      <w:r w:rsidRPr="0065539C">
        <w:rPr>
          <w:rFonts w:ascii="Times New Roman" w:hAnsi="Times New Roman" w:cs="Times New Roman"/>
          <w:sz w:val="22"/>
          <w:szCs w:val="22"/>
          <w:lang w:val="es-MX"/>
        </w:rPr>
        <w:t>un crecimiento interanual de 4.8%</w:t>
      </w:r>
      <w:r>
        <w:rPr>
          <w:rFonts w:ascii="Times New Roman" w:hAnsi="Times New Roman" w:cs="Times New Roman"/>
          <w:sz w:val="22"/>
          <w:szCs w:val="22"/>
          <w:lang w:val="es-MX"/>
        </w:rPr>
        <w:t>.</w:t>
      </w:r>
      <w:r w:rsidRPr="0065539C">
        <w:rPr>
          <w:rFonts w:ascii="Times New Roman" w:hAnsi="Times New Roman" w:cs="Times New Roman"/>
          <w:sz w:val="22"/>
          <w:szCs w:val="22"/>
          <w:lang w:val="es-MX"/>
        </w:rPr>
        <w:t xml:space="preserve"> </w:t>
      </w:r>
      <w:r>
        <w:rPr>
          <w:rFonts w:ascii="Times New Roman" w:hAnsi="Times New Roman" w:cs="Times New Roman"/>
          <w:sz w:val="22"/>
          <w:szCs w:val="22"/>
          <w:lang w:val="es-MX"/>
        </w:rPr>
        <w:t xml:space="preserve"> Esta mejora </w:t>
      </w:r>
      <w:r w:rsidRPr="0065539C">
        <w:rPr>
          <w:rFonts w:ascii="Times New Roman" w:hAnsi="Times New Roman" w:cs="Times New Roman"/>
          <w:sz w:val="22"/>
          <w:szCs w:val="22"/>
          <w:lang w:val="es-MX"/>
        </w:rPr>
        <w:t xml:space="preserve">en la recaudación </w:t>
      </w:r>
      <w:r>
        <w:rPr>
          <w:rFonts w:ascii="Times New Roman" w:hAnsi="Times New Roman" w:cs="Times New Roman"/>
          <w:sz w:val="22"/>
          <w:szCs w:val="22"/>
          <w:lang w:val="es-MX"/>
        </w:rPr>
        <w:t xml:space="preserve">puede estar asociada </w:t>
      </w:r>
      <w:r w:rsidRPr="0065539C">
        <w:rPr>
          <w:rFonts w:ascii="Times New Roman" w:hAnsi="Times New Roman" w:cs="Times New Roman"/>
          <w:sz w:val="22"/>
          <w:szCs w:val="22"/>
          <w:lang w:val="es-MX"/>
        </w:rPr>
        <w:t xml:space="preserve">por un aumento en la percepción de riesgo de los contribuyentes, así como de las acciones implementadas por </w:t>
      </w:r>
      <w:r>
        <w:rPr>
          <w:rFonts w:ascii="Times New Roman" w:hAnsi="Times New Roman" w:cs="Times New Roman"/>
          <w:sz w:val="22"/>
          <w:szCs w:val="22"/>
          <w:lang w:val="es-MX"/>
        </w:rPr>
        <w:t xml:space="preserve">la </w:t>
      </w:r>
      <w:r w:rsidRPr="0065539C">
        <w:rPr>
          <w:rFonts w:ascii="Times New Roman" w:hAnsi="Times New Roman" w:cs="Times New Roman"/>
          <w:sz w:val="22"/>
          <w:szCs w:val="22"/>
          <w:lang w:val="es-MX"/>
        </w:rPr>
        <w:t xml:space="preserve">SAT, destacando </w:t>
      </w:r>
      <w:r>
        <w:rPr>
          <w:rFonts w:ascii="Times New Roman" w:hAnsi="Times New Roman" w:cs="Times New Roman"/>
          <w:sz w:val="22"/>
          <w:szCs w:val="22"/>
          <w:lang w:val="es-MX"/>
        </w:rPr>
        <w:t xml:space="preserve">la recuperación </w:t>
      </w:r>
      <w:r w:rsidRPr="0065539C">
        <w:rPr>
          <w:rFonts w:ascii="Times New Roman" w:hAnsi="Times New Roman" w:cs="Times New Roman"/>
          <w:sz w:val="22"/>
          <w:szCs w:val="22"/>
          <w:lang w:val="es-MX"/>
        </w:rPr>
        <w:t>de adeudos tributarios</w:t>
      </w:r>
      <w:r>
        <w:rPr>
          <w:rFonts w:ascii="Times New Roman" w:hAnsi="Times New Roman" w:cs="Times New Roman"/>
          <w:sz w:val="22"/>
          <w:szCs w:val="22"/>
          <w:lang w:val="es-MX"/>
        </w:rPr>
        <w:t>.</w:t>
      </w:r>
    </w:p>
    <w:p w14:paraId="0EE66B42" w14:textId="77777777" w:rsidR="00E96044" w:rsidRDefault="00E96044" w:rsidP="00E66A98">
      <w:pPr>
        <w:jc w:val="both"/>
        <w:rPr>
          <w:rFonts w:ascii="Times New Roman" w:hAnsi="Times New Roman" w:cs="Times New Roman"/>
          <w:sz w:val="22"/>
          <w:szCs w:val="22"/>
          <w:lang w:val="es-MX"/>
        </w:rPr>
      </w:pPr>
    </w:p>
    <w:p w14:paraId="38AD85E3" w14:textId="77777777" w:rsidR="00E96044" w:rsidRDefault="00E96044" w:rsidP="00E66A98">
      <w:pPr>
        <w:jc w:val="both"/>
        <w:rPr>
          <w:rFonts w:ascii="Times New Roman" w:hAnsi="Times New Roman" w:cs="Times New Roman"/>
          <w:sz w:val="22"/>
          <w:szCs w:val="22"/>
          <w:lang w:val="es-MX"/>
        </w:rPr>
      </w:pPr>
    </w:p>
    <w:p w14:paraId="73F6372B" w14:textId="77777777" w:rsidR="00E96044" w:rsidRDefault="00E96044" w:rsidP="00E66A98">
      <w:pPr>
        <w:jc w:val="both"/>
        <w:rPr>
          <w:rFonts w:ascii="Times New Roman" w:hAnsi="Times New Roman" w:cs="Times New Roman"/>
          <w:sz w:val="22"/>
          <w:szCs w:val="22"/>
          <w:lang w:val="es-MX"/>
        </w:rPr>
      </w:pPr>
    </w:p>
    <w:p w14:paraId="47AF676E" w14:textId="77777777" w:rsidR="00E96044" w:rsidRPr="0065539C" w:rsidRDefault="00E96044" w:rsidP="00E66A98">
      <w:pPr>
        <w:jc w:val="both"/>
        <w:rPr>
          <w:rFonts w:ascii="Times New Roman" w:hAnsi="Times New Roman" w:cs="Times New Roman"/>
          <w:sz w:val="22"/>
          <w:szCs w:val="22"/>
          <w:lang w:val="es-MX"/>
        </w:rPr>
      </w:pPr>
    </w:p>
    <w:p w14:paraId="2F1FB5B6" w14:textId="77777777" w:rsidR="00E66A98" w:rsidRPr="0065539C" w:rsidRDefault="00E66A98" w:rsidP="00E66A98">
      <w:pPr>
        <w:jc w:val="both"/>
        <w:rPr>
          <w:rFonts w:ascii="Times New Roman" w:hAnsi="Times New Roman" w:cs="Times New Roman"/>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49"/>
      </w:tblGrid>
      <w:tr w:rsidR="00E66A98" w:rsidRPr="0065539C" w14:paraId="7AD5BA86" w14:textId="77777777" w:rsidTr="00E96044">
        <w:tc>
          <w:tcPr>
            <w:tcW w:w="4527" w:type="dxa"/>
          </w:tcPr>
          <w:p w14:paraId="6E8ADD48" w14:textId="77777777" w:rsidR="00E66A98" w:rsidRPr="0065539C" w:rsidRDefault="00E66A98" w:rsidP="00E96044">
            <w:pPr>
              <w:jc w:val="center"/>
              <w:rPr>
                <w:rFonts w:ascii="Times New Roman" w:hAnsi="Times New Roman" w:cs="Times New Roman"/>
                <w:b/>
                <w:sz w:val="22"/>
                <w:szCs w:val="22"/>
                <w:lang w:val="es-MX"/>
              </w:rPr>
            </w:pPr>
            <w:r w:rsidRPr="0065539C">
              <w:rPr>
                <w:rFonts w:ascii="Times New Roman" w:hAnsi="Times New Roman" w:cs="Times New Roman"/>
                <w:b/>
                <w:sz w:val="22"/>
                <w:szCs w:val="22"/>
                <w:lang w:val="es-MX"/>
              </w:rPr>
              <w:t>Variación del ISR de empresas</w:t>
            </w:r>
          </w:p>
          <w:p w14:paraId="60580F03" w14:textId="77777777" w:rsidR="00E66A98" w:rsidRPr="0065539C" w:rsidRDefault="00E66A98" w:rsidP="00E96044">
            <w:pPr>
              <w:jc w:val="center"/>
              <w:rPr>
                <w:rFonts w:ascii="Times New Roman" w:hAnsi="Times New Roman" w:cs="Times New Roman"/>
                <w:sz w:val="22"/>
                <w:szCs w:val="22"/>
                <w:lang w:val="es-MX"/>
              </w:rPr>
            </w:pPr>
            <w:r w:rsidRPr="00383208">
              <w:rPr>
                <w:rFonts w:ascii="Times New Roman" w:hAnsi="Times New Roman" w:cs="Times New Roman"/>
                <w:sz w:val="20"/>
                <w:szCs w:val="22"/>
                <w:lang w:val="es-MX"/>
              </w:rPr>
              <w:t>Porcentajes</w:t>
            </w:r>
          </w:p>
        </w:tc>
        <w:tc>
          <w:tcPr>
            <w:tcW w:w="4527" w:type="dxa"/>
          </w:tcPr>
          <w:p w14:paraId="2D44C9AC" w14:textId="77777777" w:rsidR="00E66A98" w:rsidRPr="0065539C" w:rsidRDefault="00E66A98" w:rsidP="00E96044">
            <w:pPr>
              <w:jc w:val="center"/>
              <w:rPr>
                <w:rFonts w:ascii="Times New Roman" w:hAnsi="Times New Roman" w:cs="Times New Roman"/>
                <w:b/>
                <w:sz w:val="22"/>
                <w:szCs w:val="22"/>
                <w:lang w:val="es-MX"/>
              </w:rPr>
            </w:pPr>
            <w:r w:rsidRPr="0065539C">
              <w:rPr>
                <w:rFonts w:ascii="Times New Roman" w:hAnsi="Times New Roman" w:cs="Times New Roman"/>
                <w:b/>
                <w:sz w:val="22"/>
                <w:szCs w:val="22"/>
                <w:lang w:val="es-MX"/>
              </w:rPr>
              <w:t>Variación del ISR total</w:t>
            </w:r>
          </w:p>
          <w:p w14:paraId="42F98E52" w14:textId="77777777" w:rsidR="00E66A98" w:rsidRPr="0065539C" w:rsidRDefault="00E66A98" w:rsidP="00E96044">
            <w:pPr>
              <w:jc w:val="center"/>
              <w:rPr>
                <w:rFonts w:ascii="Times New Roman" w:hAnsi="Times New Roman" w:cs="Times New Roman"/>
                <w:sz w:val="22"/>
                <w:szCs w:val="22"/>
                <w:lang w:val="es-MX"/>
              </w:rPr>
            </w:pPr>
            <w:r w:rsidRPr="00383208">
              <w:rPr>
                <w:rFonts w:ascii="Times New Roman" w:hAnsi="Times New Roman" w:cs="Times New Roman"/>
                <w:sz w:val="20"/>
                <w:szCs w:val="22"/>
                <w:lang w:val="es-MX"/>
              </w:rPr>
              <w:t>Porcentajes</w:t>
            </w:r>
          </w:p>
        </w:tc>
      </w:tr>
      <w:tr w:rsidR="00E66A98" w:rsidRPr="0065539C" w14:paraId="68AC25FE" w14:textId="77777777" w:rsidTr="00E96044">
        <w:tc>
          <w:tcPr>
            <w:tcW w:w="4527" w:type="dxa"/>
          </w:tcPr>
          <w:p w14:paraId="7461A59B" w14:textId="77777777" w:rsidR="00E66A98" w:rsidRPr="0065539C" w:rsidRDefault="00E66A98" w:rsidP="00E96044">
            <w:pPr>
              <w:jc w:val="both"/>
              <w:rPr>
                <w:rFonts w:ascii="Times New Roman" w:hAnsi="Times New Roman" w:cs="Times New Roman"/>
                <w:sz w:val="22"/>
                <w:szCs w:val="22"/>
                <w:lang w:val="es-MX"/>
              </w:rPr>
            </w:pPr>
            <w:r w:rsidRPr="0065539C">
              <w:rPr>
                <w:rFonts w:ascii="Times New Roman" w:hAnsi="Times New Roman" w:cs="Times New Roman"/>
                <w:noProof/>
                <w:sz w:val="22"/>
                <w:szCs w:val="22"/>
                <w:lang w:val="es-ES"/>
              </w:rPr>
              <w:drawing>
                <wp:inline distT="0" distB="0" distL="0" distR="0" wp14:anchorId="08E94B69" wp14:editId="78FEA5B3">
                  <wp:extent cx="2751455" cy="2075291"/>
                  <wp:effectExtent l="0" t="0" r="0" b="127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27" w:type="dxa"/>
          </w:tcPr>
          <w:p w14:paraId="611B201F" w14:textId="77777777" w:rsidR="00E66A98" w:rsidRPr="0065539C" w:rsidRDefault="00E66A98" w:rsidP="00E96044">
            <w:pPr>
              <w:jc w:val="both"/>
              <w:rPr>
                <w:rFonts w:ascii="Times New Roman" w:hAnsi="Times New Roman" w:cs="Times New Roman"/>
                <w:sz w:val="22"/>
                <w:szCs w:val="22"/>
                <w:lang w:val="es-MX"/>
              </w:rPr>
            </w:pPr>
            <w:r w:rsidRPr="0065539C">
              <w:rPr>
                <w:rFonts w:ascii="Times New Roman" w:hAnsi="Times New Roman" w:cs="Times New Roman"/>
                <w:noProof/>
                <w:sz w:val="22"/>
                <w:szCs w:val="22"/>
                <w:lang w:val="es-ES"/>
              </w:rPr>
              <w:drawing>
                <wp:inline distT="0" distB="0" distL="0" distR="0" wp14:anchorId="5C27CAD2" wp14:editId="7D9CD1CC">
                  <wp:extent cx="2751455" cy="2075180"/>
                  <wp:effectExtent l="0" t="0" r="0" b="127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2F3A6E38" w14:textId="77777777" w:rsidR="00E66A98" w:rsidRPr="00504015" w:rsidRDefault="00E66A98" w:rsidP="00E66A98">
      <w:pPr>
        <w:jc w:val="both"/>
        <w:rPr>
          <w:rFonts w:ascii="Times New Roman" w:hAnsi="Times New Roman" w:cs="Times New Roman"/>
          <w:sz w:val="16"/>
          <w:szCs w:val="22"/>
          <w:lang w:val="es-MX"/>
        </w:rPr>
      </w:pPr>
      <w:r w:rsidRPr="00504015">
        <w:rPr>
          <w:rFonts w:ascii="Times New Roman" w:hAnsi="Times New Roman" w:cs="Times New Roman"/>
          <w:sz w:val="16"/>
          <w:szCs w:val="22"/>
          <w:lang w:val="es-MX"/>
        </w:rPr>
        <w:t>Fuente: Dirección de Análisis y Política Fiscal</w:t>
      </w:r>
    </w:p>
    <w:p w14:paraId="6FA3383A" w14:textId="77777777" w:rsidR="00E66A98" w:rsidRPr="00504015" w:rsidRDefault="00E66A98" w:rsidP="00E66A98">
      <w:pPr>
        <w:jc w:val="both"/>
        <w:rPr>
          <w:rFonts w:ascii="Times New Roman" w:hAnsi="Times New Roman" w:cs="Times New Roman"/>
          <w:lang w:val="es-MX"/>
        </w:rPr>
      </w:pPr>
    </w:p>
    <w:p w14:paraId="63B0F9C3" w14:textId="77777777" w:rsidR="00E66A98" w:rsidRPr="00504015" w:rsidRDefault="0021699A" w:rsidP="00E66A98">
      <w:pPr>
        <w:pStyle w:val="Prrafodelista"/>
        <w:numPr>
          <w:ilvl w:val="2"/>
          <w:numId w:val="32"/>
        </w:numPr>
        <w:ind w:hanging="578"/>
        <w:jc w:val="both"/>
        <w:outlineLvl w:val="2"/>
        <w:rPr>
          <w:rFonts w:ascii="Times New Roman" w:hAnsi="Times New Roman" w:cs="Times New Roman"/>
          <w:b/>
          <w:lang w:val="es-MX"/>
        </w:rPr>
      </w:pPr>
      <w:bookmarkStart w:id="75" w:name="_Toc32230887"/>
      <w:r>
        <w:rPr>
          <w:rFonts w:ascii="Times New Roman" w:hAnsi="Times New Roman" w:cs="Times New Roman"/>
          <w:b/>
          <w:lang w:val="es-MX"/>
        </w:rPr>
        <w:t>Impuesto al Valor A</w:t>
      </w:r>
      <w:r w:rsidR="00E66A98" w:rsidRPr="00504015">
        <w:rPr>
          <w:rFonts w:ascii="Times New Roman" w:hAnsi="Times New Roman" w:cs="Times New Roman"/>
          <w:b/>
          <w:lang w:val="es-MX"/>
        </w:rPr>
        <w:t>gregado –IVA-</w:t>
      </w:r>
      <w:bookmarkEnd w:id="75"/>
    </w:p>
    <w:p w14:paraId="176A8EE0" w14:textId="77777777" w:rsidR="00E66A98" w:rsidRDefault="00E66A98" w:rsidP="00E66A98">
      <w:pPr>
        <w:jc w:val="both"/>
        <w:rPr>
          <w:rFonts w:ascii="Times New Roman" w:hAnsi="Times New Roman" w:cs="Times New Roman"/>
          <w:color w:val="FF0000"/>
          <w:lang w:val="es-MX"/>
        </w:rPr>
      </w:pPr>
    </w:p>
    <w:p w14:paraId="6DF7E377" w14:textId="77777777" w:rsidR="00E66A98" w:rsidRDefault="00E66A98" w:rsidP="00E66A98">
      <w:pPr>
        <w:jc w:val="both"/>
        <w:rPr>
          <w:rFonts w:ascii="Times New Roman" w:hAnsi="Times New Roman" w:cs="Times New Roman"/>
          <w:sz w:val="22"/>
          <w:szCs w:val="22"/>
          <w:lang w:val="es-MX"/>
        </w:rPr>
      </w:pPr>
      <w:r w:rsidRPr="0065539C">
        <w:rPr>
          <w:rFonts w:ascii="Times New Roman" w:hAnsi="Times New Roman" w:cs="Times New Roman"/>
          <w:sz w:val="22"/>
          <w:szCs w:val="22"/>
          <w:lang w:val="es-MX"/>
        </w:rPr>
        <w:t xml:space="preserve">El </w:t>
      </w:r>
      <w:r w:rsidR="00C669DC">
        <w:rPr>
          <w:rFonts w:ascii="Times New Roman" w:hAnsi="Times New Roman" w:cs="Times New Roman"/>
          <w:sz w:val="22"/>
          <w:szCs w:val="22"/>
          <w:lang w:val="es-MX"/>
        </w:rPr>
        <w:t>impuesto al valor a</w:t>
      </w:r>
      <w:r>
        <w:rPr>
          <w:rFonts w:ascii="Times New Roman" w:hAnsi="Times New Roman" w:cs="Times New Roman"/>
          <w:sz w:val="22"/>
          <w:szCs w:val="22"/>
          <w:lang w:val="es-MX"/>
        </w:rPr>
        <w:t>gregado –IVA-  registró un crecimiento interanual del 7.9%, de los cuales el IVA doméstico creció 10.2% y el IVA a las importaciones 5.8%</w:t>
      </w:r>
    </w:p>
    <w:p w14:paraId="59DE3FFE" w14:textId="77777777" w:rsidR="00E66A98" w:rsidRDefault="00E66A98" w:rsidP="00E66A98">
      <w:pPr>
        <w:jc w:val="both"/>
        <w:rPr>
          <w:rFonts w:ascii="Times New Roman" w:hAnsi="Times New Roman" w:cs="Times New Roman"/>
          <w:sz w:val="22"/>
          <w:szCs w:val="22"/>
          <w:lang w:val="es-MX"/>
        </w:rPr>
      </w:pPr>
    </w:p>
    <w:p w14:paraId="3E49E58A" w14:textId="77777777" w:rsidR="00E66A98" w:rsidRPr="0065539C" w:rsidRDefault="00E66A98" w:rsidP="00E66A98">
      <w:pPr>
        <w:jc w:val="both"/>
        <w:rPr>
          <w:rFonts w:ascii="Times New Roman" w:hAnsi="Times New Roman" w:cs="Times New Roman"/>
          <w:sz w:val="22"/>
          <w:szCs w:val="22"/>
          <w:lang w:val="es-MX"/>
        </w:rPr>
      </w:pPr>
      <w:r w:rsidRPr="0065539C">
        <w:rPr>
          <w:rFonts w:ascii="Times New Roman" w:hAnsi="Times New Roman" w:cs="Times New Roman"/>
          <w:sz w:val="22"/>
          <w:szCs w:val="22"/>
          <w:lang w:val="es-MX"/>
        </w:rPr>
        <w:t>En términos de productividad del impuesto al valor agregado neto observado sin descontar los ingresos extraordinarios y con el cambio de base en cuentas nacionales se observa en algunos años de la serie una desaceleración en este impuesto a partir de 2013 hasta 2016. Luego de acciones tales como adeudos tributarios, exoneraciones, el esfuerzo de la SAT para aumentar la percepción de riesgo de los contribuyentes y la implementación de otros mecanismos como la implementación del nuevo régimen de la factura electrónica en línea permitieron el cambio en la tendencia de la productividad tal como se muestra en los gráficos siguientes.</w:t>
      </w:r>
    </w:p>
    <w:p w14:paraId="33F7B90C" w14:textId="77777777" w:rsidR="00E66A98" w:rsidRPr="0065539C" w:rsidRDefault="00E66A98" w:rsidP="00E66A98">
      <w:pPr>
        <w:jc w:val="both"/>
        <w:rPr>
          <w:rFonts w:ascii="Times New Roman" w:hAnsi="Times New Roman" w:cs="Times New Roman"/>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7"/>
        <w:gridCol w:w="4370"/>
      </w:tblGrid>
      <w:tr w:rsidR="00E66A98" w:rsidRPr="0065539C" w14:paraId="37E6DDC1" w14:textId="77777777" w:rsidTr="00E96044">
        <w:tc>
          <w:tcPr>
            <w:tcW w:w="4527" w:type="dxa"/>
          </w:tcPr>
          <w:p w14:paraId="4182DA00" w14:textId="77777777" w:rsidR="00E66A98" w:rsidRPr="0065539C" w:rsidRDefault="00E66A98" w:rsidP="00E96044">
            <w:pPr>
              <w:jc w:val="center"/>
              <w:rPr>
                <w:rFonts w:ascii="Times New Roman" w:hAnsi="Times New Roman" w:cs="Times New Roman"/>
                <w:b/>
                <w:sz w:val="22"/>
                <w:szCs w:val="22"/>
                <w:lang w:val="es-MX"/>
              </w:rPr>
            </w:pPr>
            <w:r w:rsidRPr="0065539C">
              <w:rPr>
                <w:rFonts w:ascii="Times New Roman" w:hAnsi="Times New Roman" w:cs="Times New Roman"/>
                <w:b/>
                <w:sz w:val="22"/>
                <w:szCs w:val="22"/>
                <w:lang w:val="es-MX"/>
              </w:rPr>
              <w:t>Productividad de cada año</w:t>
            </w:r>
          </w:p>
          <w:p w14:paraId="53F20744" w14:textId="77777777" w:rsidR="00E66A98" w:rsidRPr="0065539C" w:rsidRDefault="00E66A98" w:rsidP="00E96044">
            <w:pPr>
              <w:jc w:val="center"/>
              <w:rPr>
                <w:rFonts w:ascii="Times New Roman" w:hAnsi="Times New Roman" w:cs="Times New Roman"/>
                <w:b/>
                <w:sz w:val="22"/>
                <w:szCs w:val="22"/>
                <w:lang w:val="es-MX"/>
              </w:rPr>
            </w:pPr>
            <w:r w:rsidRPr="0065539C">
              <w:rPr>
                <w:rFonts w:ascii="Times New Roman" w:hAnsi="Times New Roman" w:cs="Times New Roman"/>
                <w:b/>
                <w:sz w:val="22"/>
                <w:szCs w:val="22"/>
                <w:lang w:val="es-MX"/>
              </w:rPr>
              <w:t xml:space="preserve">IVA total </w:t>
            </w:r>
          </w:p>
          <w:p w14:paraId="070DB0AC" w14:textId="77777777" w:rsidR="00E66A98" w:rsidRPr="0065539C" w:rsidRDefault="00E66A98" w:rsidP="00E96044">
            <w:pPr>
              <w:jc w:val="center"/>
              <w:rPr>
                <w:rFonts w:ascii="Times New Roman" w:hAnsi="Times New Roman" w:cs="Times New Roman"/>
                <w:sz w:val="22"/>
                <w:szCs w:val="22"/>
                <w:lang w:val="es-MX"/>
              </w:rPr>
            </w:pPr>
            <w:r w:rsidRPr="00383208">
              <w:rPr>
                <w:rFonts w:ascii="Times New Roman" w:hAnsi="Times New Roman" w:cs="Times New Roman"/>
                <w:sz w:val="20"/>
                <w:szCs w:val="22"/>
                <w:lang w:val="es-MX"/>
              </w:rPr>
              <w:t>Porcentajes</w:t>
            </w:r>
          </w:p>
        </w:tc>
        <w:tc>
          <w:tcPr>
            <w:tcW w:w="4370" w:type="dxa"/>
          </w:tcPr>
          <w:p w14:paraId="333F585A" w14:textId="77777777" w:rsidR="00E66A98" w:rsidRPr="0065539C" w:rsidRDefault="00E66A98" w:rsidP="00E96044">
            <w:pPr>
              <w:jc w:val="center"/>
              <w:rPr>
                <w:rFonts w:ascii="Times New Roman" w:hAnsi="Times New Roman" w:cs="Times New Roman"/>
                <w:b/>
                <w:sz w:val="22"/>
                <w:szCs w:val="22"/>
                <w:lang w:val="es-MX"/>
              </w:rPr>
            </w:pPr>
            <w:r w:rsidRPr="0065539C">
              <w:rPr>
                <w:rFonts w:ascii="Times New Roman" w:hAnsi="Times New Roman" w:cs="Times New Roman"/>
                <w:b/>
                <w:sz w:val="22"/>
                <w:szCs w:val="22"/>
                <w:lang w:val="es-MX"/>
              </w:rPr>
              <w:t>Productividad de cada año</w:t>
            </w:r>
          </w:p>
          <w:p w14:paraId="202D526F" w14:textId="77777777" w:rsidR="00E66A98" w:rsidRPr="0065539C" w:rsidRDefault="00E66A98" w:rsidP="00E96044">
            <w:pPr>
              <w:jc w:val="center"/>
              <w:rPr>
                <w:rFonts w:ascii="Times New Roman" w:hAnsi="Times New Roman" w:cs="Times New Roman"/>
                <w:b/>
                <w:sz w:val="22"/>
                <w:szCs w:val="22"/>
                <w:lang w:val="es-MX"/>
              </w:rPr>
            </w:pPr>
            <w:r w:rsidRPr="0065539C">
              <w:rPr>
                <w:rFonts w:ascii="Times New Roman" w:hAnsi="Times New Roman" w:cs="Times New Roman"/>
                <w:b/>
                <w:sz w:val="22"/>
                <w:szCs w:val="22"/>
                <w:lang w:val="es-MX"/>
              </w:rPr>
              <w:t>IVA importaciones e IVA doméstico</w:t>
            </w:r>
          </w:p>
          <w:p w14:paraId="05C028B8" w14:textId="77777777" w:rsidR="00E66A98" w:rsidRPr="0065539C" w:rsidRDefault="00E66A98" w:rsidP="00E96044">
            <w:pPr>
              <w:jc w:val="center"/>
              <w:rPr>
                <w:rFonts w:ascii="Times New Roman" w:hAnsi="Times New Roman" w:cs="Times New Roman"/>
                <w:sz w:val="22"/>
                <w:szCs w:val="22"/>
                <w:lang w:val="es-MX"/>
              </w:rPr>
            </w:pPr>
            <w:r w:rsidRPr="00383208">
              <w:rPr>
                <w:rFonts w:ascii="Times New Roman" w:hAnsi="Times New Roman" w:cs="Times New Roman"/>
                <w:sz w:val="20"/>
                <w:szCs w:val="22"/>
                <w:lang w:val="es-MX"/>
              </w:rPr>
              <w:t>Porcentajes</w:t>
            </w:r>
          </w:p>
        </w:tc>
      </w:tr>
      <w:tr w:rsidR="00E66A98" w:rsidRPr="0065539C" w14:paraId="4BDDDCF9" w14:textId="77777777" w:rsidTr="00E96044">
        <w:tc>
          <w:tcPr>
            <w:tcW w:w="4527" w:type="dxa"/>
          </w:tcPr>
          <w:p w14:paraId="2ED616D2" w14:textId="77777777" w:rsidR="00E66A98" w:rsidRPr="0065539C" w:rsidRDefault="00E66A98" w:rsidP="00E96044">
            <w:pPr>
              <w:jc w:val="both"/>
              <w:rPr>
                <w:rFonts w:ascii="Times New Roman" w:hAnsi="Times New Roman" w:cs="Times New Roman"/>
                <w:sz w:val="22"/>
                <w:szCs w:val="22"/>
                <w:lang w:val="es-MX"/>
              </w:rPr>
            </w:pPr>
            <w:r w:rsidRPr="0065539C">
              <w:rPr>
                <w:rFonts w:ascii="Times New Roman" w:hAnsi="Times New Roman" w:cs="Times New Roman"/>
                <w:noProof/>
                <w:sz w:val="22"/>
                <w:szCs w:val="22"/>
                <w:lang w:val="es-ES"/>
              </w:rPr>
              <w:drawing>
                <wp:inline distT="0" distB="0" distL="0" distR="0" wp14:anchorId="04297473" wp14:editId="456524A3">
                  <wp:extent cx="2809875" cy="1908313"/>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370" w:type="dxa"/>
          </w:tcPr>
          <w:p w14:paraId="66364ABB" w14:textId="77777777" w:rsidR="00E66A98" w:rsidRPr="0065539C" w:rsidRDefault="00E66A98" w:rsidP="00E96044">
            <w:pPr>
              <w:jc w:val="both"/>
              <w:rPr>
                <w:rFonts w:ascii="Times New Roman" w:hAnsi="Times New Roman" w:cs="Times New Roman"/>
                <w:sz w:val="22"/>
                <w:szCs w:val="22"/>
                <w:lang w:val="es-MX"/>
              </w:rPr>
            </w:pPr>
            <w:r w:rsidRPr="0065539C">
              <w:rPr>
                <w:rFonts w:ascii="Times New Roman" w:hAnsi="Times New Roman" w:cs="Times New Roman"/>
                <w:noProof/>
                <w:sz w:val="22"/>
                <w:szCs w:val="22"/>
                <w:lang w:val="es-ES"/>
              </w:rPr>
              <w:drawing>
                <wp:inline distT="0" distB="0" distL="0" distR="0" wp14:anchorId="543B5848" wp14:editId="03B69E8C">
                  <wp:extent cx="2838450" cy="1908175"/>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19730BA9" w14:textId="77777777" w:rsidR="00E66A98" w:rsidRPr="00383208" w:rsidRDefault="00E66A98" w:rsidP="00E66A98">
      <w:pPr>
        <w:jc w:val="both"/>
        <w:rPr>
          <w:rFonts w:ascii="Times New Roman" w:hAnsi="Times New Roman" w:cs="Times New Roman"/>
          <w:color w:val="FF0000"/>
          <w:sz w:val="18"/>
          <w:lang w:val="es-MX"/>
        </w:rPr>
      </w:pPr>
      <w:r w:rsidRPr="00383208">
        <w:rPr>
          <w:rFonts w:ascii="Times New Roman" w:hAnsi="Times New Roman" w:cs="Times New Roman"/>
          <w:sz w:val="16"/>
          <w:szCs w:val="22"/>
          <w:lang w:val="es-MX"/>
        </w:rPr>
        <w:t>Fuente: Dirección de Análisis y Política Fiscal</w:t>
      </w:r>
    </w:p>
    <w:p w14:paraId="6D9305A5" w14:textId="77777777" w:rsidR="00E66A98" w:rsidRDefault="00E66A98" w:rsidP="00E66A98">
      <w:pPr>
        <w:jc w:val="both"/>
        <w:rPr>
          <w:rFonts w:ascii="Times New Roman" w:hAnsi="Times New Roman" w:cs="Times New Roman"/>
          <w:sz w:val="22"/>
          <w:szCs w:val="22"/>
          <w:lang w:val="es-MX"/>
        </w:rPr>
      </w:pPr>
    </w:p>
    <w:p w14:paraId="3C4C6E12" w14:textId="77777777" w:rsidR="00E66A98" w:rsidRDefault="00E66A98" w:rsidP="00E66A98">
      <w:pPr>
        <w:jc w:val="both"/>
        <w:rPr>
          <w:rFonts w:ascii="Times New Roman" w:hAnsi="Times New Roman" w:cs="Times New Roman"/>
          <w:sz w:val="22"/>
          <w:szCs w:val="22"/>
          <w:lang w:val="es-MX"/>
        </w:rPr>
      </w:pPr>
      <w:r w:rsidRPr="0065539C">
        <w:rPr>
          <w:rFonts w:ascii="Times New Roman" w:hAnsi="Times New Roman" w:cs="Times New Roman"/>
          <w:sz w:val="22"/>
          <w:szCs w:val="22"/>
          <w:lang w:val="es-MX"/>
        </w:rPr>
        <w:t>Del IVA asociado al consumo interno</w:t>
      </w:r>
      <w:r>
        <w:rPr>
          <w:rFonts w:ascii="Times New Roman" w:hAnsi="Times New Roman" w:cs="Times New Roman"/>
          <w:sz w:val="22"/>
          <w:szCs w:val="22"/>
          <w:lang w:val="es-MX"/>
        </w:rPr>
        <w:t>,</w:t>
      </w:r>
      <w:r w:rsidRPr="0065539C">
        <w:rPr>
          <w:rFonts w:ascii="Times New Roman" w:hAnsi="Times New Roman" w:cs="Times New Roman"/>
          <w:sz w:val="22"/>
          <w:szCs w:val="22"/>
          <w:lang w:val="es-MX"/>
        </w:rPr>
        <w:t xml:space="preserve"> </w:t>
      </w:r>
      <w:r>
        <w:rPr>
          <w:rFonts w:ascii="Times New Roman" w:hAnsi="Times New Roman" w:cs="Times New Roman"/>
          <w:sz w:val="22"/>
          <w:szCs w:val="22"/>
          <w:lang w:val="es-MX"/>
        </w:rPr>
        <w:t xml:space="preserve">su comportamiento fue influenciado por los siguientes </w:t>
      </w:r>
      <w:r w:rsidRPr="0065539C">
        <w:rPr>
          <w:rFonts w:ascii="Times New Roman" w:hAnsi="Times New Roman" w:cs="Times New Roman"/>
          <w:sz w:val="22"/>
          <w:szCs w:val="22"/>
          <w:lang w:val="es-MX"/>
        </w:rPr>
        <w:t>factores</w:t>
      </w:r>
      <w:r>
        <w:rPr>
          <w:rFonts w:ascii="Times New Roman" w:hAnsi="Times New Roman" w:cs="Times New Roman"/>
          <w:sz w:val="22"/>
          <w:szCs w:val="22"/>
          <w:lang w:val="es-MX"/>
        </w:rPr>
        <w:t xml:space="preserve">: El efecto de la implementación de la factura electrónica en línea (FEL); el incremento de la percepción de riesgo a través del Programa Disuasiva y la suspensión del aprovisionamiento de devolución del crédito fiscal. </w:t>
      </w:r>
    </w:p>
    <w:p w14:paraId="5B278E5E" w14:textId="77777777" w:rsidR="00E66A98" w:rsidRPr="0065539C" w:rsidRDefault="00E66A98" w:rsidP="00E66A98">
      <w:pPr>
        <w:jc w:val="both"/>
        <w:rPr>
          <w:rFonts w:ascii="Times New Roman" w:hAnsi="Times New Roman" w:cs="Times New Roman"/>
          <w:sz w:val="22"/>
          <w:szCs w:val="22"/>
          <w:lang w:val="es-MX"/>
        </w:rPr>
      </w:pPr>
    </w:p>
    <w:p w14:paraId="178D8039" w14:textId="77777777" w:rsidR="00E66A98" w:rsidRPr="0065539C" w:rsidRDefault="00E66A98" w:rsidP="00E66A98">
      <w:pPr>
        <w:jc w:val="both"/>
        <w:rPr>
          <w:rFonts w:ascii="Times New Roman" w:hAnsi="Times New Roman" w:cs="Times New Roman"/>
          <w:sz w:val="22"/>
          <w:szCs w:val="22"/>
          <w:lang w:val="es-MX"/>
        </w:rPr>
      </w:pPr>
      <w:r>
        <w:rPr>
          <w:rFonts w:ascii="Times New Roman" w:hAnsi="Times New Roman" w:cs="Times New Roman"/>
          <w:sz w:val="22"/>
          <w:szCs w:val="22"/>
          <w:lang w:val="es-MX"/>
        </w:rPr>
        <w:t xml:space="preserve">El </w:t>
      </w:r>
      <w:r w:rsidRPr="0065539C">
        <w:rPr>
          <w:rFonts w:ascii="Times New Roman" w:hAnsi="Times New Roman" w:cs="Times New Roman"/>
          <w:sz w:val="22"/>
          <w:szCs w:val="22"/>
          <w:lang w:val="es-MX"/>
        </w:rPr>
        <w:t xml:space="preserve">comportamiento </w:t>
      </w:r>
      <w:r>
        <w:rPr>
          <w:rFonts w:ascii="Times New Roman" w:hAnsi="Times New Roman" w:cs="Times New Roman"/>
          <w:sz w:val="22"/>
          <w:szCs w:val="22"/>
          <w:lang w:val="es-MX"/>
        </w:rPr>
        <w:t>del IVA a las importaciones estuvo influenciado por</w:t>
      </w:r>
      <w:r w:rsidRPr="0065539C">
        <w:rPr>
          <w:rFonts w:ascii="Times New Roman" w:hAnsi="Times New Roman" w:cs="Times New Roman"/>
          <w:sz w:val="22"/>
          <w:szCs w:val="22"/>
          <w:lang w:val="es-MX"/>
        </w:rPr>
        <w:t xml:space="preserve"> las variaciones las fluctuaciones del tipo de cambio que mostro una ligera depreciación y a la caída en el valor de las importaciones gravadas asociadas a combustibles que al mes de noviembre significaban 3.1% respecto a lo observado en 2018. Por su parte, las importaciones no asociadas a combustible crecieron en 3.4%</w:t>
      </w:r>
      <w:r>
        <w:rPr>
          <w:rFonts w:ascii="Times New Roman" w:hAnsi="Times New Roman" w:cs="Times New Roman"/>
          <w:sz w:val="22"/>
          <w:szCs w:val="22"/>
          <w:lang w:val="es-MX"/>
        </w:rPr>
        <w:t xml:space="preserve">.  </w:t>
      </w:r>
      <w:r w:rsidRPr="0065539C">
        <w:rPr>
          <w:rFonts w:ascii="Times New Roman" w:hAnsi="Times New Roman" w:cs="Times New Roman"/>
          <w:sz w:val="22"/>
          <w:szCs w:val="22"/>
          <w:lang w:val="es-MX"/>
        </w:rPr>
        <w:t>De acuerdo a información publicada por el Banco de Guatemala se observa un crecimiento en las importaciones de bienes de consumo principalmente en los bienes no duraderos, de igual manera también se observa a noviembre un crecimiento en las importaciones gravadas de materiales de construcción y en bienes de capital principalmente en industria de telecomunicaciones y construcción.</w:t>
      </w:r>
    </w:p>
    <w:p w14:paraId="2A7CB68B" w14:textId="77777777" w:rsidR="00E66A98" w:rsidRPr="0065539C" w:rsidRDefault="00E66A98" w:rsidP="00E66A98">
      <w:pPr>
        <w:jc w:val="both"/>
        <w:rPr>
          <w:rFonts w:ascii="Times New Roman" w:hAnsi="Times New Roman" w:cs="Times New Roman"/>
          <w:sz w:val="22"/>
          <w:szCs w:val="22"/>
          <w:lang w:val="es-MX"/>
        </w:rPr>
      </w:pPr>
    </w:p>
    <w:p w14:paraId="0D73AFF1" w14:textId="77777777" w:rsidR="00E66A98" w:rsidRPr="00E96044" w:rsidRDefault="00E66A98" w:rsidP="00E66A98">
      <w:pPr>
        <w:jc w:val="center"/>
        <w:rPr>
          <w:rFonts w:ascii="Times New Roman" w:hAnsi="Times New Roman" w:cs="Times New Roman"/>
          <w:b/>
          <w:szCs w:val="22"/>
          <w:lang w:val="es-MX"/>
        </w:rPr>
      </w:pPr>
      <w:r w:rsidRPr="00E96044">
        <w:rPr>
          <w:rFonts w:ascii="Times New Roman" w:hAnsi="Times New Roman" w:cs="Times New Roman"/>
          <w:b/>
          <w:szCs w:val="22"/>
          <w:lang w:val="es-MX"/>
        </w:rPr>
        <w:t>Monto de las importaciones gravadas clasificación CUODE</w:t>
      </w:r>
    </w:p>
    <w:p w14:paraId="2A3161EE" w14:textId="77777777" w:rsidR="00E66A98" w:rsidRPr="00E96044" w:rsidRDefault="00E66A98" w:rsidP="00E66A98">
      <w:pPr>
        <w:jc w:val="center"/>
        <w:rPr>
          <w:rFonts w:ascii="Times New Roman" w:hAnsi="Times New Roman" w:cs="Times New Roman"/>
          <w:sz w:val="20"/>
          <w:szCs w:val="22"/>
          <w:lang w:val="es-MX"/>
        </w:rPr>
      </w:pPr>
      <w:r w:rsidRPr="00E96044">
        <w:rPr>
          <w:rFonts w:ascii="Times New Roman" w:hAnsi="Times New Roman" w:cs="Times New Roman"/>
          <w:sz w:val="20"/>
          <w:szCs w:val="22"/>
          <w:lang w:val="es-MX"/>
        </w:rPr>
        <w:t>Millones de US dólares y porcentajes</w:t>
      </w:r>
    </w:p>
    <w:tbl>
      <w:tblPr>
        <w:tblW w:w="9001" w:type="dxa"/>
        <w:jc w:val="center"/>
        <w:tblCellMar>
          <w:left w:w="70" w:type="dxa"/>
          <w:right w:w="70" w:type="dxa"/>
        </w:tblCellMar>
        <w:tblLook w:val="04A0" w:firstRow="1" w:lastRow="0" w:firstColumn="1" w:lastColumn="0" w:noHBand="0" w:noVBand="1"/>
      </w:tblPr>
      <w:tblGrid>
        <w:gridCol w:w="4585"/>
        <w:gridCol w:w="1169"/>
        <w:gridCol w:w="1169"/>
        <w:gridCol w:w="997"/>
        <w:gridCol w:w="1081"/>
      </w:tblGrid>
      <w:tr w:rsidR="00E66A98" w:rsidRPr="00383208" w14:paraId="0B1D621C" w14:textId="77777777" w:rsidTr="00E96044">
        <w:trPr>
          <w:trHeight w:val="290"/>
          <w:jc w:val="center"/>
        </w:trPr>
        <w:tc>
          <w:tcPr>
            <w:tcW w:w="4585" w:type="dxa"/>
            <w:tcBorders>
              <w:top w:val="nil"/>
              <w:left w:val="nil"/>
              <w:bottom w:val="nil"/>
              <w:right w:val="nil"/>
            </w:tcBorders>
            <w:shd w:val="clear" w:color="auto" w:fill="auto"/>
            <w:noWrap/>
            <w:vAlign w:val="center"/>
            <w:hideMark/>
          </w:tcPr>
          <w:p w14:paraId="4386B5D6" w14:textId="77777777" w:rsidR="00E66A98" w:rsidRPr="00383208" w:rsidRDefault="00E66A98" w:rsidP="00E96044">
            <w:pPr>
              <w:rPr>
                <w:rFonts w:ascii="Times New Roman" w:eastAsia="Times New Roman" w:hAnsi="Times New Roman" w:cs="Times New Roman"/>
                <w:b/>
                <w:sz w:val="18"/>
                <w:szCs w:val="22"/>
                <w:lang w:eastAsia="es-GT"/>
              </w:rPr>
            </w:pPr>
          </w:p>
        </w:tc>
        <w:tc>
          <w:tcPr>
            <w:tcW w:w="1169" w:type="dxa"/>
            <w:tcBorders>
              <w:top w:val="nil"/>
              <w:left w:val="nil"/>
              <w:bottom w:val="nil"/>
              <w:right w:val="nil"/>
            </w:tcBorders>
            <w:shd w:val="clear" w:color="auto" w:fill="auto"/>
            <w:noWrap/>
            <w:vAlign w:val="center"/>
            <w:hideMark/>
          </w:tcPr>
          <w:p w14:paraId="21FAAC6F" w14:textId="77777777" w:rsidR="00E66A98" w:rsidRPr="00383208" w:rsidRDefault="00E66A98" w:rsidP="00E96044">
            <w:pPr>
              <w:rPr>
                <w:rFonts w:ascii="Times New Roman" w:eastAsia="Times New Roman" w:hAnsi="Times New Roman" w:cs="Times New Roman"/>
                <w:b/>
                <w:sz w:val="18"/>
                <w:szCs w:val="22"/>
                <w:lang w:eastAsia="es-GT"/>
              </w:rPr>
            </w:pPr>
          </w:p>
        </w:tc>
        <w:tc>
          <w:tcPr>
            <w:tcW w:w="1169" w:type="dxa"/>
            <w:tcBorders>
              <w:top w:val="nil"/>
              <w:left w:val="nil"/>
              <w:bottom w:val="nil"/>
              <w:right w:val="nil"/>
            </w:tcBorders>
            <w:shd w:val="clear" w:color="auto" w:fill="auto"/>
            <w:noWrap/>
            <w:vAlign w:val="center"/>
            <w:hideMark/>
          </w:tcPr>
          <w:p w14:paraId="28B5E210" w14:textId="77777777" w:rsidR="00E66A98" w:rsidRPr="00383208" w:rsidRDefault="00E66A98" w:rsidP="00E96044">
            <w:pPr>
              <w:rPr>
                <w:rFonts w:ascii="Times New Roman" w:eastAsia="Times New Roman" w:hAnsi="Times New Roman" w:cs="Times New Roman"/>
                <w:b/>
                <w:sz w:val="18"/>
                <w:szCs w:val="22"/>
                <w:lang w:eastAsia="es-GT"/>
              </w:rPr>
            </w:pPr>
          </w:p>
        </w:tc>
        <w:tc>
          <w:tcPr>
            <w:tcW w:w="2078" w:type="dxa"/>
            <w:gridSpan w:val="2"/>
            <w:tcBorders>
              <w:top w:val="single" w:sz="8" w:space="0" w:color="auto"/>
              <w:left w:val="single" w:sz="8" w:space="0" w:color="auto"/>
              <w:bottom w:val="single" w:sz="8" w:space="0" w:color="auto"/>
              <w:right w:val="single" w:sz="8" w:space="0" w:color="000000"/>
            </w:tcBorders>
            <w:shd w:val="clear" w:color="auto" w:fill="4F81BD" w:themeFill="accent1"/>
            <w:noWrap/>
            <w:vAlign w:val="center"/>
            <w:hideMark/>
          </w:tcPr>
          <w:p w14:paraId="64AE3B14" w14:textId="77777777" w:rsidR="00E66A98" w:rsidRPr="00383208" w:rsidRDefault="00E66A98" w:rsidP="00E96044">
            <w:pPr>
              <w:jc w:val="center"/>
              <w:rPr>
                <w:rFonts w:ascii="Times New Roman" w:eastAsia="Times New Roman" w:hAnsi="Times New Roman" w:cs="Times New Roman"/>
                <w:b/>
                <w:sz w:val="18"/>
                <w:szCs w:val="22"/>
                <w:lang w:eastAsia="es-GT"/>
              </w:rPr>
            </w:pPr>
            <w:r w:rsidRPr="008F29E8">
              <w:rPr>
                <w:rFonts w:ascii="Times New Roman" w:eastAsia="Times New Roman" w:hAnsi="Times New Roman" w:cs="Times New Roman"/>
                <w:b/>
                <w:color w:val="FFFFFF" w:themeColor="background1"/>
                <w:sz w:val="18"/>
                <w:szCs w:val="22"/>
                <w:lang w:eastAsia="es-GT"/>
              </w:rPr>
              <w:t>Variación</w:t>
            </w:r>
          </w:p>
        </w:tc>
      </w:tr>
      <w:tr w:rsidR="00E66A98" w:rsidRPr="00383208" w14:paraId="200E9589" w14:textId="77777777" w:rsidTr="00E96044">
        <w:trPr>
          <w:trHeight w:val="290"/>
          <w:jc w:val="center"/>
        </w:trPr>
        <w:tc>
          <w:tcPr>
            <w:tcW w:w="4585" w:type="dxa"/>
            <w:tcBorders>
              <w:top w:val="single" w:sz="8" w:space="0" w:color="auto"/>
              <w:left w:val="single" w:sz="8" w:space="0" w:color="auto"/>
              <w:bottom w:val="single" w:sz="8" w:space="0" w:color="auto"/>
              <w:right w:val="nil"/>
            </w:tcBorders>
            <w:shd w:val="clear" w:color="auto" w:fill="4F81BD" w:themeFill="accent1"/>
            <w:noWrap/>
            <w:vAlign w:val="center"/>
            <w:hideMark/>
          </w:tcPr>
          <w:p w14:paraId="0149789C" w14:textId="77777777" w:rsidR="00E66A98" w:rsidRPr="008F29E8" w:rsidRDefault="00E66A98" w:rsidP="00E96044">
            <w:pPr>
              <w:jc w:val="center"/>
              <w:rPr>
                <w:rFonts w:ascii="Times New Roman" w:eastAsia="Times New Roman" w:hAnsi="Times New Roman" w:cs="Times New Roman"/>
                <w:b/>
                <w:color w:val="FFFFFF" w:themeColor="background1"/>
                <w:sz w:val="18"/>
                <w:szCs w:val="22"/>
                <w:lang w:eastAsia="es-GT"/>
              </w:rPr>
            </w:pPr>
            <w:r w:rsidRPr="008F29E8">
              <w:rPr>
                <w:rFonts w:ascii="Times New Roman" w:eastAsia="Times New Roman" w:hAnsi="Times New Roman" w:cs="Times New Roman"/>
                <w:b/>
                <w:color w:val="FFFFFF" w:themeColor="background1"/>
                <w:sz w:val="18"/>
                <w:szCs w:val="22"/>
                <w:lang w:eastAsia="es-GT"/>
              </w:rPr>
              <w:t> </w:t>
            </w:r>
          </w:p>
        </w:tc>
        <w:tc>
          <w:tcPr>
            <w:tcW w:w="1169" w:type="dxa"/>
            <w:tcBorders>
              <w:top w:val="single" w:sz="8" w:space="0" w:color="auto"/>
              <w:left w:val="single" w:sz="8" w:space="0" w:color="auto"/>
              <w:bottom w:val="single" w:sz="8" w:space="0" w:color="auto"/>
              <w:right w:val="single" w:sz="8" w:space="0" w:color="auto"/>
            </w:tcBorders>
            <w:shd w:val="clear" w:color="auto" w:fill="4F81BD" w:themeFill="accent1"/>
            <w:noWrap/>
            <w:vAlign w:val="center"/>
            <w:hideMark/>
          </w:tcPr>
          <w:p w14:paraId="7AA4A121" w14:textId="77777777" w:rsidR="00E66A98" w:rsidRPr="008F29E8" w:rsidRDefault="00E66A98" w:rsidP="00E96044">
            <w:pPr>
              <w:jc w:val="center"/>
              <w:rPr>
                <w:rFonts w:ascii="Times New Roman" w:eastAsia="Times New Roman" w:hAnsi="Times New Roman" w:cs="Times New Roman"/>
                <w:b/>
                <w:color w:val="FFFFFF" w:themeColor="background1"/>
                <w:sz w:val="18"/>
                <w:szCs w:val="22"/>
                <w:lang w:eastAsia="es-GT"/>
              </w:rPr>
            </w:pPr>
            <w:r w:rsidRPr="008F29E8">
              <w:rPr>
                <w:rFonts w:ascii="Times New Roman" w:eastAsia="Times New Roman" w:hAnsi="Times New Roman" w:cs="Times New Roman"/>
                <w:b/>
                <w:color w:val="FFFFFF" w:themeColor="background1"/>
                <w:sz w:val="18"/>
                <w:szCs w:val="22"/>
                <w:lang w:eastAsia="es-GT"/>
              </w:rPr>
              <w:t>nov-18</w:t>
            </w:r>
          </w:p>
        </w:tc>
        <w:tc>
          <w:tcPr>
            <w:tcW w:w="1169" w:type="dxa"/>
            <w:tcBorders>
              <w:top w:val="single" w:sz="8" w:space="0" w:color="auto"/>
              <w:left w:val="nil"/>
              <w:bottom w:val="single" w:sz="8" w:space="0" w:color="auto"/>
              <w:right w:val="single" w:sz="8" w:space="0" w:color="auto"/>
            </w:tcBorders>
            <w:shd w:val="clear" w:color="auto" w:fill="4F81BD" w:themeFill="accent1"/>
            <w:noWrap/>
            <w:vAlign w:val="center"/>
            <w:hideMark/>
          </w:tcPr>
          <w:p w14:paraId="18C6727E" w14:textId="77777777" w:rsidR="00E66A98" w:rsidRPr="008F29E8" w:rsidRDefault="00E66A98" w:rsidP="00E96044">
            <w:pPr>
              <w:jc w:val="center"/>
              <w:rPr>
                <w:rFonts w:ascii="Times New Roman" w:eastAsia="Times New Roman" w:hAnsi="Times New Roman" w:cs="Times New Roman"/>
                <w:b/>
                <w:color w:val="FFFFFF" w:themeColor="background1"/>
                <w:sz w:val="18"/>
                <w:szCs w:val="22"/>
                <w:lang w:eastAsia="es-GT"/>
              </w:rPr>
            </w:pPr>
            <w:r w:rsidRPr="008F29E8">
              <w:rPr>
                <w:rFonts w:ascii="Times New Roman" w:eastAsia="Times New Roman" w:hAnsi="Times New Roman" w:cs="Times New Roman"/>
                <w:b/>
                <w:color w:val="FFFFFF" w:themeColor="background1"/>
                <w:sz w:val="18"/>
                <w:szCs w:val="22"/>
                <w:lang w:eastAsia="es-GT"/>
              </w:rPr>
              <w:t>nov-19</w:t>
            </w:r>
          </w:p>
        </w:tc>
        <w:tc>
          <w:tcPr>
            <w:tcW w:w="997" w:type="dxa"/>
            <w:tcBorders>
              <w:top w:val="nil"/>
              <w:left w:val="nil"/>
              <w:bottom w:val="single" w:sz="8" w:space="0" w:color="auto"/>
              <w:right w:val="single" w:sz="8" w:space="0" w:color="auto"/>
            </w:tcBorders>
            <w:shd w:val="clear" w:color="auto" w:fill="4F81BD" w:themeFill="accent1"/>
            <w:noWrap/>
            <w:vAlign w:val="center"/>
            <w:hideMark/>
          </w:tcPr>
          <w:p w14:paraId="10230266" w14:textId="77777777" w:rsidR="00E66A98" w:rsidRPr="008F29E8" w:rsidRDefault="00E66A98" w:rsidP="00E96044">
            <w:pPr>
              <w:jc w:val="center"/>
              <w:rPr>
                <w:rFonts w:ascii="Times New Roman" w:eastAsia="Times New Roman" w:hAnsi="Times New Roman" w:cs="Times New Roman"/>
                <w:b/>
                <w:color w:val="FFFFFF" w:themeColor="background1"/>
                <w:sz w:val="18"/>
                <w:szCs w:val="22"/>
                <w:lang w:eastAsia="es-GT"/>
              </w:rPr>
            </w:pPr>
            <w:r w:rsidRPr="008F29E8">
              <w:rPr>
                <w:rFonts w:ascii="Times New Roman" w:eastAsia="Times New Roman" w:hAnsi="Times New Roman" w:cs="Times New Roman"/>
                <w:b/>
                <w:color w:val="FFFFFF" w:themeColor="background1"/>
                <w:sz w:val="18"/>
                <w:szCs w:val="22"/>
                <w:lang w:eastAsia="es-GT"/>
              </w:rPr>
              <w:t>Absoluta</w:t>
            </w:r>
          </w:p>
        </w:tc>
        <w:tc>
          <w:tcPr>
            <w:tcW w:w="1081" w:type="dxa"/>
            <w:tcBorders>
              <w:top w:val="nil"/>
              <w:left w:val="nil"/>
              <w:bottom w:val="single" w:sz="8" w:space="0" w:color="auto"/>
              <w:right w:val="single" w:sz="8" w:space="0" w:color="auto"/>
            </w:tcBorders>
            <w:shd w:val="clear" w:color="auto" w:fill="4F81BD" w:themeFill="accent1"/>
            <w:noWrap/>
            <w:vAlign w:val="center"/>
            <w:hideMark/>
          </w:tcPr>
          <w:p w14:paraId="2A1FC67E" w14:textId="77777777" w:rsidR="00E66A98" w:rsidRPr="008F29E8" w:rsidRDefault="00E66A98" w:rsidP="00E96044">
            <w:pPr>
              <w:jc w:val="center"/>
              <w:rPr>
                <w:rFonts w:ascii="Times New Roman" w:eastAsia="Times New Roman" w:hAnsi="Times New Roman" w:cs="Times New Roman"/>
                <w:b/>
                <w:color w:val="FFFFFF" w:themeColor="background1"/>
                <w:sz w:val="18"/>
                <w:szCs w:val="22"/>
                <w:lang w:eastAsia="es-GT"/>
              </w:rPr>
            </w:pPr>
            <w:r w:rsidRPr="008F29E8">
              <w:rPr>
                <w:rFonts w:ascii="Times New Roman" w:eastAsia="Times New Roman" w:hAnsi="Times New Roman" w:cs="Times New Roman"/>
                <w:b/>
                <w:color w:val="FFFFFF" w:themeColor="background1"/>
                <w:sz w:val="18"/>
                <w:szCs w:val="22"/>
                <w:lang w:eastAsia="es-GT"/>
              </w:rPr>
              <w:t>Relativa</w:t>
            </w:r>
          </w:p>
        </w:tc>
      </w:tr>
      <w:tr w:rsidR="00E66A98" w:rsidRPr="00383208" w14:paraId="17E8FF56" w14:textId="77777777" w:rsidTr="00E96044">
        <w:trPr>
          <w:trHeight w:val="290"/>
          <w:jc w:val="center"/>
        </w:trPr>
        <w:tc>
          <w:tcPr>
            <w:tcW w:w="4585" w:type="dxa"/>
            <w:tcBorders>
              <w:top w:val="nil"/>
              <w:left w:val="nil"/>
              <w:bottom w:val="single" w:sz="8" w:space="0" w:color="auto"/>
              <w:right w:val="nil"/>
            </w:tcBorders>
            <w:shd w:val="clear" w:color="auto" w:fill="auto"/>
            <w:noWrap/>
            <w:vAlign w:val="center"/>
            <w:hideMark/>
          </w:tcPr>
          <w:p w14:paraId="6A8B605D" w14:textId="77777777" w:rsidR="00E66A98" w:rsidRPr="00383208" w:rsidRDefault="00E66A98" w:rsidP="000F42B0">
            <w:pPr>
              <w:ind w:firstLineChars="100" w:firstLine="181"/>
              <w:rPr>
                <w:rFonts w:ascii="Times New Roman" w:eastAsia="Times New Roman" w:hAnsi="Times New Roman" w:cs="Times New Roman"/>
                <w:b/>
                <w:bCs/>
                <w:sz w:val="18"/>
                <w:szCs w:val="22"/>
                <w:lang w:eastAsia="es-GT"/>
              </w:rPr>
              <w:pPrChange w:id="76" w:author="René Augusto Castro González" w:date="2020-02-10T18:49:00Z">
                <w:pPr>
                  <w:ind w:firstLineChars="100" w:firstLine="180"/>
                </w:pPr>
              </w:pPrChange>
            </w:pPr>
            <w:r w:rsidRPr="00383208">
              <w:rPr>
                <w:rFonts w:ascii="Times New Roman" w:eastAsia="Times New Roman" w:hAnsi="Times New Roman" w:cs="Times New Roman"/>
                <w:b/>
                <w:bCs/>
                <w:sz w:val="18"/>
                <w:szCs w:val="22"/>
                <w:lang w:eastAsia="es-GT"/>
              </w:rPr>
              <w:t>Importaciones Totales (Territorio Aduanero)</w:t>
            </w:r>
          </w:p>
        </w:tc>
        <w:tc>
          <w:tcPr>
            <w:tcW w:w="1169" w:type="dxa"/>
            <w:tcBorders>
              <w:top w:val="nil"/>
              <w:left w:val="single" w:sz="8" w:space="0" w:color="auto"/>
              <w:bottom w:val="single" w:sz="8" w:space="0" w:color="auto"/>
              <w:right w:val="single" w:sz="8" w:space="0" w:color="auto"/>
            </w:tcBorders>
            <w:shd w:val="clear" w:color="auto" w:fill="auto"/>
            <w:noWrap/>
            <w:vAlign w:val="center"/>
            <w:hideMark/>
          </w:tcPr>
          <w:p w14:paraId="7FFCC771" w14:textId="77777777" w:rsidR="00E66A98" w:rsidRPr="00383208" w:rsidRDefault="00E66A98" w:rsidP="00E96044">
            <w:pPr>
              <w:jc w:val="center"/>
              <w:rPr>
                <w:rFonts w:ascii="Times New Roman" w:eastAsia="Times New Roman" w:hAnsi="Times New Roman" w:cs="Times New Roman"/>
                <w:b/>
                <w:bCs/>
                <w:sz w:val="18"/>
                <w:szCs w:val="22"/>
                <w:lang w:eastAsia="es-GT"/>
              </w:rPr>
            </w:pPr>
            <w:r w:rsidRPr="00383208">
              <w:rPr>
                <w:rFonts w:ascii="Times New Roman" w:eastAsia="Times New Roman" w:hAnsi="Times New Roman" w:cs="Times New Roman"/>
                <w:b/>
                <w:bCs/>
                <w:sz w:val="18"/>
                <w:szCs w:val="22"/>
                <w:lang w:eastAsia="es-GT"/>
              </w:rPr>
              <w:t>15,055.11</w:t>
            </w:r>
          </w:p>
        </w:tc>
        <w:tc>
          <w:tcPr>
            <w:tcW w:w="1169" w:type="dxa"/>
            <w:tcBorders>
              <w:top w:val="nil"/>
              <w:left w:val="nil"/>
              <w:bottom w:val="single" w:sz="8" w:space="0" w:color="auto"/>
              <w:right w:val="single" w:sz="8" w:space="0" w:color="auto"/>
            </w:tcBorders>
            <w:shd w:val="clear" w:color="auto" w:fill="auto"/>
            <w:noWrap/>
            <w:vAlign w:val="center"/>
            <w:hideMark/>
          </w:tcPr>
          <w:p w14:paraId="1F7C3D54" w14:textId="77777777" w:rsidR="00E66A98" w:rsidRPr="00383208" w:rsidRDefault="00E66A98" w:rsidP="00E96044">
            <w:pPr>
              <w:jc w:val="center"/>
              <w:rPr>
                <w:rFonts w:ascii="Times New Roman" w:eastAsia="Times New Roman" w:hAnsi="Times New Roman" w:cs="Times New Roman"/>
                <w:b/>
                <w:bCs/>
                <w:sz w:val="18"/>
                <w:szCs w:val="22"/>
                <w:lang w:eastAsia="es-GT"/>
              </w:rPr>
            </w:pPr>
            <w:r w:rsidRPr="00383208">
              <w:rPr>
                <w:rFonts w:ascii="Times New Roman" w:eastAsia="Times New Roman" w:hAnsi="Times New Roman" w:cs="Times New Roman"/>
                <w:b/>
                <w:bCs/>
                <w:sz w:val="18"/>
                <w:szCs w:val="22"/>
                <w:lang w:eastAsia="es-GT"/>
              </w:rPr>
              <w:t>15,411.90</w:t>
            </w:r>
          </w:p>
        </w:tc>
        <w:tc>
          <w:tcPr>
            <w:tcW w:w="997" w:type="dxa"/>
            <w:tcBorders>
              <w:top w:val="nil"/>
              <w:left w:val="nil"/>
              <w:bottom w:val="single" w:sz="8" w:space="0" w:color="auto"/>
              <w:right w:val="single" w:sz="8" w:space="0" w:color="auto"/>
            </w:tcBorders>
            <w:shd w:val="clear" w:color="auto" w:fill="auto"/>
            <w:noWrap/>
            <w:vAlign w:val="center"/>
            <w:hideMark/>
          </w:tcPr>
          <w:p w14:paraId="7C497BFB" w14:textId="77777777" w:rsidR="00E66A98" w:rsidRPr="00383208" w:rsidRDefault="00E66A98" w:rsidP="00E96044">
            <w:pPr>
              <w:jc w:val="center"/>
              <w:rPr>
                <w:rFonts w:ascii="Times New Roman" w:eastAsia="Times New Roman" w:hAnsi="Times New Roman" w:cs="Times New Roman"/>
                <w:b/>
                <w:bCs/>
                <w:sz w:val="18"/>
                <w:szCs w:val="22"/>
                <w:lang w:eastAsia="es-GT"/>
              </w:rPr>
            </w:pPr>
            <w:r w:rsidRPr="00383208">
              <w:rPr>
                <w:rFonts w:ascii="Times New Roman" w:eastAsia="Times New Roman" w:hAnsi="Times New Roman" w:cs="Times New Roman"/>
                <w:b/>
                <w:bCs/>
                <w:sz w:val="18"/>
                <w:szCs w:val="22"/>
                <w:lang w:eastAsia="es-GT"/>
              </w:rPr>
              <w:t>356.79</w:t>
            </w:r>
          </w:p>
        </w:tc>
        <w:tc>
          <w:tcPr>
            <w:tcW w:w="1081" w:type="dxa"/>
            <w:tcBorders>
              <w:top w:val="nil"/>
              <w:left w:val="nil"/>
              <w:bottom w:val="single" w:sz="8" w:space="0" w:color="auto"/>
              <w:right w:val="nil"/>
            </w:tcBorders>
            <w:shd w:val="clear" w:color="auto" w:fill="auto"/>
            <w:noWrap/>
            <w:vAlign w:val="center"/>
            <w:hideMark/>
          </w:tcPr>
          <w:p w14:paraId="2A263C6E" w14:textId="77777777" w:rsidR="00E66A98" w:rsidRPr="00383208" w:rsidRDefault="00E66A98" w:rsidP="00E96044">
            <w:pPr>
              <w:jc w:val="center"/>
              <w:rPr>
                <w:rFonts w:ascii="Times New Roman" w:eastAsia="Times New Roman" w:hAnsi="Times New Roman" w:cs="Times New Roman"/>
                <w:b/>
                <w:bCs/>
                <w:sz w:val="18"/>
                <w:szCs w:val="22"/>
                <w:lang w:eastAsia="es-GT"/>
              </w:rPr>
            </w:pPr>
            <w:r w:rsidRPr="00383208">
              <w:rPr>
                <w:rFonts w:ascii="Times New Roman" w:eastAsia="Times New Roman" w:hAnsi="Times New Roman" w:cs="Times New Roman"/>
                <w:b/>
                <w:bCs/>
                <w:sz w:val="18"/>
                <w:szCs w:val="22"/>
                <w:lang w:eastAsia="es-GT"/>
              </w:rPr>
              <w:t>2.4%</w:t>
            </w:r>
          </w:p>
        </w:tc>
      </w:tr>
      <w:tr w:rsidR="00E66A98" w:rsidRPr="00383208" w14:paraId="2F487E16" w14:textId="77777777" w:rsidTr="00E96044">
        <w:trPr>
          <w:trHeight w:val="290"/>
          <w:jc w:val="center"/>
        </w:trPr>
        <w:tc>
          <w:tcPr>
            <w:tcW w:w="4585" w:type="dxa"/>
            <w:tcBorders>
              <w:top w:val="nil"/>
              <w:left w:val="nil"/>
              <w:bottom w:val="nil"/>
              <w:right w:val="nil"/>
            </w:tcBorders>
            <w:shd w:val="clear" w:color="auto" w:fill="auto"/>
            <w:noWrap/>
            <w:vAlign w:val="center"/>
            <w:hideMark/>
          </w:tcPr>
          <w:p w14:paraId="609842A2" w14:textId="77777777" w:rsidR="00E66A98" w:rsidRPr="00383208" w:rsidRDefault="00E66A98" w:rsidP="00E96044">
            <w:pPr>
              <w:ind w:firstLineChars="200" w:firstLine="360"/>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BIENES DE CONSUMO</w:t>
            </w:r>
          </w:p>
        </w:tc>
        <w:tc>
          <w:tcPr>
            <w:tcW w:w="1169" w:type="dxa"/>
            <w:tcBorders>
              <w:top w:val="nil"/>
              <w:left w:val="single" w:sz="8" w:space="0" w:color="auto"/>
              <w:bottom w:val="nil"/>
              <w:right w:val="single" w:sz="8" w:space="0" w:color="auto"/>
            </w:tcBorders>
            <w:shd w:val="clear" w:color="auto" w:fill="auto"/>
            <w:noWrap/>
            <w:vAlign w:val="center"/>
            <w:hideMark/>
          </w:tcPr>
          <w:p w14:paraId="4C412A20"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5,207.68</w:t>
            </w:r>
          </w:p>
        </w:tc>
        <w:tc>
          <w:tcPr>
            <w:tcW w:w="1169" w:type="dxa"/>
            <w:tcBorders>
              <w:top w:val="nil"/>
              <w:left w:val="nil"/>
              <w:bottom w:val="nil"/>
              <w:right w:val="single" w:sz="8" w:space="0" w:color="auto"/>
            </w:tcBorders>
            <w:shd w:val="clear" w:color="auto" w:fill="auto"/>
            <w:noWrap/>
            <w:vAlign w:val="center"/>
            <w:hideMark/>
          </w:tcPr>
          <w:p w14:paraId="7AF9EF54"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5,496.99</w:t>
            </w:r>
          </w:p>
        </w:tc>
        <w:tc>
          <w:tcPr>
            <w:tcW w:w="997" w:type="dxa"/>
            <w:tcBorders>
              <w:top w:val="nil"/>
              <w:left w:val="nil"/>
              <w:bottom w:val="nil"/>
              <w:right w:val="single" w:sz="8" w:space="0" w:color="auto"/>
            </w:tcBorders>
            <w:shd w:val="clear" w:color="auto" w:fill="auto"/>
            <w:noWrap/>
            <w:vAlign w:val="center"/>
            <w:hideMark/>
          </w:tcPr>
          <w:p w14:paraId="615F6452"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289.30</w:t>
            </w:r>
          </w:p>
        </w:tc>
        <w:tc>
          <w:tcPr>
            <w:tcW w:w="1081" w:type="dxa"/>
            <w:tcBorders>
              <w:top w:val="nil"/>
              <w:left w:val="nil"/>
              <w:bottom w:val="nil"/>
              <w:right w:val="nil"/>
            </w:tcBorders>
            <w:shd w:val="clear" w:color="auto" w:fill="auto"/>
            <w:noWrap/>
            <w:vAlign w:val="center"/>
            <w:hideMark/>
          </w:tcPr>
          <w:p w14:paraId="239892E7"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5.6%</w:t>
            </w:r>
          </w:p>
        </w:tc>
      </w:tr>
      <w:tr w:rsidR="00E66A98" w:rsidRPr="00383208" w14:paraId="146CF6AA" w14:textId="77777777" w:rsidTr="00E96044">
        <w:trPr>
          <w:trHeight w:val="290"/>
          <w:jc w:val="center"/>
        </w:trPr>
        <w:tc>
          <w:tcPr>
            <w:tcW w:w="4585" w:type="dxa"/>
            <w:tcBorders>
              <w:top w:val="nil"/>
              <w:left w:val="nil"/>
              <w:bottom w:val="nil"/>
              <w:right w:val="nil"/>
            </w:tcBorders>
            <w:shd w:val="clear" w:color="auto" w:fill="auto"/>
            <w:noWrap/>
            <w:vAlign w:val="center"/>
            <w:hideMark/>
          </w:tcPr>
          <w:p w14:paraId="0B19E77D" w14:textId="77777777" w:rsidR="00E66A98" w:rsidRPr="00383208" w:rsidRDefault="00E66A98" w:rsidP="00E96044">
            <w:pPr>
              <w:ind w:firstLineChars="200" w:firstLine="360"/>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 xml:space="preserve">MATERIAS PRIMAS Y PRODUCTOS </w:t>
            </w:r>
            <w:r w:rsidR="0022319A">
              <w:rPr>
                <w:rFonts w:ascii="Times New Roman" w:eastAsia="Times New Roman" w:hAnsi="Times New Roman" w:cs="Times New Roman"/>
                <w:sz w:val="18"/>
                <w:szCs w:val="22"/>
                <w:lang w:eastAsia="es-GT"/>
              </w:rPr>
              <w:t xml:space="preserve">    </w:t>
            </w:r>
            <w:r w:rsidRPr="00383208">
              <w:rPr>
                <w:rFonts w:ascii="Times New Roman" w:eastAsia="Times New Roman" w:hAnsi="Times New Roman" w:cs="Times New Roman"/>
                <w:sz w:val="18"/>
                <w:szCs w:val="22"/>
                <w:lang w:eastAsia="es-GT"/>
              </w:rPr>
              <w:t>INTERMEDIOS</w:t>
            </w:r>
          </w:p>
        </w:tc>
        <w:tc>
          <w:tcPr>
            <w:tcW w:w="1169" w:type="dxa"/>
            <w:tcBorders>
              <w:top w:val="nil"/>
              <w:left w:val="single" w:sz="8" w:space="0" w:color="auto"/>
              <w:bottom w:val="nil"/>
              <w:right w:val="single" w:sz="8" w:space="0" w:color="auto"/>
            </w:tcBorders>
            <w:shd w:val="clear" w:color="auto" w:fill="auto"/>
            <w:noWrap/>
            <w:vAlign w:val="center"/>
            <w:hideMark/>
          </w:tcPr>
          <w:p w14:paraId="7BD2638C"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4,065.51</w:t>
            </w:r>
          </w:p>
        </w:tc>
        <w:tc>
          <w:tcPr>
            <w:tcW w:w="1169" w:type="dxa"/>
            <w:tcBorders>
              <w:top w:val="nil"/>
              <w:left w:val="nil"/>
              <w:bottom w:val="nil"/>
              <w:right w:val="single" w:sz="8" w:space="0" w:color="auto"/>
            </w:tcBorders>
            <w:shd w:val="clear" w:color="auto" w:fill="auto"/>
            <w:noWrap/>
            <w:vAlign w:val="center"/>
            <w:hideMark/>
          </w:tcPr>
          <w:p w14:paraId="5141FA74"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4,028.85</w:t>
            </w:r>
          </w:p>
        </w:tc>
        <w:tc>
          <w:tcPr>
            <w:tcW w:w="997" w:type="dxa"/>
            <w:tcBorders>
              <w:top w:val="nil"/>
              <w:left w:val="nil"/>
              <w:bottom w:val="nil"/>
              <w:right w:val="single" w:sz="8" w:space="0" w:color="auto"/>
            </w:tcBorders>
            <w:shd w:val="clear" w:color="auto" w:fill="auto"/>
            <w:noWrap/>
            <w:vAlign w:val="center"/>
            <w:hideMark/>
          </w:tcPr>
          <w:p w14:paraId="6B321313"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-36.66</w:t>
            </w:r>
          </w:p>
        </w:tc>
        <w:tc>
          <w:tcPr>
            <w:tcW w:w="1081" w:type="dxa"/>
            <w:tcBorders>
              <w:top w:val="nil"/>
              <w:left w:val="nil"/>
              <w:bottom w:val="nil"/>
              <w:right w:val="nil"/>
            </w:tcBorders>
            <w:shd w:val="clear" w:color="auto" w:fill="auto"/>
            <w:noWrap/>
            <w:vAlign w:val="center"/>
            <w:hideMark/>
          </w:tcPr>
          <w:p w14:paraId="7B129F0F"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-0.9%</w:t>
            </w:r>
          </w:p>
        </w:tc>
      </w:tr>
      <w:tr w:rsidR="00E66A98" w:rsidRPr="00383208" w14:paraId="0CD124C0" w14:textId="77777777" w:rsidTr="00E96044">
        <w:trPr>
          <w:trHeight w:val="290"/>
          <w:jc w:val="center"/>
        </w:trPr>
        <w:tc>
          <w:tcPr>
            <w:tcW w:w="4585" w:type="dxa"/>
            <w:tcBorders>
              <w:top w:val="nil"/>
              <w:left w:val="nil"/>
              <w:bottom w:val="nil"/>
              <w:right w:val="nil"/>
            </w:tcBorders>
            <w:shd w:val="clear" w:color="auto" w:fill="auto"/>
            <w:noWrap/>
            <w:vAlign w:val="center"/>
            <w:hideMark/>
          </w:tcPr>
          <w:p w14:paraId="333FA71C" w14:textId="77777777" w:rsidR="00E66A98" w:rsidRPr="00383208" w:rsidRDefault="00E66A98" w:rsidP="00E96044">
            <w:pPr>
              <w:ind w:firstLineChars="200" w:firstLine="360"/>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COMBUSTIBLES Y LUBRICANTES</w:t>
            </w:r>
          </w:p>
        </w:tc>
        <w:tc>
          <w:tcPr>
            <w:tcW w:w="1169" w:type="dxa"/>
            <w:tcBorders>
              <w:top w:val="nil"/>
              <w:left w:val="single" w:sz="8" w:space="0" w:color="auto"/>
              <w:bottom w:val="nil"/>
              <w:right w:val="single" w:sz="8" w:space="0" w:color="auto"/>
            </w:tcBorders>
            <w:shd w:val="clear" w:color="auto" w:fill="auto"/>
            <w:noWrap/>
            <w:vAlign w:val="center"/>
            <w:hideMark/>
          </w:tcPr>
          <w:p w14:paraId="2BFA9E5C"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2,430.28</w:t>
            </w:r>
          </w:p>
        </w:tc>
        <w:tc>
          <w:tcPr>
            <w:tcW w:w="1169" w:type="dxa"/>
            <w:tcBorders>
              <w:top w:val="nil"/>
              <w:left w:val="nil"/>
              <w:bottom w:val="nil"/>
              <w:right w:val="single" w:sz="8" w:space="0" w:color="auto"/>
            </w:tcBorders>
            <w:shd w:val="clear" w:color="auto" w:fill="auto"/>
            <w:noWrap/>
            <w:vAlign w:val="center"/>
            <w:hideMark/>
          </w:tcPr>
          <w:p w14:paraId="489A0A4F"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2,354.66</w:t>
            </w:r>
          </w:p>
        </w:tc>
        <w:tc>
          <w:tcPr>
            <w:tcW w:w="997" w:type="dxa"/>
            <w:tcBorders>
              <w:top w:val="nil"/>
              <w:left w:val="nil"/>
              <w:bottom w:val="nil"/>
              <w:right w:val="single" w:sz="8" w:space="0" w:color="auto"/>
            </w:tcBorders>
            <w:shd w:val="clear" w:color="auto" w:fill="auto"/>
            <w:noWrap/>
            <w:vAlign w:val="center"/>
            <w:hideMark/>
          </w:tcPr>
          <w:p w14:paraId="588A5F33"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-75.62</w:t>
            </w:r>
          </w:p>
        </w:tc>
        <w:tc>
          <w:tcPr>
            <w:tcW w:w="1081" w:type="dxa"/>
            <w:tcBorders>
              <w:top w:val="nil"/>
              <w:left w:val="nil"/>
              <w:bottom w:val="nil"/>
              <w:right w:val="nil"/>
            </w:tcBorders>
            <w:shd w:val="clear" w:color="auto" w:fill="auto"/>
            <w:noWrap/>
            <w:vAlign w:val="center"/>
            <w:hideMark/>
          </w:tcPr>
          <w:p w14:paraId="4F7313F3"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-3.1%</w:t>
            </w:r>
          </w:p>
        </w:tc>
      </w:tr>
      <w:tr w:rsidR="00E66A98" w:rsidRPr="00383208" w14:paraId="3E413AF0" w14:textId="77777777" w:rsidTr="00E96044">
        <w:trPr>
          <w:trHeight w:val="290"/>
          <w:jc w:val="center"/>
        </w:trPr>
        <w:tc>
          <w:tcPr>
            <w:tcW w:w="4585" w:type="dxa"/>
            <w:tcBorders>
              <w:top w:val="nil"/>
              <w:left w:val="nil"/>
              <w:bottom w:val="nil"/>
              <w:right w:val="nil"/>
            </w:tcBorders>
            <w:shd w:val="clear" w:color="auto" w:fill="auto"/>
            <w:noWrap/>
            <w:vAlign w:val="center"/>
            <w:hideMark/>
          </w:tcPr>
          <w:p w14:paraId="4E7B9A90" w14:textId="77777777" w:rsidR="00E66A98" w:rsidRPr="00383208" w:rsidRDefault="00E66A98" w:rsidP="00E96044">
            <w:pPr>
              <w:ind w:firstLineChars="200" w:firstLine="360"/>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MATERIALES DE CONSTRUCCIÓN</w:t>
            </w:r>
          </w:p>
        </w:tc>
        <w:tc>
          <w:tcPr>
            <w:tcW w:w="1169" w:type="dxa"/>
            <w:tcBorders>
              <w:top w:val="nil"/>
              <w:left w:val="single" w:sz="8" w:space="0" w:color="auto"/>
              <w:bottom w:val="nil"/>
              <w:right w:val="single" w:sz="8" w:space="0" w:color="auto"/>
            </w:tcBorders>
            <w:shd w:val="clear" w:color="auto" w:fill="auto"/>
            <w:noWrap/>
            <w:vAlign w:val="center"/>
            <w:hideMark/>
          </w:tcPr>
          <w:p w14:paraId="76E564B8"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421.44</w:t>
            </w:r>
          </w:p>
        </w:tc>
        <w:tc>
          <w:tcPr>
            <w:tcW w:w="1169" w:type="dxa"/>
            <w:tcBorders>
              <w:top w:val="nil"/>
              <w:left w:val="nil"/>
              <w:bottom w:val="nil"/>
              <w:right w:val="single" w:sz="8" w:space="0" w:color="auto"/>
            </w:tcBorders>
            <w:shd w:val="clear" w:color="auto" w:fill="auto"/>
            <w:noWrap/>
            <w:vAlign w:val="center"/>
            <w:hideMark/>
          </w:tcPr>
          <w:p w14:paraId="5955E1F3"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451.15</w:t>
            </w:r>
          </w:p>
        </w:tc>
        <w:tc>
          <w:tcPr>
            <w:tcW w:w="997" w:type="dxa"/>
            <w:tcBorders>
              <w:top w:val="nil"/>
              <w:left w:val="nil"/>
              <w:bottom w:val="nil"/>
              <w:right w:val="single" w:sz="8" w:space="0" w:color="auto"/>
            </w:tcBorders>
            <w:shd w:val="clear" w:color="auto" w:fill="auto"/>
            <w:noWrap/>
            <w:vAlign w:val="center"/>
            <w:hideMark/>
          </w:tcPr>
          <w:p w14:paraId="4ECA11E6"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29.70</w:t>
            </w:r>
          </w:p>
        </w:tc>
        <w:tc>
          <w:tcPr>
            <w:tcW w:w="1081" w:type="dxa"/>
            <w:tcBorders>
              <w:top w:val="nil"/>
              <w:left w:val="nil"/>
              <w:bottom w:val="nil"/>
              <w:right w:val="nil"/>
            </w:tcBorders>
            <w:shd w:val="clear" w:color="auto" w:fill="auto"/>
            <w:noWrap/>
            <w:vAlign w:val="center"/>
            <w:hideMark/>
          </w:tcPr>
          <w:p w14:paraId="391D909A"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7.0%</w:t>
            </w:r>
          </w:p>
        </w:tc>
      </w:tr>
      <w:tr w:rsidR="00E66A98" w:rsidRPr="00383208" w14:paraId="42BDDB01" w14:textId="77777777" w:rsidTr="00E96044">
        <w:trPr>
          <w:trHeight w:val="290"/>
          <w:jc w:val="center"/>
        </w:trPr>
        <w:tc>
          <w:tcPr>
            <w:tcW w:w="4585" w:type="dxa"/>
            <w:tcBorders>
              <w:top w:val="nil"/>
              <w:left w:val="nil"/>
              <w:bottom w:val="nil"/>
              <w:right w:val="nil"/>
            </w:tcBorders>
            <w:shd w:val="clear" w:color="auto" w:fill="auto"/>
            <w:noWrap/>
            <w:vAlign w:val="center"/>
            <w:hideMark/>
          </w:tcPr>
          <w:p w14:paraId="677EDE9B" w14:textId="77777777" w:rsidR="00E66A98" w:rsidRPr="00383208" w:rsidRDefault="00E66A98" w:rsidP="00E96044">
            <w:pPr>
              <w:ind w:firstLineChars="200" w:firstLine="360"/>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BIENES DE CAPITAL</w:t>
            </w:r>
          </w:p>
        </w:tc>
        <w:tc>
          <w:tcPr>
            <w:tcW w:w="1169" w:type="dxa"/>
            <w:tcBorders>
              <w:top w:val="nil"/>
              <w:left w:val="single" w:sz="8" w:space="0" w:color="auto"/>
              <w:bottom w:val="nil"/>
              <w:right w:val="single" w:sz="8" w:space="0" w:color="auto"/>
            </w:tcBorders>
            <w:shd w:val="clear" w:color="auto" w:fill="auto"/>
            <w:noWrap/>
            <w:vAlign w:val="center"/>
            <w:hideMark/>
          </w:tcPr>
          <w:p w14:paraId="092EBCD9"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2,895.48</w:t>
            </w:r>
          </w:p>
        </w:tc>
        <w:tc>
          <w:tcPr>
            <w:tcW w:w="1169" w:type="dxa"/>
            <w:tcBorders>
              <w:top w:val="nil"/>
              <w:left w:val="nil"/>
              <w:bottom w:val="nil"/>
              <w:right w:val="single" w:sz="8" w:space="0" w:color="auto"/>
            </w:tcBorders>
            <w:shd w:val="clear" w:color="auto" w:fill="auto"/>
            <w:noWrap/>
            <w:vAlign w:val="center"/>
            <w:hideMark/>
          </w:tcPr>
          <w:p w14:paraId="610F90D2"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3,079.70</w:t>
            </w:r>
          </w:p>
        </w:tc>
        <w:tc>
          <w:tcPr>
            <w:tcW w:w="997" w:type="dxa"/>
            <w:tcBorders>
              <w:top w:val="nil"/>
              <w:left w:val="nil"/>
              <w:bottom w:val="nil"/>
              <w:right w:val="single" w:sz="8" w:space="0" w:color="auto"/>
            </w:tcBorders>
            <w:shd w:val="clear" w:color="auto" w:fill="auto"/>
            <w:noWrap/>
            <w:vAlign w:val="center"/>
            <w:hideMark/>
          </w:tcPr>
          <w:p w14:paraId="2D33A6C6"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184.22</w:t>
            </w:r>
          </w:p>
        </w:tc>
        <w:tc>
          <w:tcPr>
            <w:tcW w:w="1081" w:type="dxa"/>
            <w:tcBorders>
              <w:top w:val="nil"/>
              <w:left w:val="nil"/>
              <w:bottom w:val="nil"/>
              <w:right w:val="nil"/>
            </w:tcBorders>
            <w:shd w:val="clear" w:color="auto" w:fill="auto"/>
            <w:noWrap/>
            <w:vAlign w:val="center"/>
            <w:hideMark/>
          </w:tcPr>
          <w:p w14:paraId="3191D5A5"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6.4%</w:t>
            </w:r>
          </w:p>
        </w:tc>
      </w:tr>
      <w:tr w:rsidR="00E66A98" w:rsidRPr="00383208" w14:paraId="2F483AA5" w14:textId="77777777" w:rsidTr="00E96044">
        <w:trPr>
          <w:trHeight w:val="290"/>
          <w:jc w:val="center"/>
        </w:trPr>
        <w:tc>
          <w:tcPr>
            <w:tcW w:w="4585" w:type="dxa"/>
            <w:tcBorders>
              <w:top w:val="nil"/>
              <w:left w:val="nil"/>
              <w:bottom w:val="nil"/>
              <w:right w:val="nil"/>
            </w:tcBorders>
            <w:shd w:val="clear" w:color="auto" w:fill="auto"/>
            <w:noWrap/>
            <w:vAlign w:val="center"/>
            <w:hideMark/>
          </w:tcPr>
          <w:p w14:paraId="08879AD2" w14:textId="77777777" w:rsidR="00E66A98" w:rsidRPr="00383208" w:rsidRDefault="00E66A98" w:rsidP="00E96044">
            <w:pPr>
              <w:ind w:firstLineChars="200" w:firstLine="360"/>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DIVERSOS</w:t>
            </w:r>
          </w:p>
        </w:tc>
        <w:tc>
          <w:tcPr>
            <w:tcW w:w="1169" w:type="dxa"/>
            <w:tcBorders>
              <w:top w:val="nil"/>
              <w:left w:val="single" w:sz="8" w:space="0" w:color="auto"/>
              <w:bottom w:val="nil"/>
              <w:right w:val="single" w:sz="8" w:space="0" w:color="auto"/>
            </w:tcBorders>
            <w:shd w:val="clear" w:color="auto" w:fill="auto"/>
            <w:noWrap/>
            <w:vAlign w:val="center"/>
            <w:hideMark/>
          </w:tcPr>
          <w:p w14:paraId="554B1B84"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34.72</w:t>
            </w:r>
          </w:p>
        </w:tc>
        <w:tc>
          <w:tcPr>
            <w:tcW w:w="1169" w:type="dxa"/>
            <w:tcBorders>
              <w:top w:val="nil"/>
              <w:left w:val="nil"/>
              <w:bottom w:val="nil"/>
              <w:right w:val="single" w:sz="8" w:space="0" w:color="auto"/>
            </w:tcBorders>
            <w:shd w:val="clear" w:color="auto" w:fill="auto"/>
            <w:noWrap/>
            <w:vAlign w:val="center"/>
            <w:hideMark/>
          </w:tcPr>
          <w:p w14:paraId="3D6B7DC1"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0.55</w:t>
            </w:r>
          </w:p>
        </w:tc>
        <w:tc>
          <w:tcPr>
            <w:tcW w:w="997" w:type="dxa"/>
            <w:tcBorders>
              <w:top w:val="nil"/>
              <w:left w:val="nil"/>
              <w:bottom w:val="nil"/>
              <w:right w:val="single" w:sz="8" w:space="0" w:color="auto"/>
            </w:tcBorders>
            <w:shd w:val="clear" w:color="auto" w:fill="auto"/>
            <w:noWrap/>
            <w:vAlign w:val="center"/>
            <w:hideMark/>
          </w:tcPr>
          <w:p w14:paraId="5FC4370B"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-34.17</w:t>
            </w:r>
          </w:p>
        </w:tc>
        <w:tc>
          <w:tcPr>
            <w:tcW w:w="1081" w:type="dxa"/>
            <w:tcBorders>
              <w:top w:val="nil"/>
              <w:left w:val="nil"/>
              <w:bottom w:val="nil"/>
              <w:right w:val="nil"/>
            </w:tcBorders>
            <w:shd w:val="clear" w:color="auto" w:fill="auto"/>
            <w:noWrap/>
            <w:vAlign w:val="center"/>
            <w:hideMark/>
          </w:tcPr>
          <w:p w14:paraId="05808A59" w14:textId="77777777" w:rsidR="00E66A98" w:rsidRPr="00383208" w:rsidRDefault="00E66A98" w:rsidP="00E96044">
            <w:pPr>
              <w:jc w:val="center"/>
              <w:rPr>
                <w:rFonts w:ascii="Times New Roman" w:eastAsia="Times New Roman" w:hAnsi="Times New Roman" w:cs="Times New Roman"/>
                <w:sz w:val="18"/>
                <w:szCs w:val="22"/>
                <w:lang w:eastAsia="es-GT"/>
              </w:rPr>
            </w:pPr>
            <w:r w:rsidRPr="00383208">
              <w:rPr>
                <w:rFonts w:ascii="Times New Roman" w:eastAsia="Times New Roman" w:hAnsi="Times New Roman" w:cs="Times New Roman"/>
                <w:sz w:val="18"/>
                <w:szCs w:val="22"/>
                <w:lang w:eastAsia="es-GT"/>
              </w:rPr>
              <w:t>-98.4%</w:t>
            </w:r>
          </w:p>
        </w:tc>
      </w:tr>
      <w:tr w:rsidR="00E66A98" w:rsidRPr="00383208" w14:paraId="3E2472D1" w14:textId="77777777" w:rsidTr="00E96044">
        <w:trPr>
          <w:trHeight w:val="417"/>
          <w:jc w:val="center"/>
        </w:trPr>
        <w:tc>
          <w:tcPr>
            <w:tcW w:w="45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FE9C45" w14:textId="77777777" w:rsidR="00E66A98" w:rsidRPr="00383208" w:rsidRDefault="00E66A98" w:rsidP="00E96044">
            <w:pPr>
              <w:jc w:val="center"/>
              <w:rPr>
                <w:rFonts w:ascii="Times New Roman" w:eastAsia="Times New Roman" w:hAnsi="Times New Roman" w:cs="Times New Roman"/>
                <w:b/>
                <w:bCs/>
                <w:sz w:val="18"/>
                <w:szCs w:val="22"/>
                <w:lang w:eastAsia="es-GT"/>
              </w:rPr>
            </w:pPr>
            <w:r w:rsidRPr="00383208">
              <w:rPr>
                <w:rFonts w:ascii="Times New Roman" w:eastAsia="Times New Roman" w:hAnsi="Times New Roman" w:cs="Times New Roman"/>
                <w:b/>
                <w:bCs/>
                <w:sz w:val="18"/>
                <w:szCs w:val="22"/>
                <w:lang w:eastAsia="es-GT"/>
              </w:rPr>
              <w:t>Importaciones Totales (Territorio Aduanero) sin combustibles</w:t>
            </w:r>
          </w:p>
        </w:tc>
        <w:tc>
          <w:tcPr>
            <w:tcW w:w="1169" w:type="dxa"/>
            <w:tcBorders>
              <w:top w:val="single" w:sz="8" w:space="0" w:color="auto"/>
              <w:left w:val="nil"/>
              <w:bottom w:val="single" w:sz="8" w:space="0" w:color="auto"/>
              <w:right w:val="single" w:sz="8" w:space="0" w:color="auto"/>
            </w:tcBorders>
            <w:shd w:val="clear" w:color="auto" w:fill="auto"/>
            <w:noWrap/>
            <w:vAlign w:val="center"/>
            <w:hideMark/>
          </w:tcPr>
          <w:p w14:paraId="42BDABC1" w14:textId="77777777" w:rsidR="00E66A98" w:rsidRPr="00383208" w:rsidRDefault="00E66A98" w:rsidP="00E96044">
            <w:pPr>
              <w:jc w:val="center"/>
              <w:rPr>
                <w:rFonts w:ascii="Times New Roman" w:eastAsia="Times New Roman" w:hAnsi="Times New Roman" w:cs="Times New Roman"/>
                <w:b/>
                <w:bCs/>
                <w:sz w:val="18"/>
                <w:szCs w:val="22"/>
                <w:lang w:eastAsia="es-GT"/>
              </w:rPr>
            </w:pPr>
            <w:r w:rsidRPr="00383208">
              <w:rPr>
                <w:rFonts w:ascii="Times New Roman" w:eastAsia="Times New Roman" w:hAnsi="Times New Roman" w:cs="Times New Roman"/>
                <w:b/>
                <w:bCs/>
                <w:sz w:val="18"/>
                <w:szCs w:val="22"/>
                <w:lang w:eastAsia="es-GT"/>
              </w:rPr>
              <w:t>12,624.83</w:t>
            </w:r>
          </w:p>
        </w:tc>
        <w:tc>
          <w:tcPr>
            <w:tcW w:w="1169" w:type="dxa"/>
            <w:tcBorders>
              <w:top w:val="single" w:sz="8" w:space="0" w:color="auto"/>
              <w:left w:val="nil"/>
              <w:bottom w:val="single" w:sz="8" w:space="0" w:color="auto"/>
              <w:right w:val="single" w:sz="8" w:space="0" w:color="auto"/>
            </w:tcBorders>
            <w:shd w:val="clear" w:color="auto" w:fill="auto"/>
            <w:noWrap/>
            <w:vAlign w:val="center"/>
            <w:hideMark/>
          </w:tcPr>
          <w:p w14:paraId="0172D6CC" w14:textId="77777777" w:rsidR="00E66A98" w:rsidRPr="00383208" w:rsidRDefault="00E66A98" w:rsidP="00E96044">
            <w:pPr>
              <w:jc w:val="center"/>
              <w:rPr>
                <w:rFonts w:ascii="Times New Roman" w:eastAsia="Times New Roman" w:hAnsi="Times New Roman" w:cs="Times New Roman"/>
                <w:b/>
                <w:bCs/>
                <w:sz w:val="18"/>
                <w:szCs w:val="22"/>
                <w:lang w:eastAsia="es-GT"/>
              </w:rPr>
            </w:pPr>
            <w:r w:rsidRPr="00383208">
              <w:rPr>
                <w:rFonts w:ascii="Times New Roman" w:eastAsia="Times New Roman" w:hAnsi="Times New Roman" w:cs="Times New Roman"/>
                <w:b/>
                <w:bCs/>
                <w:sz w:val="18"/>
                <w:szCs w:val="22"/>
                <w:lang w:eastAsia="es-GT"/>
              </w:rPr>
              <w:t>13,057.24</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14:paraId="2DA6FA38" w14:textId="77777777" w:rsidR="00E66A98" w:rsidRPr="00383208" w:rsidRDefault="00E66A98" w:rsidP="00E96044">
            <w:pPr>
              <w:jc w:val="center"/>
              <w:rPr>
                <w:rFonts w:ascii="Times New Roman" w:eastAsia="Times New Roman" w:hAnsi="Times New Roman" w:cs="Times New Roman"/>
                <w:b/>
                <w:bCs/>
                <w:sz w:val="18"/>
                <w:szCs w:val="22"/>
                <w:lang w:eastAsia="es-GT"/>
              </w:rPr>
            </w:pPr>
            <w:r w:rsidRPr="00383208">
              <w:rPr>
                <w:rFonts w:ascii="Times New Roman" w:eastAsia="Times New Roman" w:hAnsi="Times New Roman" w:cs="Times New Roman"/>
                <w:b/>
                <w:bCs/>
                <w:sz w:val="18"/>
                <w:szCs w:val="22"/>
                <w:lang w:eastAsia="es-GT"/>
              </w:rPr>
              <w:t>432.40</w:t>
            </w:r>
          </w:p>
        </w:tc>
        <w:tc>
          <w:tcPr>
            <w:tcW w:w="1081" w:type="dxa"/>
            <w:tcBorders>
              <w:top w:val="single" w:sz="8" w:space="0" w:color="auto"/>
              <w:left w:val="nil"/>
              <w:bottom w:val="single" w:sz="8" w:space="0" w:color="auto"/>
              <w:right w:val="single" w:sz="8" w:space="0" w:color="auto"/>
            </w:tcBorders>
            <w:shd w:val="clear" w:color="auto" w:fill="auto"/>
            <w:noWrap/>
            <w:vAlign w:val="center"/>
            <w:hideMark/>
          </w:tcPr>
          <w:p w14:paraId="79DA1354" w14:textId="77777777" w:rsidR="00E66A98" w:rsidRPr="00383208" w:rsidRDefault="00E66A98" w:rsidP="00E96044">
            <w:pPr>
              <w:jc w:val="center"/>
              <w:rPr>
                <w:rFonts w:ascii="Times New Roman" w:eastAsia="Times New Roman" w:hAnsi="Times New Roman" w:cs="Times New Roman"/>
                <w:b/>
                <w:bCs/>
                <w:sz w:val="18"/>
                <w:szCs w:val="22"/>
                <w:lang w:eastAsia="es-GT"/>
              </w:rPr>
            </w:pPr>
            <w:r w:rsidRPr="00383208">
              <w:rPr>
                <w:rFonts w:ascii="Times New Roman" w:eastAsia="Times New Roman" w:hAnsi="Times New Roman" w:cs="Times New Roman"/>
                <w:b/>
                <w:bCs/>
                <w:sz w:val="18"/>
                <w:szCs w:val="22"/>
                <w:lang w:eastAsia="es-GT"/>
              </w:rPr>
              <w:t>3.4%</w:t>
            </w:r>
          </w:p>
        </w:tc>
      </w:tr>
    </w:tbl>
    <w:p w14:paraId="1755905F" w14:textId="77777777" w:rsidR="00E66A98" w:rsidRPr="00436454" w:rsidRDefault="00E66A98" w:rsidP="00E66A98">
      <w:pPr>
        <w:jc w:val="both"/>
        <w:rPr>
          <w:rFonts w:ascii="Times New Roman" w:hAnsi="Times New Roman" w:cs="Times New Roman"/>
          <w:sz w:val="16"/>
          <w:szCs w:val="22"/>
          <w:lang w:val="es-MX"/>
        </w:rPr>
      </w:pPr>
      <w:r w:rsidRPr="00436454">
        <w:rPr>
          <w:rFonts w:ascii="Times New Roman" w:hAnsi="Times New Roman" w:cs="Times New Roman"/>
          <w:sz w:val="16"/>
          <w:szCs w:val="22"/>
          <w:lang w:val="es-MX"/>
        </w:rPr>
        <w:t>Fuente: Dirección de Análisis y Política Fiscal con datos de BANGUAT</w:t>
      </w:r>
    </w:p>
    <w:p w14:paraId="48905B30" w14:textId="77777777" w:rsidR="00E66A98" w:rsidRDefault="00E66A98" w:rsidP="00E66A98">
      <w:pPr>
        <w:jc w:val="both"/>
        <w:rPr>
          <w:rFonts w:ascii="Times New Roman" w:hAnsi="Times New Roman" w:cs="Times New Roman"/>
          <w:sz w:val="22"/>
          <w:szCs w:val="22"/>
          <w:lang w:val="es-MX"/>
        </w:rPr>
      </w:pPr>
    </w:p>
    <w:p w14:paraId="65070FA3" w14:textId="77777777" w:rsidR="00E66A98" w:rsidRDefault="00E66A98" w:rsidP="00E66A98">
      <w:pPr>
        <w:jc w:val="both"/>
        <w:rPr>
          <w:rFonts w:ascii="Times New Roman" w:hAnsi="Times New Roman" w:cs="Times New Roman"/>
          <w:sz w:val="22"/>
          <w:szCs w:val="22"/>
          <w:lang w:val="es-MX"/>
        </w:rPr>
      </w:pPr>
      <w:r w:rsidRPr="0065539C">
        <w:rPr>
          <w:rFonts w:ascii="Times New Roman" w:hAnsi="Times New Roman" w:cs="Times New Roman"/>
          <w:sz w:val="22"/>
          <w:szCs w:val="22"/>
          <w:lang w:val="es-MX"/>
        </w:rPr>
        <w:t xml:space="preserve">Del IVA de importaciones y su estrecha relación con los derechos arancelarios </w:t>
      </w:r>
      <w:r>
        <w:rPr>
          <w:rFonts w:ascii="Times New Roman" w:hAnsi="Times New Roman" w:cs="Times New Roman"/>
          <w:sz w:val="22"/>
          <w:szCs w:val="22"/>
          <w:lang w:val="es-MX"/>
        </w:rPr>
        <w:t xml:space="preserve">se puede </w:t>
      </w:r>
      <w:r w:rsidRPr="0065539C">
        <w:rPr>
          <w:rFonts w:ascii="Times New Roman" w:hAnsi="Times New Roman" w:cs="Times New Roman"/>
          <w:sz w:val="22"/>
          <w:szCs w:val="22"/>
          <w:lang w:val="es-MX"/>
        </w:rPr>
        <w:t xml:space="preserve">indicar que hay factores importantes que determinaron el crecimiento en los derechos arancelarios, a </w:t>
      </w:r>
      <w:r w:rsidRPr="00D467CA">
        <w:rPr>
          <w:rFonts w:ascii="Times New Roman" w:hAnsi="Times New Roman" w:cs="Times New Roman"/>
          <w:sz w:val="22"/>
          <w:szCs w:val="22"/>
          <w:lang w:val="es-MX"/>
        </w:rPr>
        <w:t>diciembre de 2019 según cifras publicadas en el portal SAT el arancel medio de las importaciones fue de 1.9%,</w:t>
      </w:r>
      <w:r w:rsidRPr="0065539C">
        <w:rPr>
          <w:rFonts w:ascii="Times New Roman" w:hAnsi="Times New Roman" w:cs="Times New Roman"/>
          <w:sz w:val="22"/>
          <w:szCs w:val="22"/>
          <w:lang w:val="es-MX"/>
        </w:rPr>
        <w:t xml:space="preserve"> los mayores montos en recaudación de DAI a noviembre fueron percibidos por las importaciones que pagaron tasas de DAI entre 10 y 15. </w:t>
      </w:r>
    </w:p>
    <w:p w14:paraId="5AEFB9D4" w14:textId="77777777" w:rsidR="00E66A98" w:rsidRPr="0065539C" w:rsidRDefault="00E66A98" w:rsidP="00E66A98">
      <w:pPr>
        <w:jc w:val="both"/>
        <w:rPr>
          <w:rFonts w:ascii="Times New Roman" w:hAnsi="Times New Roman" w:cs="Times New Roman"/>
          <w:sz w:val="22"/>
          <w:szCs w:val="22"/>
          <w:lang w:val="es-MX"/>
        </w:rPr>
      </w:pPr>
      <w:r w:rsidRPr="0065539C">
        <w:rPr>
          <w:rFonts w:ascii="Times New Roman" w:hAnsi="Times New Roman" w:cs="Times New Roman"/>
          <w:sz w:val="22"/>
          <w:szCs w:val="22"/>
          <w:lang w:val="es-MX"/>
        </w:rPr>
        <w:t xml:space="preserve"> </w:t>
      </w:r>
    </w:p>
    <w:p w14:paraId="39B8DD25" w14:textId="77777777" w:rsidR="00E66A98" w:rsidRPr="00504015" w:rsidRDefault="00E66A98" w:rsidP="00E66A98">
      <w:pPr>
        <w:pStyle w:val="Prrafodelista"/>
        <w:numPr>
          <w:ilvl w:val="2"/>
          <w:numId w:val="32"/>
        </w:numPr>
        <w:ind w:hanging="578"/>
        <w:jc w:val="both"/>
        <w:outlineLvl w:val="2"/>
        <w:rPr>
          <w:rFonts w:ascii="Times New Roman" w:hAnsi="Times New Roman" w:cs="Times New Roman"/>
          <w:b/>
          <w:lang w:val="es-MX"/>
        </w:rPr>
      </w:pPr>
      <w:bookmarkStart w:id="77" w:name="_Toc32230888"/>
      <w:r w:rsidRPr="00504015">
        <w:rPr>
          <w:rFonts w:ascii="Times New Roman" w:hAnsi="Times New Roman" w:cs="Times New Roman"/>
          <w:b/>
          <w:lang w:val="es-MX"/>
        </w:rPr>
        <w:t>Otros impuestos</w:t>
      </w:r>
      <w:bookmarkEnd w:id="77"/>
    </w:p>
    <w:p w14:paraId="0408BA33" w14:textId="77777777" w:rsidR="00E66A98" w:rsidRDefault="00E66A98" w:rsidP="00E66A98">
      <w:pPr>
        <w:jc w:val="both"/>
        <w:rPr>
          <w:rFonts w:ascii="Times New Roman" w:hAnsi="Times New Roman" w:cs="Times New Roman"/>
          <w:color w:val="FF0000"/>
          <w:lang w:val="es-MX"/>
        </w:rPr>
      </w:pPr>
    </w:p>
    <w:p w14:paraId="5DDBDD44" w14:textId="77777777" w:rsidR="00E66A98" w:rsidRDefault="00E66A98" w:rsidP="00E66A98">
      <w:pPr>
        <w:jc w:val="both"/>
        <w:rPr>
          <w:rFonts w:ascii="Times New Roman" w:hAnsi="Times New Roman" w:cs="Times New Roman"/>
          <w:sz w:val="22"/>
          <w:szCs w:val="22"/>
          <w:lang w:val="es-MX"/>
        </w:rPr>
      </w:pPr>
      <w:r>
        <w:rPr>
          <w:rFonts w:ascii="Times New Roman" w:hAnsi="Times New Roman" w:cs="Times New Roman"/>
          <w:sz w:val="22"/>
          <w:szCs w:val="22"/>
          <w:lang w:val="es-MX"/>
        </w:rPr>
        <w:t xml:space="preserve">Del </w:t>
      </w:r>
      <w:r w:rsidRPr="0065539C">
        <w:rPr>
          <w:rFonts w:ascii="Times New Roman" w:hAnsi="Times New Roman" w:cs="Times New Roman"/>
          <w:sz w:val="22"/>
          <w:szCs w:val="22"/>
          <w:lang w:val="es-MX"/>
        </w:rPr>
        <w:t xml:space="preserve">resto de impuestos </w:t>
      </w:r>
      <w:r>
        <w:rPr>
          <w:rFonts w:ascii="Times New Roman" w:hAnsi="Times New Roman" w:cs="Times New Roman"/>
          <w:sz w:val="22"/>
          <w:szCs w:val="22"/>
          <w:lang w:val="es-MX"/>
        </w:rPr>
        <w:t xml:space="preserve">que representan el 24.9% de la recaudación, los que registran </w:t>
      </w:r>
      <w:r w:rsidRPr="0065539C">
        <w:rPr>
          <w:rFonts w:ascii="Times New Roman" w:hAnsi="Times New Roman" w:cs="Times New Roman"/>
          <w:sz w:val="22"/>
          <w:szCs w:val="22"/>
          <w:lang w:val="es-MX"/>
        </w:rPr>
        <w:t>desempeño positivo</w:t>
      </w:r>
      <w:r>
        <w:rPr>
          <w:rFonts w:ascii="Times New Roman" w:hAnsi="Times New Roman" w:cs="Times New Roman"/>
          <w:sz w:val="22"/>
          <w:szCs w:val="22"/>
          <w:lang w:val="es-MX"/>
        </w:rPr>
        <w:t xml:space="preserve"> son </w:t>
      </w:r>
      <w:r w:rsidRPr="0065539C">
        <w:rPr>
          <w:rFonts w:ascii="Times New Roman" w:hAnsi="Times New Roman" w:cs="Times New Roman"/>
          <w:sz w:val="22"/>
          <w:szCs w:val="22"/>
          <w:lang w:val="es-MX"/>
        </w:rPr>
        <w:t xml:space="preserve">los derechos arancelarios a la importación </w:t>
      </w:r>
      <w:r>
        <w:rPr>
          <w:rFonts w:ascii="Times New Roman" w:hAnsi="Times New Roman" w:cs="Times New Roman"/>
          <w:sz w:val="22"/>
          <w:szCs w:val="22"/>
          <w:lang w:val="es-MX"/>
        </w:rPr>
        <w:t>con un</w:t>
      </w:r>
      <w:r w:rsidRPr="0065539C">
        <w:rPr>
          <w:rFonts w:ascii="Times New Roman" w:hAnsi="Times New Roman" w:cs="Times New Roman"/>
          <w:sz w:val="22"/>
          <w:szCs w:val="22"/>
          <w:lang w:val="es-MX"/>
        </w:rPr>
        <w:t xml:space="preserve"> crecimiento de 5.3%, el impuesto a los derivados del petróleo </w:t>
      </w:r>
      <w:r>
        <w:rPr>
          <w:rFonts w:ascii="Times New Roman" w:hAnsi="Times New Roman" w:cs="Times New Roman"/>
          <w:sz w:val="22"/>
          <w:szCs w:val="22"/>
          <w:lang w:val="es-MX"/>
        </w:rPr>
        <w:t>crece 9.5% y</w:t>
      </w:r>
      <w:r w:rsidRPr="0065539C">
        <w:rPr>
          <w:rFonts w:ascii="Times New Roman" w:hAnsi="Times New Roman" w:cs="Times New Roman"/>
          <w:sz w:val="22"/>
          <w:szCs w:val="22"/>
          <w:lang w:val="es-MX"/>
        </w:rPr>
        <w:t xml:space="preserve"> el impuesto a la circulación de vehículos e </w:t>
      </w:r>
      <w:r>
        <w:rPr>
          <w:rFonts w:ascii="Times New Roman" w:hAnsi="Times New Roman" w:cs="Times New Roman"/>
          <w:sz w:val="22"/>
          <w:szCs w:val="22"/>
          <w:lang w:val="es-MX"/>
        </w:rPr>
        <w:t>IPRIMA que crecen el 3.2% y 4.8, respectivamente</w:t>
      </w:r>
      <w:r w:rsidRPr="0065539C">
        <w:rPr>
          <w:rFonts w:ascii="Times New Roman" w:hAnsi="Times New Roman" w:cs="Times New Roman"/>
          <w:sz w:val="22"/>
          <w:szCs w:val="22"/>
          <w:lang w:val="es-MX"/>
        </w:rPr>
        <w:t>.</w:t>
      </w:r>
    </w:p>
    <w:p w14:paraId="56C45005" w14:textId="77777777" w:rsidR="00E66A98" w:rsidRPr="00113A1E" w:rsidRDefault="00E66A98" w:rsidP="00E66A98">
      <w:pPr>
        <w:jc w:val="both"/>
        <w:rPr>
          <w:rFonts w:ascii="Times New Roman" w:hAnsi="Times New Roman" w:cs="Times New Roman"/>
          <w:color w:val="FF0000"/>
          <w:lang w:val="es-MX"/>
        </w:rPr>
      </w:pPr>
    </w:p>
    <w:p w14:paraId="443EB33F" w14:textId="77777777" w:rsidR="00E66A98" w:rsidRPr="004F2A43" w:rsidRDefault="00E66A98" w:rsidP="00E66A98">
      <w:pPr>
        <w:pStyle w:val="Ttulo2"/>
        <w:numPr>
          <w:ilvl w:val="1"/>
          <w:numId w:val="11"/>
        </w:numPr>
        <w:spacing w:before="0"/>
        <w:ind w:left="567"/>
        <w:rPr>
          <w:rFonts w:ascii="Times New Roman" w:hAnsi="Times New Roman" w:cs="Times New Roman"/>
          <w:color w:val="auto"/>
          <w:sz w:val="24"/>
        </w:rPr>
      </w:pPr>
      <w:bookmarkStart w:id="78" w:name="_Toc32230889"/>
      <w:r w:rsidRPr="004F2A43">
        <w:rPr>
          <w:rFonts w:ascii="Times New Roman" w:hAnsi="Times New Roman" w:cs="Times New Roman"/>
          <w:color w:val="auto"/>
          <w:sz w:val="24"/>
        </w:rPr>
        <w:t xml:space="preserve">Evaluación del cumplimiento </w:t>
      </w:r>
      <w:r>
        <w:rPr>
          <w:rFonts w:ascii="Times New Roman" w:hAnsi="Times New Roman" w:cs="Times New Roman"/>
          <w:color w:val="auto"/>
          <w:sz w:val="24"/>
        </w:rPr>
        <w:t xml:space="preserve">de la recaudación </w:t>
      </w:r>
      <w:r w:rsidRPr="004F2A43">
        <w:rPr>
          <w:rFonts w:ascii="Times New Roman" w:hAnsi="Times New Roman" w:cs="Times New Roman"/>
          <w:color w:val="auto"/>
          <w:sz w:val="24"/>
        </w:rPr>
        <w:t>2019.</w:t>
      </w:r>
      <w:bookmarkEnd w:id="78"/>
    </w:p>
    <w:p w14:paraId="346F5327" w14:textId="77777777" w:rsidR="00E66A98" w:rsidRPr="00113A1E" w:rsidRDefault="00E66A98" w:rsidP="00E66A98">
      <w:pPr>
        <w:jc w:val="both"/>
        <w:rPr>
          <w:rFonts w:ascii="Times New Roman" w:hAnsi="Times New Roman" w:cs="Times New Roman"/>
          <w:color w:val="FF0000"/>
        </w:rPr>
      </w:pPr>
    </w:p>
    <w:p w14:paraId="2DD5BBC9" w14:textId="77777777" w:rsidR="00E66A98" w:rsidRDefault="00E66A98" w:rsidP="00E66A98">
      <w:pPr>
        <w:jc w:val="both"/>
        <w:rPr>
          <w:rFonts w:ascii="Times New Roman" w:hAnsi="Times New Roman" w:cs="Times New Roman"/>
          <w:sz w:val="22"/>
          <w:szCs w:val="22"/>
          <w:lang w:val="es-MX"/>
        </w:rPr>
      </w:pPr>
      <w:r w:rsidRPr="0065539C">
        <w:rPr>
          <w:rFonts w:ascii="Times New Roman" w:hAnsi="Times New Roman" w:cs="Times New Roman"/>
          <w:sz w:val="22"/>
          <w:szCs w:val="22"/>
          <w:lang w:val="es-MX"/>
        </w:rPr>
        <w:t xml:space="preserve">Como se enfatizó anteriormente, </w:t>
      </w:r>
      <w:r>
        <w:rPr>
          <w:rFonts w:ascii="Times New Roman" w:hAnsi="Times New Roman" w:cs="Times New Roman"/>
          <w:sz w:val="22"/>
          <w:szCs w:val="22"/>
          <w:lang w:val="es-MX"/>
        </w:rPr>
        <w:t>la combinación de los factores</w:t>
      </w:r>
      <w:r w:rsidRPr="0065539C">
        <w:rPr>
          <w:rFonts w:ascii="Times New Roman" w:hAnsi="Times New Roman" w:cs="Times New Roman"/>
          <w:sz w:val="22"/>
          <w:szCs w:val="22"/>
          <w:lang w:val="es-MX"/>
        </w:rPr>
        <w:t xml:space="preserve"> asociados</w:t>
      </w:r>
      <w:r>
        <w:rPr>
          <w:rFonts w:ascii="Times New Roman" w:hAnsi="Times New Roman" w:cs="Times New Roman"/>
          <w:sz w:val="22"/>
          <w:szCs w:val="22"/>
          <w:lang w:val="es-MX"/>
        </w:rPr>
        <w:t xml:space="preserve"> principalmente, </w:t>
      </w:r>
      <w:r w:rsidRPr="0065539C">
        <w:rPr>
          <w:rFonts w:ascii="Times New Roman" w:hAnsi="Times New Roman" w:cs="Times New Roman"/>
          <w:sz w:val="22"/>
          <w:szCs w:val="22"/>
          <w:lang w:val="es-MX"/>
        </w:rPr>
        <w:t xml:space="preserve"> al escenario macroeconómico</w:t>
      </w:r>
      <w:r>
        <w:rPr>
          <w:rFonts w:ascii="Times New Roman" w:hAnsi="Times New Roman" w:cs="Times New Roman"/>
          <w:sz w:val="22"/>
          <w:szCs w:val="22"/>
          <w:lang w:val="es-MX"/>
        </w:rPr>
        <w:t xml:space="preserve"> y modificaciones a la legislación tributaria, permitió que el nivel de recaudación tributaria se situara en Q</w:t>
      </w:r>
      <w:r w:rsidRPr="0065539C">
        <w:rPr>
          <w:rFonts w:ascii="Times New Roman" w:hAnsi="Times New Roman" w:cs="Times New Roman"/>
          <w:sz w:val="22"/>
          <w:szCs w:val="22"/>
          <w:lang w:val="es-MX"/>
        </w:rPr>
        <w:t>62,593.6 millones</w:t>
      </w:r>
      <w:r>
        <w:rPr>
          <w:rFonts w:ascii="Times New Roman" w:hAnsi="Times New Roman" w:cs="Times New Roman"/>
          <w:sz w:val="22"/>
          <w:szCs w:val="22"/>
          <w:lang w:val="es-MX"/>
        </w:rPr>
        <w:t xml:space="preserve">, mostrando una brecha de recaudación total </w:t>
      </w:r>
      <w:r w:rsidRPr="0065539C">
        <w:rPr>
          <w:rFonts w:ascii="Times New Roman" w:hAnsi="Times New Roman" w:cs="Times New Roman"/>
          <w:sz w:val="22"/>
          <w:szCs w:val="22"/>
          <w:lang w:val="es-MX"/>
        </w:rPr>
        <w:t>en Q1,434.1 millones</w:t>
      </w:r>
      <w:r w:rsidRPr="0065539C">
        <w:rPr>
          <w:rStyle w:val="Refdenotaalpie"/>
          <w:rFonts w:ascii="Times New Roman" w:hAnsi="Times New Roman" w:cs="Times New Roman"/>
          <w:sz w:val="22"/>
          <w:szCs w:val="22"/>
          <w:lang w:val="es-MX"/>
        </w:rPr>
        <w:footnoteReference w:id="1"/>
      </w:r>
      <w:r>
        <w:rPr>
          <w:rFonts w:ascii="Times New Roman" w:hAnsi="Times New Roman" w:cs="Times New Roman"/>
          <w:sz w:val="22"/>
          <w:szCs w:val="22"/>
          <w:lang w:val="es-MX"/>
        </w:rPr>
        <w:t xml:space="preserve"> </w:t>
      </w:r>
      <w:r w:rsidRPr="0065539C">
        <w:rPr>
          <w:rFonts w:ascii="Times New Roman" w:hAnsi="Times New Roman" w:cs="Times New Roman"/>
          <w:sz w:val="22"/>
          <w:szCs w:val="22"/>
          <w:lang w:val="es-MX"/>
        </w:rPr>
        <w:t>.</w:t>
      </w:r>
    </w:p>
    <w:p w14:paraId="7B91E5D5" w14:textId="77777777" w:rsidR="00E66A98" w:rsidRDefault="00E66A98" w:rsidP="00E66A98">
      <w:pPr>
        <w:jc w:val="both"/>
        <w:rPr>
          <w:rFonts w:ascii="Times New Roman" w:hAnsi="Times New Roman" w:cs="Times New Roman"/>
          <w:sz w:val="22"/>
          <w:szCs w:val="22"/>
          <w:lang w:val="es-MX"/>
        </w:rPr>
      </w:pPr>
    </w:p>
    <w:p w14:paraId="272B1816" w14:textId="77777777" w:rsidR="00E66A98" w:rsidRDefault="00E66A98" w:rsidP="00E66A98">
      <w:pPr>
        <w:jc w:val="both"/>
        <w:rPr>
          <w:rFonts w:ascii="Times New Roman" w:hAnsi="Times New Roman" w:cs="Times New Roman"/>
          <w:sz w:val="22"/>
          <w:szCs w:val="22"/>
          <w:lang w:val="es-MX"/>
        </w:rPr>
      </w:pPr>
      <w:r>
        <w:rPr>
          <w:rFonts w:ascii="Times New Roman" w:hAnsi="Times New Roman" w:cs="Times New Roman"/>
          <w:sz w:val="22"/>
          <w:szCs w:val="22"/>
          <w:lang w:val="es-MX"/>
        </w:rPr>
        <w:lastRenderedPageBreak/>
        <w:t>Debe tenerse en cuenta que el nivel de recaudación observado responde</w:t>
      </w:r>
      <w:r w:rsidR="00637486">
        <w:rPr>
          <w:rFonts w:ascii="Times New Roman" w:hAnsi="Times New Roman" w:cs="Times New Roman"/>
          <w:sz w:val="22"/>
          <w:szCs w:val="22"/>
          <w:lang w:val="es-MX"/>
        </w:rPr>
        <w:t xml:space="preserve">, en parte, </w:t>
      </w:r>
      <w:r>
        <w:rPr>
          <w:rFonts w:ascii="Times New Roman" w:hAnsi="Times New Roman" w:cs="Times New Roman"/>
          <w:sz w:val="22"/>
          <w:szCs w:val="22"/>
          <w:lang w:val="es-MX"/>
        </w:rPr>
        <w:t>a la desaceleración en crecimiento de las importaciones; la suspensión del aprovisionamiento del fondo de devolución del crédito fiscal a los exportadores (Q593.6 millones); la recaudación extraordinaria observada en los impuestos sobre la renta, IETAAP y patrimonio.</w:t>
      </w:r>
    </w:p>
    <w:p w14:paraId="3B47D9A3" w14:textId="77777777" w:rsidR="00E66A98" w:rsidRPr="0065539C" w:rsidRDefault="00E66A98" w:rsidP="00E66A98">
      <w:pPr>
        <w:jc w:val="both"/>
        <w:rPr>
          <w:rFonts w:ascii="Times New Roman" w:hAnsi="Times New Roman" w:cs="Times New Roman"/>
          <w:sz w:val="22"/>
          <w:szCs w:val="22"/>
          <w:lang w:val="es-MX"/>
        </w:rPr>
      </w:pPr>
    </w:p>
    <w:p w14:paraId="4E750D4B" w14:textId="77777777" w:rsidR="00E66A98" w:rsidRPr="00383208" w:rsidRDefault="00E66A98" w:rsidP="00E66A98">
      <w:pPr>
        <w:jc w:val="center"/>
        <w:rPr>
          <w:rFonts w:ascii="Times New Roman" w:hAnsi="Times New Roman" w:cs="Times New Roman"/>
          <w:b/>
          <w:szCs w:val="22"/>
          <w:lang w:val="es-MX"/>
        </w:rPr>
      </w:pPr>
      <w:r w:rsidRPr="00383208">
        <w:rPr>
          <w:rFonts w:ascii="Times New Roman" w:hAnsi="Times New Roman" w:cs="Times New Roman"/>
          <w:b/>
          <w:szCs w:val="22"/>
          <w:lang w:val="es-MX"/>
        </w:rPr>
        <w:t xml:space="preserve">Cumplimiento de meta de recaudación y Variación interanual </w:t>
      </w:r>
    </w:p>
    <w:p w14:paraId="7B8BD03B" w14:textId="77777777" w:rsidR="00E66A98" w:rsidRPr="00383208" w:rsidRDefault="00E66A98" w:rsidP="00E66A98">
      <w:pPr>
        <w:jc w:val="center"/>
        <w:rPr>
          <w:rFonts w:ascii="Times New Roman" w:hAnsi="Times New Roman" w:cs="Times New Roman"/>
          <w:sz w:val="20"/>
          <w:szCs w:val="22"/>
          <w:lang w:val="es-MX"/>
        </w:rPr>
      </w:pPr>
      <w:r w:rsidRPr="00383208">
        <w:rPr>
          <w:rFonts w:ascii="Times New Roman" w:hAnsi="Times New Roman" w:cs="Times New Roman"/>
          <w:sz w:val="20"/>
          <w:szCs w:val="22"/>
          <w:lang w:val="es-MX"/>
        </w:rPr>
        <w:t>Porcentajes</w:t>
      </w:r>
    </w:p>
    <w:p w14:paraId="3DC06D68" w14:textId="77777777" w:rsidR="00E66A98" w:rsidRPr="0065539C" w:rsidRDefault="00E66A98" w:rsidP="00E66A98">
      <w:pPr>
        <w:jc w:val="center"/>
        <w:rPr>
          <w:rFonts w:ascii="Times New Roman" w:hAnsi="Times New Roman" w:cs="Times New Roman"/>
          <w:sz w:val="22"/>
          <w:szCs w:val="22"/>
          <w:lang w:val="es-MX"/>
        </w:rPr>
      </w:pPr>
      <w:r w:rsidRPr="0065539C">
        <w:rPr>
          <w:rFonts w:ascii="Times New Roman" w:hAnsi="Times New Roman" w:cs="Times New Roman"/>
          <w:noProof/>
          <w:sz w:val="22"/>
          <w:szCs w:val="22"/>
          <w:lang w:val="es-ES"/>
        </w:rPr>
        <w:drawing>
          <wp:inline distT="0" distB="0" distL="0" distR="0" wp14:anchorId="0FED12EA" wp14:editId="425B01AB">
            <wp:extent cx="4181861" cy="2170706"/>
            <wp:effectExtent l="0" t="0" r="0" b="127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31FFEE" w14:textId="77777777" w:rsidR="00E66A98" w:rsidRPr="00383208" w:rsidRDefault="00E66A98" w:rsidP="00E66A98">
      <w:pPr>
        <w:ind w:left="708" w:firstLine="708"/>
        <w:rPr>
          <w:rFonts w:ascii="Times New Roman" w:hAnsi="Times New Roman" w:cs="Times New Roman"/>
          <w:sz w:val="16"/>
          <w:szCs w:val="22"/>
          <w:lang w:val="es-MX"/>
        </w:rPr>
      </w:pPr>
      <w:r w:rsidRPr="00383208">
        <w:rPr>
          <w:rFonts w:ascii="Times New Roman" w:hAnsi="Times New Roman" w:cs="Times New Roman"/>
          <w:sz w:val="16"/>
          <w:szCs w:val="22"/>
          <w:lang w:val="es-MX"/>
        </w:rPr>
        <w:t>Fuente: Dirección de Análisis y Política Fiscal</w:t>
      </w:r>
    </w:p>
    <w:p w14:paraId="0B341C70" w14:textId="77777777" w:rsidR="00E66A98" w:rsidRDefault="00E66A98" w:rsidP="00E66A98">
      <w:pPr>
        <w:jc w:val="both"/>
        <w:rPr>
          <w:rFonts w:ascii="Times New Roman" w:hAnsi="Times New Roman" w:cs="Times New Roman"/>
          <w:sz w:val="22"/>
          <w:szCs w:val="22"/>
          <w:lang w:val="es-MX"/>
        </w:rPr>
      </w:pPr>
    </w:p>
    <w:p w14:paraId="6933B965" w14:textId="77777777" w:rsidR="00E66A98" w:rsidRPr="00504015" w:rsidRDefault="00E66A98" w:rsidP="00E66A98">
      <w:pPr>
        <w:jc w:val="both"/>
        <w:rPr>
          <w:rFonts w:ascii="Times New Roman" w:hAnsi="Times New Roman" w:cs="Times New Roman"/>
          <w:sz w:val="22"/>
          <w:szCs w:val="22"/>
          <w:lang w:val="es-MX"/>
        </w:rPr>
      </w:pPr>
      <w:r w:rsidRPr="0065539C">
        <w:rPr>
          <w:rFonts w:ascii="Times New Roman" w:hAnsi="Times New Roman" w:cs="Times New Roman"/>
          <w:sz w:val="22"/>
          <w:szCs w:val="22"/>
          <w:lang w:val="es-MX"/>
        </w:rPr>
        <w:t>Los impuestos que tienen rendimientos negativos respecto a la meta de presupuesto son el ISO que cae 5.2%, el impuesto a los timbres (11.2%), circulación de vehículos (1.7%) el IPRIMA (5.6%) el de tabacos (1.2%), cemento (2.4%) y las regalías e hidrocarburos compartibles que cae 20.9%, para el caso de las regalías e hidrocarburos compartibles se ven afectadas por el deterioro en el precio internacional del petróleo y al deterioro natural de los pozos petroleros.</w:t>
      </w:r>
    </w:p>
    <w:p w14:paraId="005C4730" w14:textId="77777777" w:rsidR="00E66A98" w:rsidRPr="00113A1E" w:rsidRDefault="00E66A98" w:rsidP="00E66A98">
      <w:pPr>
        <w:jc w:val="both"/>
        <w:rPr>
          <w:rFonts w:ascii="Times New Roman" w:hAnsi="Times New Roman" w:cs="Times New Roman"/>
          <w:color w:val="FF0000"/>
          <w:lang w:val="es-MX"/>
        </w:rPr>
      </w:pPr>
    </w:p>
    <w:p w14:paraId="6F23BAB3" w14:textId="77777777" w:rsidR="00E66A98" w:rsidRPr="004F2A43" w:rsidRDefault="00E66A98" w:rsidP="00E66A98">
      <w:pPr>
        <w:pStyle w:val="Ttulo2"/>
        <w:numPr>
          <w:ilvl w:val="1"/>
          <w:numId w:val="11"/>
        </w:numPr>
        <w:spacing w:before="0"/>
        <w:ind w:left="567"/>
        <w:rPr>
          <w:rFonts w:ascii="Times New Roman" w:hAnsi="Times New Roman" w:cs="Times New Roman"/>
          <w:color w:val="auto"/>
          <w:sz w:val="24"/>
        </w:rPr>
      </w:pPr>
      <w:bookmarkStart w:id="79" w:name="_Toc471987134"/>
      <w:bookmarkStart w:id="80" w:name="_Toc32230890"/>
      <w:r w:rsidRPr="004F2A43">
        <w:rPr>
          <w:rFonts w:ascii="Times New Roman" w:hAnsi="Times New Roman" w:cs="Times New Roman"/>
          <w:color w:val="auto"/>
          <w:sz w:val="24"/>
        </w:rPr>
        <w:t>Carga tributaria</w:t>
      </w:r>
      <w:bookmarkEnd w:id="79"/>
      <w:bookmarkEnd w:id="80"/>
    </w:p>
    <w:p w14:paraId="48BE630F" w14:textId="77777777" w:rsidR="00E66A98" w:rsidRPr="00113A1E" w:rsidRDefault="00E66A98" w:rsidP="00E66A98">
      <w:pPr>
        <w:jc w:val="both"/>
        <w:rPr>
          <w:rFonts w:ascii="Times New Roman" w:hAnsi="Times New Roman" w:cs="Times New Roman"/>
          <w:color w:val="FF0000"/>
          <w:lang w:val="es-MX"/>
        </w:rPr>
      </w:pPr>
    </w:p>
    <w:p w14:paraId="4AEB0C3E" w14:textId="77777777" w:rsidR="00E66A98" w:rsidRDefault="00E66A98" w:rsidP="00E66A98">
      <w:pPr>
        <w:jc w:val="both"/>
        <w:rPr>
          <w:rFonts w:ascii="Times New Roman" w:hAnsi="Times New Roman" w:cs="Times New Roman"/>
          <w:sz w:val="22"/>
          <w:lang w:val="es-MX"/>
        </w:rPr>
      </w:pPr>
      <w:r>
        <w:rPr>
          <w:rFonts w:ascii="Times New Roman" w:hAnsi="Times New Roman" w:cs="Times New Roman"/>
          <w:sz w:val="22"/>
          <w:lang w:val="es-MX"/>
        </w:rPr>
        <w:t>Con el nuevo sistema de cuentas nacionales, la carga</w:t>
      </w:r>
      <w:r w:rsidRPr="00FA7929">
        <w:rPr>
          <w:rFonts w:ascii="Times New Roman" w:hAnsi="Times New Roman" w:cs="Times New Roman"/>
          <w:sz w:val="22"/>
          <w:lang w:val="es-MX"/>
        </w:rPr>
        <w:t xml:space="preserve"> tributaria</w:t>
      </w:r>
      <w:r>
        <w:rPr>
          <w:rFonts w:ascii="Times New Roman" w:hAnsi="Times New Roman" w:cs="Times New Roman"/>
          <w:sz w:val="22"/>
          <w:lang w:val="es-MX"/>
        </w:rPr>
        <w:t>,</w:t>
      </w:r>
      <w:r w:rsidRPr="00FA7929">
        <w:rPr>
          <w:rFonts w:ascii="Times New Roman" w:hAnsi="Times New Roman" w:cs="Times New Roman"/>
          <w:sz w:val="22"/>
          <w:lang w:val="es-MX"/>
        </w:rPr>
        <w:t xml:space="preserve"> </w:t>
      </w:r>
      <w:r>
        <w:rPr>
          <w:rFonts w:ascii="Times New Roman" w:hAnsi="Times New Roman" w:cs="Times New Roman"/>
          <w:sz w:val="22"/>
          <w:lang w:val="es-MX"/>
        </w:rPr>
        <w:t xml:space="preserve">registró un cambio de nivel, producto de </w:t>
      </w:r>
      <w:r w:rsidRPr="00FA7929">
        <w:rPr>
          <w:rFonts w:ascii="Times New Roman" w:hAnsi="Times New Roman" w:cs="Times New Roman"/>
          <w:sz w:val="22"/>
          <w:lang w:val="es-MX"/>
        </w:rPr>
        <w:t>las modificaciones realizadas en el producto interno bruto</w:t>
      </w:r>
      <w:r>
        <w:rPr>
          <w:rFonts w:ascii="Times New Roman" w:hAnsi="Times New Roman" w:cs="Times New Roman"/>
          <w:sz w:val="22"/>
          <w:lang w:val="es-MX"/>
        </w:rPr>
        <w:t xml:space="preserve">. Años después </w:t>
      </w:r>
      <w:r w:rsidRPr="00FA7929">
        <w:rPr>
          <w:rFonts w:ascii="Times New Roman" w:hAnsi="Times New Roman" w:cs="Times New Roman"/>
          <w:sz w:val="22"/>
          <w:lang w:val="es-MX"/>
        </w:rPr>
        <w:t xml:space="preserve">de la crisis institucional de </w:t>
      </w:r>
      <w:r>
        <w:rPr>
          <w:rFonts w:ascii="Times New Roman" w:hAnsi="Times New Roman" w:cs="Times New Roman"/>
          <w:sz w:val="22"/>
          <w:lang w:val="es-MX"/>
        </w:rPr>
        <w:t xml:space="preserve">la </w:t>
      </w:r>
      <w:r w:rsidRPr="00FA7929">
        <w:rPr>
          <w:rFonts w:ascii="Times New Roman" w:hAnsi="Times New Roman" w:cs="Times New Roman"/>
          <w:sz w:val="22"/>
          <w:lang w:val="es-MX"/>
        </w:rPr>
        <w:t xml:space="preserve">SAT </w:t>
      </w:r>
      <w:r w:rsidR="00383E04">
        <w:rPr>
          <w:rFonts w:ascii="Times New Roman" w:hAnsi="Times New Roman" w:cs="Times New Roman"/>
          <w:sz w:val="22"/>
          <w:lang w:val="es-MX"/>
        </w:rPr>
        <w:t>de</w:t>
      </w:r>
      <w:r w:rsidR="00383E04" w:rsidRPr="00FA7929">
        <w:rPr>
          <w:rFonts w:ascii="Times New Roman" w:hAnsi="Times New Roman" w:cs="Times New Roman"/>
          <w:sz w:val="22"/>
          <w:lang w:val="es-MX"/>
        </w:rPr>
        <w:t xml:space="preserve"> </w:t>
      </w:r>
      <w:r w:rsidRPr="00FA7929">
        <w:rPr>
          <w:rFonts w:ascii="Times New Roman" w:hAnsi="Times New Roman" w:cs="Times New Roman"/>
          <w:sz w:val="22"/>
          <w:lang w:val="es-MX"/>
        </w:rPr>
        <w:t>2015</w:t>
      </w:r>
      <w:r>
        <w:rPr>
          <w:rFonts w:ascii="Times New Roman" w:hAnsi="Times New Roman" w:cs="Times New Roman"/>
          <w:sz w:val="22"/>
          <w:lang w:val="es-MX"/>
        </w:rPr>
        <w:t>,</w:t>
      </w:r>
      <w:r w:rsidRPr="00FA7929">
        <w:rPr>
          <w:rFonts w:ascii="Times New Roman" w:hAnsi="Times New Roman" w:cs="Times New Roman"/>
          <w:sz w:val="22"/>
          <w:lang w:val="es-MX"/>
        </w:rPr>
        <w:t xml:space="preserve"> se observó un nivel de carga tributaria </w:t>
      </w:r>
      <w:r>
        <w:rPr>
          <w:rFonts w:ascii="Times New Roman" w:hAnsi="Times New Roman" w:cs="Times New Roman"/>
          <w:sz w:val="22"/>
          <w:lang w:val="es-MX"/>
        </w:rPr>
        <w:t xml:space="preserve">creciente, </w:t>
      </w:r>
      <w:r w:rsidRPr="00FA7929">
        <w:rPr>
          <w:rFonts w:ascii="Times New Roman" w:hAnsi="Times New Roman" w:cs="Times New Roman"/>
          <w:sz w:val="22"/>
          <w:lang w:val="es-MX"/>
        </w:rPr>
        <w:t>la cual se vio influenciada</w:t>
      </w:r>
      <w:r w:rsidR="00383E04">
        <w:rPr>
          <w:rFonts w:ascii="Times New Roman" w:hAnsi="Times New Roman" w:cs="Times New Roman"/>
          <w:sz w:val="22"/>
          <w:lang w:val="es-MX"/>
        </w:rPr>
        <w:t xml:space="preserve"> por</w:t>
      </w:r>
      <w:r w:rsidRPr="00FA7929">
        <w:rPr>
          <w:rFonts w:ascii="Times New Roman" w:hAnsi="Times New Roman" w:cs="Times New Roman"/>
          <w:sz w:val="22"/>
          <w:lang w:val="es-MX"/>
        </w:rPr>
        <w:t xml:space="preserve"> </w:t>
      </w:r>
      <w:r>
        <w:rPr>
          <w:rFonts w:ascii="Times New Roman" w:hAnsi="Times New Roman" w:cs="Times New Roman"/>
          <w:sz w:val="22"/>
          <w:lang w:val="es-MX"/>
        </w:rPr>
        <w:t xml:space="preserve">ingresos extraordinarios </w:t>
      </w:r>
      <w:r w:rsidRPr="00FA7929">
        <w:rPr>
          <w:rFonts w:ascii="Times New Roman" w:hAnsi="Times New Roman" w:cs="Times New Roman"/>
          <w:sz w:val="22"/>
          <w:lang w:val="es-MX"/>
        </w:rPr>
        <w:t>en los años 2016 y 2017</w:t>
      </w:r>
      <w:r>
        <w:rPr>
          <w:rFonts w:ascii="Times New Roman" w:hAnsi="Times New Roman" w:cs="Times New Roman"/>
          <w:sz w:val="22"/>
          <w:lang w:val="es-MX"/>
        </w:rPr>
        <w:t xml:space="preserve"> (recuperación de adeudos y exoneraciones de multas e intereses).</w:t>
      </w:r>
      <w:r w:rsidRPr="00FA7929">
        <w:rPr>
          <w:rFonts w:ascii="Times New Roman" w:hAnsi="Times New Roman" w:cs="Times New Roman"/>
          <w:sz w:val="22"/>
          <w:lang w:val="es-MX"/>
        </w:rPr>
        <w:t xml:space="preserve"> </w:t>
      </w:r>
      <w:r>
        <w:rPr>
          <w:rFonts w:ascii="Times New Roman" w:hAnsi="Times New Roman" w:cs="Times New Roman"/>
          <w:sz w:val="22"/>
          <w:lang w:val="es-MX"/>
        </w:rPr>
        <w:t>P</w:t>
      </w:r>
      <w:r w:rsidRPr="00FA7929">
        <w:rPr>
          <w:rFonts w:ascii="Times New Roman" w:hAnsi="Times New Roman" w:cs="Times New Roman"/>
          <w:sz w:val="22"/>
          <w:lang w:val="es-MX"/>
        </w:rPr>
        <w:t>ara 2018 y 2019 la carga tributaria se sitúa en 10.73 y 10.71</w:t>
      </w:r>
      <w:r>
        <w:rPr>
          <w:rFonts w:ascii="Times New Roman" w:hAnsi="Times New Roman" w:cs="Times New Roman"/>
          <w:sz w:val="22"/>
          <w:lang w:val="es-MX"/>
        </w:rPr>
        <w:t>,</w:t>
      </w:r>
      <w:r w:rsidRPr="00FA7929">
        <w:rPr>
          <w:rFonts w:ascii="Times New Roman" w:hAnsi="Times New Roman" w:cs="Times New Roman"/>
          <w:sz w:val="22"/>
          <w:lang w:val="es-MX"/>
        </w:rPr>
        <w:t xml:space="preserve"> nuevamente se desaceler</w:t>
      </w:r>
      <w:r>
        <w:rPr>
          <w:rFonts w:ascii="Times New Roman" w:hAnsi="Times New Roman" w:cs="Times New Roman"/>
          <w:sz w:val="22"/>
          <w:lang w:val="es-MX"/>
        </w:rPr>
        <w:t>a, pero de manera más suavizada.</w:t>
      </w:r>
    </w:p>
    <w:p w14:paraId="36417F8A" w14:textId="77777777" w:rsidR="00E66A98" w:rsidRPr="00E96044" w:rsidRDefault="00E66A98" w:rsidP="00E96044">
      <w:pPr>
        <w:jc w:val="center"/>
        <w:rPr>
          <w:rFonts w:ascii="Times New Roman" w:hAnsi="Times New Roman" w:cs="Times New Roman"/>
          <w:sz w:val="22"/>
          <w:lang w:val="es-MX"/>
        </w:rPr>
      </w:pPr>
      <w:r w:rsidRPr="0065539C">
        <w:rPr>
          <w:rFonts w:ascii="Times New Roman" w:hAnsi="Times New Roman" w:cs="Times New Roman"/>
          <w:b/>
          <w:sz w:val="22"/>
          <w:szCs w:val="22"/>
          <w:lang w:val="es-MX"/>
        </w:rPr>
        <w:t>Carga Tributaria</w:t>
      </w:r>
    </w:p>
    <w:p w14:paraId="09C6A2E2" w14:textId="77777777" w:rsidR="00E66A98" w:rsidRPr="0065539C" w:rsidRDefault="00E66A98" w:rsidP="00E96044">
      <w:pPr>
        <w:jc w:val="center"/>
        <w:rPr>
          <w:rFonts w:ascii="Times New Roman" w:hAnsi="Times New Roman" w:cs="Times New Roman"/>
          <w:sz w:val="22"/>
          <w:szCs w:val="22"/>
          <w:lang w:val="es-MX"/>
        </w:rPr>
      </w:pPr>
      <w:r w:rsidRPr="0065539C">
        <w:rPr>
          <w:rFonts w:ascii="Times New Roman" w:hAnsi="Times New Roman" w:cs="Times New Roman"/>
          <w:sz w:val="22"/>
          <w:szCs w:val="22"/>
          <w:lang w:val="es-MX"/>
        </w:rPr>
        <w:t>Porcentajes</w:t>
      </w:r>
    </w:p>
    <w:p w14:paraId="24637219" w14:textId="77777777" w:rsidR="00E66A98" w:rsidRPr="0065539C" w:rsidRDefault="00E66A98" w:rsidP="00E66A98">
      <w:pPr>
        <w:jc w:val="center"/>
        <w:rPr>
          <w:rFonts w:ascii="Times New Roman" w:hAnsi="Times New Roman" w:cs="Times New Roman"/>
          <w:sz w:val="22"/>
          <w:szCs w:val="22"/>
          <w:lang w:val="es-MX"/>
        </w:rPr>
      </w:pPr>
      <w:r>
        <w:rPr>
          <w:rFonts w:ascii="Times New Roman" w:hAnsi="Times New Roman" w:cs="Times New Roman"/>
          <w:noProof/>
          <w:lang w:val="es-ES"/>
        </w:rPr>
        <w:lastRenderedPageBreak/>
        <w:drawing>
          <wp:inline distT="0" distB="0" distL="0" distR="0" wp14:anchorId="09ED267A" wp14:editId="69E9DD6D">
            <wp:extent cx="4142630" cy="2210462"/>
            <wp:effectExtent l="0" t="0" r="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1CF330" w14:textId="77777777" w:rsidR="00206BA3" w:rsidRPr="00063CB5" w:rsidRDefault="00E66A98" w:rsidP="00063CB5">
      <w:pPr>
        <w:ind w:left="708" w:firstLine="708"/>
        <w:rPr>
          <w:rFonts w:ascii="Times New Roman" w:hAnsi="Times New Roman" w:cs="Times New Roman"/>
          <w:sz w:val="16"/>
          <w:szCs w:val="22"/>
          <w:lang w:val="es-MX"/>
        </w:rPr>
      </w:pPr>
      <w:r w:rsidRPr="00383208">
        <w:rPr>
          <w:rFonts w:ascii="Times New Roman" w:hAnsi="Times New Roman" w:cs="Times New Roman"/>
          <w:sz w:val="16"/>
          <w:szCs w:val="22"/>
          <w:lang w:val="es-MX"/>
        </w:rPr>
        <w:t>Fuente: Dirección de Análisis y Política Fiscal</w:t>
      </w:r>
    </w:p>
    <w:p w14:paraId="6FAA4490" w14:textId="77777777" w:rsidR="008C0B31" w:rsidRPr="006924C1" w:rsidRDefault="008C0B31" w:rsidP="006924C1">
      <w:pPr>
        <w:pStyle w:val="Prrafodelista"/>
        <w:numPr>
          <w:ilvl w:val="0"/>
          <w:numId w:val="1"/>
        </w:numPr>
        <w:ind w:left="426" w:hanging="426"/>
        <w:jc w:val="both"/>
        <w:outlineLvl w:val="0"/>
        <w:rPr>
          <w:rFonts w:ascii="Times New Roman" w:eastAsiaTheme="majorEastAsia" w:hAnsi="Times New Roman" w:cs="Times New Roman"/>
          <w:b/>
          <w:bCs/>
          <w:sz w:val="24"/>
          <w:szCs w:val="26"/>
          <w:lang w:val="es-ES_tradnl" w:eastAsia="es-ES"/>
        </w:rPr>
      </w:pPr>
      <w:bookmarkStart w:id="81" w:name="_Toc32230891"/>
      <w:r w:rsidRPr="006924C1">
        <w:rPr>
          <w:rFonts w:ascii="Times New Roman" w:eastAsiaTheme="majorEastAsia" w:hAnsi="Times New Roman" w:cs="Times New Roman"/>
          <w:b/>
          <w:bCs/>
          <w:sz w:val="24"/>
          <w:szCs w:val="26"/>
          <w:lang w:val="es-ES_tradnl" w:eastAsia="es-ES"/>
        </w:rPr>
        <w:t>Gasto Público</w:t>
      </w:r>
      <w:bookmarkEnd w:id="81"/>
    </w:p>
    <w:p w14:paraId="72153721" w14:textId="77777777" w:rsidR="00770433" w:rsidRPr="006924C1" w:rsidRDefault="00770433" w:rsidP="00770433">
      <w:pPr>
        <w:pStyle w:val="Prrafodelista"/>
        <w:keepNext/>
        <w:keepLines/>
        <w:numPr>
          <w:ilvl w:val="0"/>
          <w:numId w:val="12"/>
        </w:numPr>
        <w:spacing w:before="200"/>
        <w:contextualSpacing w:val="0"/>
        <w:outlineLvl w:val="1"/>
        <w:rPr>
          <w:rFonts w:ascii="Times New Roman" w:eastAsiaTheme="majorEastAsia" w:hAnsi="Times New Roman" w:cs="Times New Roman"/>
          <w:b/>
          <w:bCs/>
          <w:vanish/>
          <w:sz w:val="24"/>
          <w:szCs w:val="26"/>
          <w:lang w:val="es-ES_tradnl" w:eastAsia="es-ES"/>
        </w:rPr>
      </w:pPr>
      <w:bookmarkStart w:id="82" w:name="_Toc471986932"/>
      <w:bookmarkStart w:id="83" w:name="_Toc471987067"/>
      <w:bookmarkStart w:id="84" w:name="_Toc471987115"/>
      <w:bookmarkStart w:id="85" w:name="_Toc471987137"/>
      <w:bookmarkStart w:id="86" w:name="_Toc472082165"/>
      <w:bookmarkStart w:id="87" w:name="_Toc472082197"/>
      <w:bookmarkStart w:id="88" w:name="_Toc472089913"/>
      <w:bookmarkStart w:id="89" w:name="_Toc472089936"/>
      <w:bookmarkStart w:id="90" w:name="_Toc505346063"/>
      <w:bookmarkStart w:id="91" w:name="_Toc505349878"/>
      <w:bookmarkStart w:id="92" w:name="_Toc534985836"/>
      <w:bookmarkStart w:id="93" w:name="_Toc534988229"/>
      <w:bookmarkStart w:id="94" w:name="_Toc31611549"/>
      <w:bookmarkStart w:id="95" w:name="_Toc31612768"/>
      <w:bookmarkStart w:id="96" w:name="_Toc31612800"/>
      <w:bookmarkStart w:id="97" w:name="_Toc31614826"/>
      <w:bookmarkStart w:id="98" w:name="_Toc31614858"/>
      <w:bookmarkStart w:id="99" w:name="_Toc31618695"/>
      <w:bookmarkStart w:id="100" w:name="_Toc31618728"/>
      <w:bookmarkStart w:id="101" w:name="_Toc31624504"/>
      <w:bookmarkStart w:id="102" w:name="_Toc31625356"/>
      <w:bookmarkStart w:id="103" w:name="_Toc31626811"/>
      <w:bookmarkStart w:id="104" w:name="_Toc31811262"/>
      <w:bookmarkStart w:id="105" w:name="_Toc31811707"/>
      <w:bookmarkStart w:id="106" w:name="_Toc31971870"/>
      <w:bookmarkStart w:id="107" w:name="_Toc3223089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2F0DFB4" w14:textId="77777777" w:rsidR="00770433" w:rsidRPr="006924C1" w:rsidRDefault="00770433" w:rsidP="00770433">
      <w:pPr>
        <w:pStyle w:val="Prrafodelista"/>
        <w:keepNext/>
        <w:keepLines/>
        <w:numPr>
          <w:ilvl w:val="0"/>
          <w:numId w:val="12"/>
        </w:numPr>
        <w:spacing w:before="200"/>
        <w:contextualSpacing w:val="0"/>
        <w:outlineLvl w:val="1"/>
        <w:rPr>
          <w:rFonts w:ascii="Times New Roman" w:eastAsiaTheme="majorEastAsia" w:hAnsi="Times New Roman" w:cs="Times New Roman"/>
          <w:b/>
          <w:bCs/>
          <w:vanish/>
          <w:sz w:val="24"/>
          <w:szCs w:val="26"/>
          <w:lang w:val="es-ES_tradnl" w:eastAsia="es-ES"/>
        </w:rPr>
      </w:pPr>
      <w:bookmarkStart w:id="108" w:name="_Toc472082166"/>
      <w:bookmarkStart w:id="109" w:name="_Toc472082198"/>
      <w:bookmarkStart w:id="110" w:name="_Toc472089914"/>
      <w:bookmarkStart w:id="111" w:name="_Toc472089937"/>
      <w:bookmarkStart w:id="112" w:name="_Toc505346064"/>
      <w:bookmarkStart w:id="113" w:name="_Toc505349879"/>
      <w:bookmarkStart w:id="114" w:name="_Toc534985837"/>
      <w:bookmarkStart w:id="115" w:name="_Toc534988230"/>
      <w:bookmarkStart w:id="116" w:name="_Toc31611550"/>
      <w:bookmarkStart w:id="117" w:name="_Toc31612769"/>
      <w:bookmarkStart w:id="118" w:name="_Toc31612801"/>
      <w:bookmarkStart w:id="119" w:name="_Toc31614827"/>
      <w:bookmarkStart w:id="120" w:name="_Toc31614859"/>
      <w:bookmarkStart w:id="121" w:name="_Toc31618696"/>
      <w:bookmarkStart w:id="122" w:name="_Toc31618729"/>
      <w:bookmarkStart w:id="123" w:name="_Toc31624505"/>
      <w:bookmarkStart w:id="124" w:name="_Toc31625357"/>
      <w:bookmarkStart w:id="125" w:name="_Toc31626812"/>
      <w:bookmarkStart w:id="126" w:name="_Toc31811263"/>
      <w:bookmarkStart w:id="127" w:name="_Toc31811708"/>
      <w:bookmarkStart w:id="128" w:name="_Toc31971871"/>
      <w:bookmarkStart w:id="129" w:name="_Toc3223089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DC2D9D3" w14:textId="77777777" w:rsidR="000B5E1C" w:rsidRPr="006924C1" w:rsidRDefault="006924C1" w:rsidP="006924C1">
      <w:pPr>
        <w:pStyle w:val="Ttulo2"/>
        <w:numPr>
          <w:ilvl w:val="1"/>
          <w:numId w:val="12"/>
        </w:numPr>
        <w:ind w:left="567"/>
        <w:rPr>
          <w:rFonts w:ascii="Times New Roman" w:hAnsi="Times New Roman" w:cs="Times New Roman"/>
          <w:color w:val="auto"/>
          <w:sz w:val="24"/>
        </w:rPr>
      </w:pPr>
      <w:bookmarkStart w:id="130" w:name="_Toc32230894"/>
      <w:r w:rsidRPr="006924C1">
        <w:rPr>
          <w:rFonts w:ascii="Times New Roman" w:hAnsi="Times New Roman" w:cs="Times New Roman"/>
          <w:color w:val="auto"/>
          <w:sz w:val="24"/>
        </w:rPr>
        <w:t>Aprobación del presupuesto favorece la ejecución de gasto</w:t>
      </w:r>
      <w:bookmarkEnd w:id="130"/>
      <w:r w:rsidRPr="006924C1">
        <w:rPr>
          <w:rFonts w:ascii="Times New Roman" w:hAnsi="Times New Roman" w:cs="Times New Roman"/>
          <w:color w:val="auto"/>
          <w:sz w:val="24"/>
        </w:rPr>
        <w:t xml:space="preserve"> </w:t>
      </w:r>
    </w:p>
    <w:p w14:paraId="172B60E7" w14:textId="77777777" w:rsidR="000B5E1C" w:rsidRPr="006924C1" w:rsidRDefault="000B5E1C" w:rsidP="000B5E1C">
      <w:pPr>
        <w:pStyle w:val="Sinespaciado"/>
        <w:jc w:val="both"/>
        <w:rPr>
          <w:rFonts w:ascii="Times New Roman" w:hAnsi="Times New Roman" w:cs="Times New Roman"/>
          <w:color w:val="FF0000"/>
          <w:lang w:val="es-ES_tradnl"/>
        </w:rPr>
      </w:pPr>
    </w:p>
    <w:p w14:paraId="76312AF2" w14:textId="77777777" w:rsid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Algo que marca la diferencia entre la ejecución presupuestaria de 2019 con respecto a 2018, es la existencia de un presupuesto propio ya que el Congreso de la República aprobó el Presupuesto General de Ingresos y Egresos para el Ejercicio Fiscal 2019 (Decreto 25-2018).  Con esto</w:t>
      </w:r>
      <w:r w:rsidR="00383E04">
        <w:rPr>
          <w:rFonts w:ascii="Times New Roman" w:hAnsi="Times New Roman" w:cs="Times New Roman"/>
          <w:sz w:val="22"/>
          <w:szCs w:val="22"/>
        </w:rPr>
        <w:t xml:space="preserve">, </w:t>
      </w:r>
      <w:r w:rsidRPr="006924C1">
        <w:rPr>
          <w:rFonts w:ascii="Times New Roman" w:hAnsi="Times New Roman" w:cs="Times New Roman"/>
          <w:sz w:val="22"/>
          <w:szCs w:val="22"/>
        </w:rPr>
        <w:t>la programación estaba acorde con las necesidades institucionales y con el financiamiento necesario para su ejecución. Lo anterior facilitó la ejecución desde el inicio de año y permitió el cumplimiento de los objetivos de las entidades y coadyuvó al logro de resultados en materia de política pública.</w:t>
      </w:r>
    </w:p>
    <w:p w14:paraId="57498C7C" w14:textId="77777777" w:rsidR="006924C1" w:rsidRPr="006924C1" w:rsidRDefault="006924C1" w:rsidP="006924C1">
      <w:pPr>
        <w:jc w:val="both"/>
        <w:rPr>
          <w:rFonts w:ascii="Times New Roman" w:hAnsi="Times New Roman" w:cs="Times New Roman"/>
          <w:sz w:val="22"/>
          <w:szCs w:val="22"/>
        </w:rPr>
      </w:pPr>
    </w:p>
    <w:p w14:paraId="3B9F5394" w14:textId="77777777" w:rsid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Además de lo anterior, es importante mencionar que hay otros elementos que adicionalmente influenciaron la ejecución de gasto en dicho año, destacando:</w:t>
      </w:r>
    </w:p>
    <w:p w14:paraId="6A562922" w14:textId="77777777" w:rsidR="006924C1" w:rsidRPr="006924C1" w:rsidRDefault="006924C1" w:rsidP="006924C1">
      <w:pPr>
        <w:jc w:val="both"/>
        <w:rPr>
          <w:rFonts w:ascii="Times New Roman" w:hAnsi="Times New Roman" w:cs="Times New Roman"/>
          <w:sz w:val="22"/>
          <w:szCs w:val="22"/>
        </w:rPr>
      </w:pPr>
    </w:p>
    <w:p w14:paraId="0674EB6D" w14:textId="77777777" w:rsidR="006924C1" w:rsidRPr="006924C1" w:rsidRDefault="006924C1" w:rsidP="006924C1">
      <w:pPr>
        <w:pStyle w:val="Prrafodelista"/>
        <w:numPr>
          <w:ilvl w:val="0"/>
          <w:numId w:val="33"/>
        </w:numPr>
        <w:spacing w:after="160" w:line="259" w:lineRule="auto"/>
        <w:jc w:val="both"/>
        <w:rPr>
          <w:rFonts w:ascii="Times New Roman" w:hAnsi="Times New Roman" w:cs="Times New Roman"/>
        </w:rPr>
      </w:pPr>
      <w:r w:rsidRPr="006924C1">
        <w:rPr>
          <w:rFonts w:ascii="Times New Roman" w:hAnsi="Times New Roman" w:cs="Times New Roman"/>
        </w:rPr>
        <w:t>La recaudación tributaria quedó por debajo de la meta prevista en el presupuesto, situación que mermó los recursos disponibles para la ejecución presupuestaria de todas las entidades, cuyo financiamiento estaba asociado a los ingresos corrientes.</w:t>
      </w:r>
    </w:p>
    <w:p w14:paraId="4E78618E" w14:textId="77777777" w:rsidR="006924C1" w:rsidRPr="006924C1" w:rsidRDefault="006924C1" w:rsidP="006924C1">
      <w:pPr>
        <w:pStyle w:val="Prrafodelista"/>
        <w:ind w:left="360"/>
        <w:jc w:val="both"/>
        <w:rPr>
          <w:rFonts w:ascii="Times New Roman" w:hAnsi="Times New Roman" w:cs="Times New Roman"/>
        </w:rPr>
      </w:pPr>
    </w:p>
    <w:p w14:paraId="7B435DD2" w14:textId="77777777" w:rsidR="006924C1" w:rsidRPr="006924C1" w:rsidRDefault="006924C1" w:rsidP="006924C1">
      <w:pPr>
        <w:pStyle w:val="Prrafodelista"/>
        <w:numPr>
          <w:ilvl w:val="0"/>
          <w:numId w:val="33"/>
        </w:numPr>
        <w:spacing w:after="160" w:line="259" w:lineRule="auto"/>
        <w:jc w:val="both"/>
        <w:rPr>
          <w:rFonts w:ascii="Times New Roman" w:hAnsi="Times New Roman" w:cs="Times New Roman"/>
        </w:rPr>
      </w:pPr>
      <w:r w:rsidRPr="006924C1">
        <w:rPr>
          <w:rFonts w:ascii="Times New Roman" w:hAnsi="Times New Roman" w:cs="Times New Roman"/>
        </w:rPr>
        <w:t xml:space="preserve">Decisiones políticas aumentaron la rigidez del gasto público, como el aumento salarial en entidades con altos niveles de personal como son los </w:t>
      </w:r>
      <w:r w:rsidR="002D7AF6">
        <w:rPr>
          <w:rFonts w:ascii="Times New Roman" w:hAnsi="Times New Roman" w:cs="Times New Roman"/>
        </w:rPr>
        <w:t>m</w:t>
      </w:r>
      <w:r w:rsidRPr="006924C1">
        <w:rPr>
          <w:rFonts w:ascii="Times New Roman" w:hAnsi="Times New Roman" w:cs="Times New Roman"/>
        </w:rPr>
        <w:t xml:space="preserve">inisterios de </w:t>
      </w:r>
      <w:r w:rsidR="002D7AF6">
        <w:rPr>
          <w:rFonts w:ascii="Times New Roman" w:hAnsi="Times New Roman" w:cs="Times New Roman"/>
        </w:rPr>
        <w:t>e</w:t>
      </w:r>
      <w:r w:rsidRPr="006924C1">
        <w:rPr>
          <w:rFonts w:ascii="Times New Roman" w:hAnsi="Times New Roman" w:cs="Times New Roman"/>
        </w:rPr>
        <w:t xml:space="preserve">ducación y </w:t>
      </w:r>
      <w:r w:rsidR="002D7AF6">
        <w:rPr>
          <w:rFonts w:ascii="Times New Roman" w:hAnsi="Times New Roman" w:cs="Times New Roman"/>
        </w:rPr>
        <w:t>s</w:t>
      </w:r>
      <w:r w:rsidRPr="006924C1">
        <w:rPr>
          <w:rFonts w:ascii="Times New Roman" w:hAnsi="Times New Roman" w:cs="Times New Roman"/>
        </w:rPr>
        <w:t xml:space="preserve">alud </w:t>
      </w:r>
      <w:r w:rsidR="002D7AF6">
        <w:rPr>
          <w:rFonts w:ascii="Times New Roman" w:hAnsi="Times New Roman" w:cs="Times New Roman"/>
        </w:rPr>
        <w:t>p</w:t>
      </w:r>
      <w:r w:rsidRPr="006924C1">
        <w:rPr>
          <w:rFonts w:ascii="Times New Roman" w:hAnsi="Times New Roman" w:cs="Times New Roman"/>
        </w:rPr>
        <w:t>ública.  Esto si bien una parte estaba considerada en el presupuesto original, desvía recursos del Estado para atender políticas públicas hacia el pago de salarios, que al final se convierte en un detonante de la ejecución en 2019.</w:t>
      </w:r>
    </w:p>
    <w:p w14:paraId="62734E4D" w14:textId="77777777" w:rsidR="006924C1" w:rsidRPr="006924C1" w:rsidRDefault="006924C1" w:rsidP="006924C1">
      <w:pPr>
        <w:pStyle w:val="Prrafodelista"/>
        <w:rPr>
          <w:rFonts w:ascii="Times New Roman" w:hAnsi="Times New Roman" w:cs="Times New Roman"/>
        </w:rPr>
      </w:pPr>
    </w:p>
    <w:p w14:paraId="7C8FDA7A" w14:textId="77777777" w:rsidR="006924C1" w:rsidRPr="006924C1" w:rsidRDefault="0022065E" w:rsidP="006924C1">
      <w:pPr>
        <w:pStyle w:val="Prrafodelista"/>
        <w:numPr>
          <w:ilvl w:val="0"/>
          <w:numId w:val="33"/>
        </w:numPr>
        <w:spacing w:after="160" w:line="259" w:lineRule="auto"/>
        <w:jc w:val="both"/>
        <w:rPr>
          <w:rFonts w:ascii="Times New Roman" w:hAnsi="Times New Roman" w:cs="Times New Roman"/>
        </w:rPr>
      </w:pPr>
      <w:r>
        <w:rPr>
          <w:rFonts w:ascii="Times New Roman" w:hAnsi="Times New Roman" w:cs="Times New Roman"/>
        </w:rPr>
        <w:t xml:space="preserve">Concluyó el proceso de asimilación de nuevos sistemas de control de la Contraloría General de Cuentas y la </w:t>
      </w:r>
      <w:r w:rsidR="006924C1" w:rsidRPr="006924C1">
        <w:rPr>
          <w:rFonts w:ascii="Times New Roman" w:hAnsi="Times New Roman" w:cs="Times New Roman"/>
        </w:rPr>
        <w:t xml:space="preserve">aplicación de las </w:t>
      </w:r>
      <w:r>
        <w:rPr>
          <w:rFonts w:ascii="Times New Roman" w:hAnsi="Times New Roman" w:cs="Times New Roman"/>
        </w:rPr>
        <w:t xml:space="preserve">nuevas </w:t>
      </w:r>
      <w:r w:rsidR="006924C1" w:rsidRPr="006924C1">
        <w:rPr>
          <w:rFonts w:ascii="Times New Roman" w:hAnsi="Times New Roman" w:cs="Times New Roman"/>
        </w:rPr>
        <w:t xml:space="preserve">normas de contrataciones del Estado, </w:t>
      </w:r>
      <w:r>
        <w:rPr>
          <w:rFonts w:ascii="Times New Roman" w:hAnsi="Times New Roman" w:cs="Times New Roman"/>
        </w:rPr>
        <w:t xml:space="preserve">que habían </w:t>
      </w:r>
      <w:r w:rsidR="006924C1" w:rsidRPr="006924C1">
        <w:rPr>
          <w:rFonts w:ascii="Times New Roman" w:hAnsi="Times New Roman" w:cs="Times New Roman"/>
        </w:rPr>
        <w:t>propicia</w:t>
      </w:r>
      <w:r>
        <w:rPr>
          <w:rFonts w:ascii="Times New Roman" w:hAnsi="Times New Roman" w:cs="Times New Roman"/>
        </w:rPr>
        <w:t>do</w:t>
      </w:r>
      <w:r w:rsidR="006924C1" w:rsidRPr="006924C1">
        <w:rPr>
          <w:rFonts w:ascii="Times New Roman" w:hAnsi="Times New Roman" w:cs="Times New Roman"/>
        </w:rPr>
        <w:t xml:space="preserve"> una rigidez </w:t>
      </w:r>
      <w:r>
        <w:rPr>
          <w:rFonts w:ascii="Times New Roman" w:hAnsi="Times New Roman" w:cs="Times New Roman"/>
        </w:rPr>
        <w:t>anterior a 2018, posteriormente se observó un repunte de la ejecución.</w:t>
      </w:r>
    </w:p>
    <w:p w14:paraId="35BD79D9" w14:textId="77777777" w:rsidR="006924C1" w:rsidRPr="006924C1" w:rsidRDefault="006924C1" w:rsidP="006924C1">
      <w:pPr>
        <w:pStyle w:val="Prrafodelista"/>
        <w:rPr>
          <w:rFonts w:ascii="Times New Roman" w:hAnsi="Times New Roman" w:cs="Times New Roman"/>
        </w:rPr>
      </w:pPr>
    </w:p>
    <w:p w14:paraId="40F859AA" w14:textId="77777777" w:rsidR="006924C1" w:rsidRPr="006924C1" w:rsidRDefault="006924C1" w:rsidP="006924C1">
      <w:pPr>
        <w:pStyle w:val="Prrafodelista"/>
        <w:numPr>
          <w:ilvl w:val="0"/>
          <w:numId w:val="33"/>
        </w:numPr>
        <w:spacing w:after="160" w:line="259" w:lineRule="auto"/>
        <w:jc w:val="both"/>
        <w:rPr>
          <w:rFonts w:ascii="Times New Roman" w:hAnsi="Times New Roman" w:cs="Times New Roman"/>
        </w:rPr>
      </w:pPr>
      <w:r w:rsidRPr="006924C1">
        <w:rPr>
          <w:rFonts w:ascii="Times New Roman" w:hAnsi="Times New Roman" w:cs="Times New Roman"/>
        </w:rPr>
        <w:t>Bajo nivel de desembolsos de préstamos externos, producto, en algunos casos, de la tardía aprobación de préstamos y en otros la no aprobación de estos por parte del Congreso de la República.  Además de una lenta ejecución en algunos proyectos por parte de las entidades receptoras de desembolsos de préstamos.</w:t>
      </w:r>
    </w:p>
    <w:p w14:paraId="1294B4D0" w14:textId="77777777" w:rsidR="006924C1" w:rsidRPr="006924C1" w:rsidRDefault="006924C1" w:rsidP="006924C1">
      <w:pPr>
        <w:pStyle w:val="Prrafodelista"/>
        <w:ind w:left="360"/>
        <w:jc w:val="both"/>
        <w:rPr>
          <w:rFonts w:ascii="Times New Roman" w:hAnsi="Times New Roman" w:cs="Times New Roman"/>
        </w:rPr>
      </w:pPr>
    </w:p>
    <w:p w14:paraId="6DE9522C" w14:textId="77777777" w:rsidR="006924C1" w:rsidRPr="006924C1" w:rsidRDefault="006924C1" w:rsidP="006924C1">
      <w:pPr>
        <w:pStyle w:val="Prrafodelista"/>
        <w:numPr>
          <w:ilvl w:val="0"/>
          <w:numId w:val="33"/>
        </w:numPr>
        <w:spacing w:after="160" w:line="259" w:lineRule="auto"/>
        <w:jc w:val="both"/>
        <w:rPr>
          <w:rFonts w:ascii="Times New Roman" w:hAnsi="Times New Roman" w:cs="Times New Roman"/>
        </w:rPr>
      </w:pPr>
      <w:r w:rsidRPr="006924C1">
        <w:rPr>
          <w:rFonts w:ascii="Times New Roman" w:hAnsi="Times New Roman" w:cs="Times New Roman"/>
        </w:rPr>
        <w:t>El aporte extraordinario al Tribunal Supremo Electoral, derivado de las Elecciones Generales que acontecieron en dicho año.</w:t>
      </w:r>
    </w:p>
    <w:p w14:paraId="2B024E2F" w14:textId="77777777" w:rsidR="00364844" w:rsidRPr="006924C1" w:rsidRDefault="006924C1" w:rsidP="006924C1">
      <w:pPr>
        <w:jc w:val="both"/>
        <w:rPr>
          <w:rFonts w:ascii="Times New Roman" w:hAnsi="Times New Roman" w:cs="Times New Roman"/>
          <w:color w:val="FF0000"/>
          <w:sz w:val="22"/>
          <w:szCs w:val="22"/>
          <w:lang w:val="es-MX"/>
        </w:rPr>
      </w:pPr>
      <w:r w:rsidRPr="006924C1">
        <w:rPr>
          <w:rFonts w:ascii="Times New Roman" w:hAnsi="Times New Roman" w:cs="Times New Roman"/>
          <w:sz w:val="22"/>
          <w:szCs w:val="22"/>
        </w:rPr>
        <w:lastRenderedPageBreak/>
        <w:t>Aunque existen otros elementos que incidieron en la ejecución de gasto de 2019, estos podrían ser los que fueron más relevantes, algunos reducen la capacidad de gastar y otros son aceleradores de la ejecución.</w:t>
      </w:r>
    </w:p>
    <w:p w14:paraId="127E1FA4" w14:textId="77777777" w:rsidR="009E0D8B" w:rsidRPr="006924C1" w:rsidRDefault="009E0D8B" w:rsidP="006924C1">
      <w:pPr>
        <w:jc w:val="both"/>
        <w:rPr>
          <w:rFonts w:ascii="Times New Roman" w:hAnsi="Times New Roman" w:cs="Times New Roman"/>
          <w:color w:val="FF0000"/>
          <w:sz w:val="22"/>
          <w:szCs w:val="16"/>
          <w:lang w:val="es-MX"/>
        </w:rPr>
      </w:pPr>
    </w:p>
    <w:p w14:paraId="0B90A3C2" w14:textId="77777777" w:rsidR="00364844" w:rsidRPr="00113A1E" w:rsidRDefault="006924C1" w:rsidP="006924C1">
      <w:pPr>
        <w:pStyle w:val="Ttulo2"/>
        <w:numPr>
          <w:ilvl w:val="1"/>
          <w:numId w:val="12"/>
        </w:numPr>
        <w:spacing w:before="0"/>
        <w:ind w:left="567"/>
        <w:rPr>
          <w:rFonts w:ascii="Times New Roman" w:hAnsi="Times New Roman" w:cs="Times New Roman"/>
          <w:color w:val="FF0000"/>
          <w:sz w:val="24"/>
        </w:rPr>
      </w:pPr>
      <w:bookmarkStart w:id="131" w:name="_Toc32230895"/>
      <w:r w:rsidRPr="006924C1">
        <w:rPr>
          <w:rFonts w:ascii="Times New Roman" w:hAnsi="Times New Roman" w:cs="Times New Roman"/>
          <w:color w:val="auto"/>
          <w:sz w:val="24"/>
        </w:rPr>
        <w:t>Repunte de la ejecución de gasto en 2019</w:t>
      </w:r>
      <w:bookmarkEnd w:id="131"/>
      <w:r w:rsidR="00364844" w:rsidRPr="00113A1E">
        <w:rPr>
          <w:rFonts w:ascii="Times New Roman" w:hAnsi="Times New Roman" w:cs="Times New Roman"/>
          <w:color w:val="FF0000"/>
          <w:sz w:val="24"/>
        </w:rPr>
        <w:t xml:space="preserve"> </w:t>
      </w:r>
    </w:p>
    <w:p w14:paraId="46E70066" w14:textId="77777777" w:rsidR="00364844" w:rsidRPr="00113A1E" w:rsidRDefault="00364844" w:rsidP="00364844">
      <w:pPr>
        <w:rPr>
          <w:color w:val="FF0000"/>
        </w:rPr>
      </w:pPr>
    </w:p>
    <w:p w14:paraId="2707285E" w14:textId="77777777" w:rsid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El gasto público mostró un mayor dinamismo en 2019 como resultado de una mejor gestión por parte de las entidades, aunado a un presupuesto acorde a sus necesidades y con mayor asignación, así como una mejora relativa en los ingresos fiscales, lo que permitió que, para dicho año, la ejecución mostrara crecimientos interanuales importantes en todos los meses, comparado con los cuatro años anteriores, aunque reflejó una desaceleración en la ejecución a lo largo del año, lo cual es producto, como ya se indicó, que en 2018 la ejecución empezó a recuperarse después de los problemas institucionales de los años 2015-2017.</w:t>
      </w:r>
    </w:p>
    <w:p w14:paraId="58A4536C" w14:textId="77777777" w:rsidR="00841B12" w:rsidRPr="006924C1" w:rsidRDefault="00841B12" w:rsidP="006924C1">
      <w:pPr>
        <w:jc w:val="both"/>
        <w:rPr>
          <w:rFonts w:ascii="Times New Roman" w:hAnsi="Times New Roman" w:cs="Times New Roman"/>
          <w:sz w:val="22"/>
          <w:szCs w:val="22"/>
        </w:rPr>
      </w:pPr>
    </w:p>
    <w:p w14:paraId="332135B2" w14:textId="77777777" w:rsid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En efecto, la ejecución de gasto al cierre de 2019 se situó (sin incluir las amortizaciones de deuda pública) en Q79,836.2 millones, con un crecimiento interanual de 9.8%, superior a 2018 y a lo observado en los tres años anteriores.   En enero de 2019 el crecimiento interanual experimentado fue alto ubicándose en 20.7%, debido principalmente al aporte extraordinario al TSE y el primer pago de la alimentación escolar, la cual aumentó en ese año la asignación diaria por estudiante, y la valija didáctica para el personal docente.  En abril, nuevamente se acelera la ejecución de gasto, como resultado del ajuste salarial los ministerios de educación y salud y por el repunte importante en la ejecución de la inversión pública.  Posteriormente se da una desaceleración gradual en donde el efecto de la mayor ejecución en el segundo semestre de 2018, incide en este comportamiento.</w:t>
      </w:r>
    </w:p>
    <w:p w14:paraId="1C15B0E1" w14:textId="77777777" w:rsidR="006924C1" w:rsidRPr="006924C1" w:rsidRDefault="006924C1" w:rsidP="006924C1">
      <w:pPr>
        <w:jc w:val="both"/>
        <w:rPr>
          <w:rFonts w:ascii="Times New Roman" w:hAnsi="Times New Roman" w:cs="Times New Roman"/>
          <w:sz w:val="22"/>
          <w:szCs w:val="22"/>
        </w:rPr>
      </w:pPr>
    </w:p>
    <w:p w14:paraId="072F5898" w14:textId="77777777" w:rsidR="006924C1" w:rsidRPr="006924C1" w:rsidRDefault="006924C1" w:rsidP="006924C1">
      <w:pPr>
        <w:pStyle w:val="Sinespaciado"/>
        <w:jc w:val="center"/>
        <w:rPr>
          <w:rFonts w:ascii="Times New Roman" w:hAnsi="Times New Roman" w:cs="Times New Roman"/>
          <w:b/>
          <w:sz w:val="24"/>
        </w:rPr>
      </w:pPr>
      <w:r w:rsidRPr="006924C1">
        <w:rPr>
          <w:rFonts w:ascii="Times New Roman" w:hAnsi="Times New Roman" w:cs="Times New Roman"/>
          <w:b/>
          <w:sz w:val="24"/>
        </w:rPr>
        <w:t>Ritmo de Gasto Público</w:t>
      </w:r>
    </w:p>
    <w:p w14:paraId="3E66832E" w14:textId="77777777" w:rsidR="006924C1" w:rsidRPr="006924C1" w:rsidRDefault="006924C1" w:rsidP="006924C1">
      <w:pPr>
        <w:pStyle w:val="Sinespaciado"/>
        <w:jc w:val="center"/>
        <w:rPr>
          <w:rFonts w:ascii="Times New Roman" w:hAnsi="Times New Roman" w:cs="Times New Roman"/>
          <w:sz w:val="20"/>
        </w:rPr>
      </w:pPr>
      <w:r w:rsidRPr="006924C1">
        <w:rPr>
          <w:rFonts w:ascii="Times New Roman" w:hAnsi="Times New Roman" w:cs="Times New Roman"/>
          <w:sz w:val="20"/>
        </w:rPr>
        <w:t>Mensual 2015-2019</w:t>
      </w:r>
    </w:p>
    <w:p w14:paraId="7DC34BE1" w14:textId="77777777" w:rsidR="006924C1" w:rsidRPr="006924C1" w:rsidRDefault="006924C1" w:rsidP="006924C1">
      <w:pPr>
        <w:pStyle w:val="Sinespaciado"/>
        <w:jc w:val="center"/>
        <w:rPr>
          <w:rFonts w:ascii="Times New Roman" w:hAnsi="Times New Roman" w:cs="Times New Roman"/>
          <w:sz w:val="20"/>
        </w:rPr>
      </w:pPr>
      <w:r w:rsidRPr="006924C1">
        <w:rPr>
          <w:rFonts w:ascii="Times New Roman" w:hAnsi="Times New Roman" w:cs="Times New Roman"/>
          <w:sz w:val="20"/>
        </w:rPr>
        <w:t>Porcentajes</w:t>
      </w:r>
    </w:p>
    <w:p w14:paraId="48430494" w14:textId="77777777" w:rsidR="006924C1" w:rsidRPr="006924C1" w:rsidRDefault="006924C1" w:rsidP="006924C1">
      <w:pPr>
        <w:jc w:val="center"/>
        <w:rPr>
          <w:rFonts w:ascii="Times New Roman" w:hAnsi="Times New Roman" w:cs="Times New Roman"/>
          <w:sz w:val="22"/>
          <w:szCs w:val="22"/>
        </w:rPr>
      </w:pPr>
      <w:r w:rsidRPr="00FA7929">
        <w:rPr>
          <w:rFonts w:ascii="Times New Roman" w:hAnsi="Times New Roman" w:cs="Times New Roman"/>
          <w:noProof/>
          <w:sz w:val="22"/>
          <w:szCs w:val="22"/>
          <w:shd w:val="clear" w:color="auto" w:fill="548DD4" w:themeFill="text2" w:themeFillTint="99"/>
          <w:lang w:val="es-ES"/>
        </w:rPr>
        <w:drawing>
          <wp:inline distT="0" distB="0" distL="0" distR="0" wp14:anchorId="4BE086E6" wp14:editId="1293C295">
            <wp:extent cx="4595854" cy="2154803"/>
            <wp:effectExtent l="0" t="0" r="0" b="1714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1375C2" w14:textId="77777777" w:rsidR="006924C1" w:rsidRDefault="006924C1" w:rsidP="006924C1">
      <w:pPr>
        <w:pStyle w:val="Sinespaciado"/>
        <w:jc w:val="both"/>
        <w:rPr>
          <w:rFonts w:ascii="Times New Roman" w:hAnsi="Times New Roman" w:cs="Times New Roman"/>
          <w:lang w:val="es-MX"/>
        </w:rPr>
      </w:pPr>
    </w:p>
    <w:p w14:paraId="5B998511" w14:textId="77777777" w:rsidR="006924C1" w:rsidRPr="006924C1" w:rsidRDefault="006924C1" w:rsidP="006924C1">
      <w:pPr>
        <w:pStyle w:val="Sinespaciado"/>
        <w:jc w:val="both"/>
        <w:rPr>
          <w:rFonts w:ascii="Times New Roman" w:hAnsi="Times New Roman" w:cs="Times New Roman"/>
          <w:lang w:val="es-MX"/>
        </w:rPr>
      </w:pPr>
      <w:r w:rsidRPr="006924C1">
        <w:rPr>
          <w:rFonts w:ascii="Times New Roman" w:hAnsi="Times New Roman" w:cs="Times New Roman"/>
          <w:lang w:val="es-MX"/>
        </w:rPr>
        <w:t>A nivel de los diferentes rubros de la cuenta económica del gasto, se puede observar que el rubro de remuneraciones fue el que tuvo el mayor aumento en 2019, esto como resultado de la mejora salarial que se dio en varios ministerios, especialmente educación, al magisterio nacional, los cuales tuvieron un aumento men</w:t>
      </w:r>
      <w:r w:rsidR="0052459C">
        <w:rPr>
          <w:rFonts w:ascii="Times New Roman" w:hAnsi="Times New Roman" w:cs="Times New Roman"/>
          <w:lang w:val="es-MX"/>
        </w:rPr>
        <w:t>sual de Q500.00.  Asimismo, el Ministerio de Salud P</w:t>
      </w:r>
      <w:r w:rsidRPr="006924C1">
        <w:rPr>
          <w:rFonts w:ascii="Times New Roman" w:hAnsi="Times New Roman" w:cs="Times New Roman"/>
          <w:lang w:val="es-MX"/>
        </w:rPr>
        <w:t xml:space="preserve">ública hizo un ajuste salarial de que depende del nivel actual de ingreso, es decir, el aumento es mayor en la medida en que el ingreso de trabajador es más bajo y viceversa, dicho aumento se realizó al personal médico y administrativo.  Además, estas entidades tienen aumentos anuales por concepto de escalafón o por antigüedad, lo que incide anualmente en el volumen de la nómina estatal.  </w:t>
      </w:r>
    </w:p>
    <w:p w14:paraId="2B92C51A" w14:textId="77777777" w:rsidR="006924C1" w:rsidRPr="006924C1" w:rsidRDefault="006924C1" w:rsidP="006924C1">
      <w:pPr>
        <w:pStyle w:val="Sinespaciado"/>
        <w:jc w:val="both"/>
        <w:rPr>
          <w:rFonts w:ascii="Times New Roman" w:hAnsi="Times New Roman" w:cs="Times New Roman"/>
          <w:lang w:val="es-MX"/>
        </w:rPr>
      </w:pPr>
    </w:p>
    <w:p w14:paraId="38A04DD0" w14:textId="77777777" w:rsidR="006924C1" w:rsidRPr="006924C1" w:rsidRDefault="006924C1" w:rsidP="006924C1">
      <w:pPr>
        <w:pStyle w:val="Sinespaciado"/>
        <w:jc w:val="both"/>
        <w:rPr>
          <w:rFonts w:ascii="Times New Roman" w:hAnsi="Times New Roman" w:cs="Times New Roman"/>
          <w:lang w:val="es-MX"/>
        </w:rPr>
      </w:pPr>
      <w:r w:rsidRPr="006924C1">
        <w:rPr>
          <w:rFonts w:ascii="Times New Roman" w:hAnsi="Times New Roman" w:cs="Times New Roman"/>
          <w:lang w:val="es-MX"/>
        </w:rPr>
        <w:lastRenderedPageBreak/>
        <w:t>Por su parte, se otorgó aumento salarial en el Ministerio de Gobernación de Q1</w:t>
      </w:r>
      <w:r w:rsidR="00383E04">
        <w:rPr>
          <w:rFonts w:ascii="Times New Roman" w:hAnsi="Times New Roman" w:cs="Times New Roman"/>
          <w:lang w:val="es-MX"/>
        </w:rPr>
        <w:t>,000</w:t>
      </w:r>
      <w:r w:rsidRPr="006924C1">
        <w:rPr>
          <w:rFonts w:ascii="Times New Roman" w:hAnsi="Times New Roman" w:cs="Times New Roman"/>
          <w:lang w:val="es-MX"/>
        </w:rPr>
        <w:t xml:space="preserve"> para los agentes de policía</w:t>
      </w:r>
      <w:r w:rsidR="00082E65">
        <w:rPr>
          <w:rFonts w:ascii="Times New Roman" w:hAnsi="Times New Roman" w:cs="Times New Roman"/>
          <w:lang w:val="es-MX"/>
        </w:rPr>
        <w:t>, los inspectores recibieron Q1,</w:t>
      </w:r>
      <w:r w:rsidRPr="006924C1">
        <w:rPr>
          <w:rFonts w:ascii="Times New Roman" w:hAnsi="Times New Roman" w:cs="Times New Roman"/>
          <w:lang w:val="es-MX"/>
        </w:rPr>
        <w:t>300 y para otros cargos superiores como el de director general el incremento fue de Q7</w:t>
      </w:r>
      <w:r w:rsidR="00082E65">
        <w:rPr>
          <w:rFonts w:ascii="Times New Roman" w:hAnsi="Times New Roman" w:cs="Times New Roman"/>
          <w:lang w:val="es-MX"/>
        </w:rPr>
        <w:t>,</w:t>
      </w:r>
      <w:r w:rsidRPr="006924C1">
        <w:rPr>
          <w:rFonts w:ascii="Times New Roman" w:hAnsi="Times New Roman" w:cs="Times New Roman"/>
          <w:lang w:val="es-MX"/>
        </w:rPr>
        <w:t>500.</w:t>
      </w:r>
    </w:p>
    <w:p w14:paraId="78D5F675" w14:textId="77777777" w:rsidR="006924C1" w:rsidRPr="006924C1" w:rsidRDefault="006924C1" w:rsidP="006924C1">
      <w:pPr>
        <w:pStyle w:val="Sinespaciado"/>
        <w:jc w:val="both"/>
        <w:rPr>
          <w:rFonts w:ascii="Times New Roman" w:hAnsi="Times New Roman" w:cs="Times New Roman"/>
          <w:lang w:val="es-MX"/>
        </w:rPr>
      </w:pPr>
    </w:p>
    <w:p w14:paraId="435CD4CC" w14:textId="77777777" w:rsidR="006924C1" w:rsidRPr="006924C1" w:rsidRDefault="006924C1" w:rsidP="006924C1">
      <w:pPr>
        <w:pStyle w:val="Sinespaciado"/>
        <w:jc w:val="both"/>
        <w:rPr>
          <w:rFonts w:ascii="Times New Roman" w:hAnsi="Times New Roman" w:cs="Times New Roman"/>
          <w:lang w:val="es-MX"/>
        </w:rPr>
      </w:pPr>
      <w:r w:rsidRPr="006924C1">
        <w:rPr>
          <w:rFonts w:ascii="Times New Roman" w:hAnsi="Times New Roman" w:cs="Times New Roman"/>
          <w:lang w:val="es-MX"/>
        </w:rPr>
        <w:t>De esa cuenta, el nivel de las remuneraciones en 2019, se situaron en Q26,035.5 millones, con un aumento con respecto a 2018 de 2,740.7 millones (11.8%) muy por encima del crecimiento nominal de la economía y de la inflación (6.6% y 3.4% respectivamente).</w:t>
      </w:r>
    </w:p>
    <w:p w14:paraId="5B5C7E55" w14:textId="77777777" w:rsidR="006924C1" w:rsidRPr="006924C1" w:rsidRDefault="006924C1" w:rsidP="006924C1">
      <w:pPr>
        <w:pStyle w:val="Sinespaciado"/>
        <w:jc w:val="both"/>
        <w:rPr>
          <w:rFonts w:ascii="Times New Roman" w:hAnsi="Times New Roman" w:cs="Times New Roman"/>
          <w:lang w:val="es-MX"/>
        </w:rPr>
      </w:pPr>
    </w:p>
    <w:p w14:paraId="0667761F" w14:textId="77777777" w:rsid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 xml:space="preserve">El otro rubro que mostró un aumento importante fueron los intereses de la deuda pública, los cuales aumentaron Q1,206.3 millones más que lo observado en 2018, es importante señalar acá que, el principal aumento se dio en los intereses de deuda interna que aumentaron Q770.4 millones, influenciado por un mayor pago de vencimiento en dicho año que ejerce presión en un pago adicional de intereses, además del aumento en las colocaciones de Bonos del Tesoro.  Asimismo, los intereses por deuda externa aumentaron en 2019 Q435.9 millones, derivado de la colocación de Eurobonos, colocación que no se efectuó en 2018 y esto aumenta el pago de intereses, además en promedio el tipo de cambio sufrió una depreciación lo que igualmente provoca que el pago de intereses con moneda extranjera aumente. </w:t>
      </w:r>
    </w:p>
    <w:p w14:paraId="4A2B44AC" w14:textId="77777777" w:rsidR="006924C1" w:rsidRPr="006924C1" w:rsidRDefault="006924C1" w:rsidP="006924C1">
      <w:pPr>
        <w:jc w:val="both"/>
        <w:rPr>
          <w:rFonts w:ascii="Times New Roman" w:hAnsi="Times New Roman" w:cs="Times New Roman"/>
          <w:sz w:val="22"/>
          <w:szCs w:val="22"/>
        </w:rPr>
      </w:pPr>
    </w:p>
    <w:p w14:paraId="78F66A46" w14:textId="77777777" w:rsidR="006924C1" w:rsidRPr="006924C1" w:rsidRDefault="006924C1" w:rsidP="006924C1">
      <w:pPr>
        <w:pStyle w:val="Sinespaciado"/>
        <w:jc w:val="center"/>
        <w:rPr>
          <w:rFonts w:ascii="Times New Roman" w:hAnsi="Times New Roman" w:cs="Times New Roman"/>
          <w:b/>
          <w:sz w:val="24"/>
        </w:rPr>
      </w:pPr>
      <w:r w:rsidRPr="006924C1">
        <w:rPr>
          <w:rFonts w:ascii="Times New Roman" w:hAnsi="Times New Roman" w:cs="Times New Roman"/>
          <w:b/>
          <w:sz w:val="24"/>
        </w:rPr>
        <w:t>Ejecución por rubro de Cuenta Económica</w:t>
      </w:r>
    </w:p>
    <w:p w14:paraId="2057FFEF" w14:textId="77777777" w:rsidR="006924C1" w:rsidRPr="006924C1" w:rsidRDefault="006924C1" w:rsidP="006924C1">
      <w:pPr>
        <w:pStyle w:val="Sinespaciado"/>
        <w:jc w:val="center"/>
        <w:rPr>
          <w:rFonts w:ascii="Times New Roman" w:hAnsi="Times New Roman" w:cs="Times New Roman"/>
          <w:sz w:val="20"/>
        </w:rPr>
      </w:pPr>
      <w:r w:rsidRPr="006924C1">
        <w:rPr>
          <w:rFonts w:ascii="Times New Roman" w:hAnsi="Times New Roman" w:cs="Times New Roman"/>
          <w:sz w:val="20"/>
        </w:rPr>
        <w:t>2019 – 2018</w:t>
      </w:r>
    </w:p>
    <w:p w14:paraId="6B023B14" w14:textId="77777777" w:rsidR="006924C1" w:rsidRPr="006924C1" w:rsidRDefault="006924C1" w:rsidP="006924C1">
      <w:pPr>
        <w:pStyle w:val="Sinespaciado"/>
        <w:jc w:val="center"/>
        <w:rPr>
          <w:rFonts w:ascii="Times New Roman" w:hAnsi="Times New Roman" w:cs="Times New Roman"/>
          <w:sz w:val="20"/>
        </w:rPr>
      </w:pPr>
      <w:r w:rsidRPr="006924C1">
        <w:rPr>
          <w:rFonts w:ascii="Times New Roman" w:hAnsi="Times New Roman" w:cs="Times New Roman"/>
          <w:sz w:val="20"/>
        </w:rPr>
        <w:t>Variación absoluta interanual</w:t>
      </w:r>
      <w:r w:rsidRPr="00FA7929">
        <w:rPr>
          <w:rFonts w:ascii="Times New Roman" w:hAnsi="Times New Roman" w:cs="Times New Roman"/>
          <w:noProof/>
          <w:shd w:val="clear" w:color="auto" w:fill="D6E3BC" w:themeFill="accent3" w:themeFillTint="66"/>
          <w:lang w:val="es-ES" w:eastAsia="es-ES"/>
        </w:rPr>
        <w:drawing>
          <wp:inline distT="0" distB="0" distL="0" distR="0" wp14:anchorId="50A3A1B5" wp14:editId="376F08AC">
            <wp:extent cx="4898003" cy="2289976"/>
            <wp:effectExtent l="0" t="0" r="0" b="1524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A16480" w14:textId="77777777" w:rsidR="006924C1" w:rsidRDefault="006924C1" w:rsidP="006924C1">
      <w:pPr>
        <w:jc w:val="both"/>
        <w:rPr>
          <w:rFonts w:ascii="Times New Roman" w:hAnsi="Times New Roman" w:cs="Times New Roman"/>
          <w:sz w:val="22"/>
          <w:szCs w:val="22"/>
        </w:rPr>
      </w:pPr>
    </w:p>
    <w:p w14:paraId="7D99749D" w14:textId="77777777" w:rsid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La inversión real directa nuevamente fue uno de los propulsores en la ejecución de 2019, su ejecución, se ubicó en Q4,968.0 millones, con un aumento interanual de Q1,082.2 millones, en este caso fue muy importante la ejecución del Ministerio de Comunicaciones, Infraestructura y Vivienda para ampliaciones, mejoramientos, construcciones y reposiciones de carreteras y puentes en varios lugares del territorio nacional.   A pesar que el aumento fue significativo en 2019, fue menor a lo observado en 2018 (Q1,793.6 millones) debido a que en los años 2016-2017 la inversión estuvo muy deprimida por los problemas en la realización de eventos de licitación y adjudicación de proyecto de infraestructura.</w:t>
      </w:r>
    </w:p>
    <w:p w14:paraId="031B9D61" w14:textId="77777777" w:rsidR="006924C1" w:rsidRPr="006924C1" w:rsidRDefault="006924C1" w:rsidP="006924C1">
      <w:pPr>
        <w:jc w:val="both"/>
        <w:rPr>
          <w:rFonts w:ascii="Times New Roman" w:hAnsi="Times New Roman" w:cs="Times New Roman"/>
          <w:sz w:val="22"/>
          <w:szCs w:val="22"/>
        </w:rPr>
      </w:pPr>
    </w:p>
    <w:p w14:paraId="55714CE8" w14:textId="77777777" w:rsid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En las transferencias de capital también se observa un aumento de Q879 millones en 2019, lo que hace junto con la inversión real directa apuntalar el gasto de capital del gobierno en este año.  Este comportamiento en las transferencias de capital se debió principalmente al aumento en el aporte a las municipalidades del país debido a la mayor asignación presupuestaria producto una estimación optimista de recaudación tributaria prevista en el presupuesto de ese año.</w:t>
      </w:r>
    </w:p>
    <w:p w14:paraId="76A042BD" w14:textId="77777777" w:rsidR="006924C1" w:rsidRPr="006924C1" w:rsidRDefault="006924C1" w:rsidP="006924C1">
      <w:pPr>
        <w:jc w:val="both"/>
        <w:rPr>
          <w:rFonts w:ascii="Times New Roman" w:hAnsi="Times New Roman" w:cs="Times New Roman"/>
          <w:sz w:val="22"/>
          <w:szCs w:val="22"/>
        </w:rPr>
      </w:pPr>
    </w:p>
    <w:p w14:paraId="7D2D3110" w14:textId="77777777" w:rsid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 xml:space="preserve">Por su parte, las transferencias corrientes también mostraron un aumento (Q499.4 millones) las cuales están influenciadas por las realizadas al sector privado, resaltando en este caso, del aumento en el aporte </w:t>
      </w:r>
      <w:r w:rsidRPr="006924C1">
        <w:rPr>
          <w:rFonts w:ascii="Times New Roman" w:hAnsi="Times New Roman" w:cs="Times New Roman"/>
          <w:sz w:val="22"/>
          <w:szCs w:val="22"/>
        </w:rPr>
        <w:lastRenderedPageBreak/>
        <w:t>diario a las asociaciones de padres de familia derivado del aumento al programa de alimentación escolar, el cual para 2019 ascendió a Q4.00 diarios.</w:t>
      </w:r>
    </w:p>
    <w:p w14:paraId="49C01BF0" w14:textId="77777777" w:rsidR="006924C1" w:rsidRPr="006924C1" w:rsidRDefault="006924C1" w:rsidP="006924C1">
      <w:pPr>
        <w:jc w:val="both"/>
        <w:rPr>
          <w:rFonts w:ascii="Times New Roman" w:hAnsi="Times New Roman" w:cs="Times New Roman"/>
          <w:sz w:val="22"/>
          <w:szCs w:val="22"/>
        </w:rPr>
      </w:pPr>
    </w:p>
    <w:p w14:paraId="69FC9A08" w14:textId="77777777" w:rsid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 xml:space="preserve">Por otro lado, las prestaciones a la seguridad social, que incluye el pago de pensiones y jubilaciones a los trabajadores del Estado, mostró un aumento interanual en la ejecución de 2019 de Q435.7 millones, mientras que la variación interanual observada en 2008 fue negativa en Q33.9 millones, ambas diferencias se deben principalmente al cambio de registro a nivel de renglón de gasto, situación que se normalizó en 2019, por lo que la variación entre ambos años, una vez ajustada las diferencias, es mucho menor, que es  explicada por al aumento normal en el número de pensionados que se da todos los años, tomando en cuenta que en este año no hubo incremento en el valor de las pensiones.  </w:t>
      </w:r>
    </w:p>
    <w:p w14:paraId="1AAE0890" w14:textId="77777777" w:rsidR="006924C1" w:rsidRPr="006924C1" w:rsidRDefault="006924C1" w:rsidP="006924C1">
      <w:pPr>
        <w:jc w:val="both"/>
        <w:rPr>
          <w:rFonts w:ascii="Times New Roman" w:hAnsi="Times New Roman" w:cs="Times New Roman"/>
          <w:sz w:val="22"/>
          <w:szCs w:val="22"/>
        </w:rPr>
      </w:pPr>
    </w:p>
    <w:p w14:paraId="218B461E" w14:textId="77777777" w:rsidR="00364844" w:rsidRDefault="006924C1" w:rsidP="00364844">
      <w:pPr>
        <w:jc w:val="both"/>
        <w:rPr>
          <w:rFonts w:ascii="Times New Roman" w:hAnsi="Times New Roman" w:cs="Times New Roman"/>
          <w:sz w:val="22"/>
          <w:szCs w:val="22"/>
        </w:rPr>
      </w:pPr>
      <w:r w:rsidRPr="006924C1">
        <w:rPr>
          <w:rFonts w:ascii="Times New Roman" w:hAnsi="Times New Roman" w:cs="Times New Roman"/>
          <w:sz w:val="22"/>
          <w:szCs w:val="22"/>
        </w:rPr>
        <w:t>El otro rubro que aumentó en 2019 pero de manera bastante moderada fueron los bienes y servicios, debido en buena medida a la limitación de recursos causado por una recaudación tributaria muy por debajo de la meta presupuestaria y por el aumento en el rubro remuneraciones por las mejoras salariales en varias instituciones.  Esto afectó la ejecución en este rubro que fue sensible por ejemplo en el Ministerio de Comunicaciones, Infraestructura y Vivienda que disminuyó su gasto principalmente en el mantenimiento de obras.  Sin embargo, hubo otras entidades como Salud Pública que incrementó su gasto en bienes y servicios en 9.5%, dicho incremento se destinó a compra de medicamentos, elementos y compuestos químicos (compra de oxigeno), materiales médicos y quirúrgicos, alimentos, arrendamientos y una parte importante también en sentencias judiciales relacionados con demandas laborales. Asimismo, el Ministerio de la Defensa Nacional aumentó su ejecución en 2019 en construcciones militares, combustibles y lubricantes, alimentos y recompensas para seguridad del Estado.</w:t>
      </w:r>
    </w:p>
    <w:p w14:paraId="770DC383" w14:textId="77777777" w:rsidR="006924C1" w:rsidRPr="006924C1" w:rsidRDefault="006924C1" w:rsidP="00364844">
      <w:pPr>
        <w:jc w:val="both"/>
        <w:rPr>
          <w:rFonts w:ascii="Times New Roman" w:hAnsi="Times New Roman" w:cs="Times New Roman"/>
          <w:sz w:val="22"/>
          <w:szCs w:val="22"/>
          <w:lang w:val="es-MX"/>
        </w:rPr>
      </w:pPr>
    </w:p>
    <w:p w14:paraId="661277E4" w14:textId="77777777" w:rsidR="00364844" w:rsidRPr="000D365F" w:rsidRDefault="006924C1" w:rsidP="00EE52DF">
      <w:pPr>
        <w:pStyle w:val="Ttulo2"/>
        <w:numPr>
          <w:ilvl w:val="1"/>
          <w:numId w:val="12"/>
        </w:numPr>
        <w:spacing w:before="0"/>
        <w:ind w:left="567"/>
        <w:rPr>
          <w:rFonts w:ascii="Times New Roman" w:hAnsi="Times New Roman" w:cs="Times New Roman"/>
          <w:color w:val="auto"/>
          <w:sz w:val="24"/>
        </w:rPr>
      </w:pPr>
      <w:bookmarkStart w:id="132" w:name="_Toc32230896"/>
      <w:r w:rsidRPr="000D365F">
        <w:rPr>
          <w:rFonts w:ascii="Times New Roman" w:hAnsi="Times New Roman" w:cs="Times New Roman"/>
          <w:color w:val="auto"/>
          <w:sz w:val="24"/>
        </w:rPr>
        <w:t>Aumento de gastos no esenciales</w:t>
      </w:r>
      <w:bookmarkEnd w:id="132"/>
    </w:p>
    <w:p w14:paraId="6D8E570B" w14:textId="77777777" w:rsidR="00364844" w:rsidRPr="000D365F" w:rsidRDefault="00364844" w:rsidP="00364844"/>
    <w:p w14:paraId="08AE2C72" w14:textId="77777777" w:rsidR="006924C1" w:rsidRDefault="006924C1" w:rsidP="006924C1">
      <w:pPr>
        <w:jc w:val="both"/>
        <w:rPr>
          <w:rFonts w:ascii="Times New Roman" w:hAnsi="Times New Roman" w:cs="Times New Roman"/>
          <w:sz w:val="22"/>
          <w:szCs w:val="22"/>
        </w:rPr>
      </w:pPr>
      <w:r w:rsidRPr="000D365F">
        <w:rPr>
          <w:rFonts w:ascii="Times New Roman" w:hAnsi="Times New Roman" w:cs="Times New Roman"/>
          <w:sz w:val="22"/>
          <w:szCs w:val="22"/>
        </w:rPr>
        <w:t>A pesar que en los años 2017-2019, se recalcaba a las instituciones mantener una política de contención de gasto que buscaba privilegiar el gasto social y productivo, muy por encima del gasto considerado como no esencial, este último tuvo un alto dinamismo, el cual se divide en:  los renglones asociados a contratos de personal temporal (029), contrataciones de servicios</w:t>
      </w:r>
      <w:r w:rsidRPr="006924C1">
        <w:rPr>
          <w:rFonts w:ascii="Times New Roman" w:hAnsi="Times New Roman" w:cs="Times New Roman"/>
          <w:sz w:val="22"/>
          <w:szCs w:val="22"/>
        </w:rPr>
        <w:t xml:space="preserve"> profesionales excluyendo los relacionados a la salud (sub grupo 18), gasto en combustible, viáticos del interior y exterior, y gastos en divulgación e información.</w:t>
      </w:r>
    </w:p>
    <w:p w14:paraId="1CEBD72D" w14:textId="77777777" w:rsidR="006924C1" w:rsidRP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 xml:space="preserve">  </w:t>
      </w:r>
    </w:p>
    <w:p w14:paraId="1EAA90F2" w14:textId="77777777" w:rsidR="006924C1" w:rsidRP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En ese sentido, el gasto no esencial, en su conjunto, tuvo un crecimiento importante en dichos años.  En 2019, el gasto se ubicó en Q3,087.1 millones, con un crecimiento interanual de 13.6% con respecto al cierre de 2018, sobresaliendo entre estos el gasto en el renglón 029 que tuvo una ejecución de Q1,638.9 millones con un crecimiento interanual de 19.3%, en 2016 el gasto en este renglón era de Q857.3 millones.</w:t>
      </w:r>
    </w:p>
    <w:p w14:paraId="10876537" w14:textId="77777777" w:rsidR="006924C1" w:rsidRDefault="006924C1" w:rsidP="006924C1">
      <w:pPr>
        <w:jc w:val="both"/>
        <w:rPr>
          <w:rFonts w:ascii="Times New Roman" w:hAnsi="Times New Roman" w:cs="Times New Roman"/>
          <w:sz w:val="22"/>
          <w:szCs w:val="22"/>
        </w:rPr>
      </w:pPr>
    </w:p>
    <w:p w14:paraId="3542A587" w14:textId="77777777" w:rsidR="006924C1" w:rsidRP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El otro rubro importante es el sub grupo 18, el cual mostró una ejecución de Q1,048.0 millones, con un crecimiento interanual de 7.4%.  El caso de divulgación e información, sin bien el monto es relativamente bajo (Q13.7 millones) con respecto a los rubros indicados anteriormente, la tasa de crecimiento de este, mostró en 2019 un nivel de 32.3%, mientras que la ejecución en 2016 era de apenas Q4.3 millones.</w:t>
      </w:r>
    </w:p>
    <w:p w14:paraId="58D50EDF" w14:textId="77777777" w:rsidR="006924C1" w:rsidRDefault="006924C1" w:rsidP="006924C1">
      <w:pPr>
        <w:jc w:val="both"/>
        <w:rPr>
          <w:rFonts w:ascii="Times New Roman" w:hAnsi="Times New Roman" w:cs="Times New Roman"/>
          <w:sz w:val="22"/>
          <w:szCs w:val="22"/>
        </w:rPr>
      </w:pPr>
    </w:p>
    <w:p w14:paraId="00A87142" w14:textId="77777777" w:rsidR="006924C1" w:rsidRPr="006924C1" w:rsidRDefault="006924C1" w:rsidP="006924C1">
      <w:pPr>
        <w:jc w:val="both"/>
        <w:rPr>
          <w:rFonts w:ascii="Times New Roman" w:hAnsi="Times New Roman" w:cs="Times New Roman"/>
          <w:sz w:val="22"/>
          <w:szCs w:val="22"/>
        </w:rPr>
      </w:pPr>
      <w:r w:rsidRPr="006924C1">
        <w:rPr>
          <w:rFonts w:ascii="Times New Roman" w:hAnsi="Times New Roman" w:cs="Times New Roman"/>
          <w:sz w:val="22"/>
          <w:szCs w:val="22"/>
        </w:rPr>
        <w:t>Merece especial atención el peso que este gasto no esencial tuvo dentro de la ejecución total del gobierno, ya que pasó de 2.9% en 2016 a 3.7% en 2019, los rubros que mostraron mayor crecimiento interanual (2016-2019) son</w:t>
      </w:r>
      <w:r w:rsidR="00C71D5C" w:rsidRPr="006924C1">
        <w:rPr>
          <w:rFonts w:ascii="Times New Roman" w:hAnsi="Times New Roman" w:cs="Times New Roman"/>
          <w:sz w:val="22"/>
          <w:szCs w:val="22"/>
        </w:rPr>
        <w:t>: divulgación</w:t>
      </w:r>
      <w:r w:rsidRPr="006924C1">
        <w:rPr>
          <w:rFonts w:ascii="Times New Roman" w:hAnsi="Times New Roman" w:cs="Times New Roman"/>
          <w:sz w:val="22"/>
          <w:szCs w:val="22"/>
        </w:rPr>
        <w:t xml:space="preserve"> e información (41.1%) y personal 029 (20.9%). </w:t>
      </w:r>
    </w:p>
    <w:p w14:paraId="4998EC82" w14:textId="6FD01BDF" w:rsidR="00E96044" w:rsidRPr="006924C1" w:rsidRDefault="00E96044" w:rsidP="006924C1">
      <w:pPr>
        <w:jc w:val="both"/>
        <w:rPr>
          <w:rFonts w:ascii="Times New Roman" w:hAnsi="Times New Roman" w:cs="Times New Roman"/>
          <w:sz w:val="22"/>
          <w:szCs w:val="22"/>
        </w:rPr>
      </w:pPr>
    </w:p>
    <w:p w14:paraId="0AB62646" w14:textId="77777777" w:rsidR="006924C1" w:rsidRPr="00795274" w:rsidRDefault="00795274" w:rsidP="00795274">
      <w:pPr>
        <w:pStyle w:val="Sinespaciado"/>
        <w:jc w:val="center"/>
        <w:rPr>
          <w:rFonts w:ascii="Times New Roman" w:hAnsi="Times New Roman" w:cs="Times New Roman"/>
          <w:b/>
        </w:rPr>
      </w:pPr>
      <w:r>
        <w:rPr>
          <w:rFonts w:ascii="Times New Roman" w:hAnsi="Times New Roman" w:cs="Times New Roman"/>
          <w:b/>
        </w:rPr>
        <w:t>Gastos No Esenciales 2016</w:t>
      </w:r>
      <w:r w:rsidR="006924C1" w:rsidRPr="00795274">
        <w:rPr>
          <w:rFonts w:ascii="Times New Roman" w:hAnsi="Times New Roman" w:cs="Times New Roman"/>
          <w:b/>
        </w:rPr>
        <w:t>-2019</w:t>
      </w:r>
    </w:p>
    <w:p w14:paraId="08E70641" w14:textId="77777777" w:rsidR="006924C1" w:rsidRPr="00795274" w:rsidRDefault="006924C1" w:rsidP="006924C1">
      <w:pPr>
        <w:pStyle w:val="Sinespaciado"/>
        <w:jc w:val="center"/>
        <w:rPr>
          <w:rFonts w:ascii="Times New Roman" w:hAnsi="Times New Roman" w:cs="Times New Roman"/>
          <w:sz w:val="20"/>
        </w:rPr>
      </w:pPr>
      <w:r w:rsidRPr="00795274">
        <w:rPr>
          <w:rFonts w:ascii="Times New Roman" w:hAnsi="Times New Roman" w:cs="Times New Roman"/>
          <w:sz w:val="20"/>
        </w:rPr>
        <w:t>Millones de quetzales</w:t>
      </w:r>
    </w:p>
    <w:p w14:paraId="21E78F48" w14:textId="77777777" w:rsidR="006924C1" w:rsidRPr="006924C1" w:rsidRDefault="006924C1" w:rsidP="006924C1">
      <w:pPr>
        <w:jc w:val="center"/>
        <w:rPr>
          <w:rFonts w:ascii="Times New Roman" w:hAnsi="Times New Roman" w:cs="Times New Roman"/>
          <w:sz w:val="22"/>
          <w:szCs w:val="22"/>
        </w:rPr>
      </w:pPr>
      <w:r w:rsidRPr="00FA7929">
        <w:rPr>
          <w:rFonts w:ascii="Times New Roman" w:hAnsi="Times New Roman" w:cs="Times New Roman"/>
          <w:noProof/>
          <w:sz w:val="22"/>
          <w:szCs w:val="22"/>
          <w:shd w:val="clear" w:color="auto" w:fill="4F81BD" w:themeFill="accent1"/>
          <w:lang w:val="es-ES"/>
        </w:rPr>
        <w:lastRenderedPageBreak/>
        <w:drawing>
          <wp:inline distT="0" distB="0" distL="0" distR="0" wp14:anchorId="2853D018" wp14:editId="3262F96B">
            <wp:extent cx="5152445" cy="2926080"/>
            <wp:effectExtent l="0" t="0" r="0" b="762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708251" w14:textId="77777777" w:rsidR="00364844" w:rsidRPr="006924C1" w:rsidRDefault="006924C1" w:rsidP="006924C1">
      <w:pPr>
        <w:ind w:left="708" w:firstLine="708"/>
        <w:jc w:val="both"/>
        <w:rPr>
          <w:rFonts w:ascii="Times New Roman" w:hAnsi="Times New Roman" w:cs="Times New Roman"/>
          <w:color w:val="FF0000"/>
          <w:sz w:val="16"/>
          <w:szCs w:val="22"/>
          <w:lang w:val="es-MX"/>
        </w:rPr>
      </w:pPr>
      <w:r w:rsidRPr="006924C1">
        <w:rPr>
          <w:rFonts w:ascii="Times New Roman" w:hAnsi="Times New Roman" w:cs="Times New Roman"/>
          <w:sz w:val="16"/>
          <w:szCs w:val="22"/>
        </w:rPr>
        <w:t>Fuente: DAPF</w:t>
      </w:r>
    </w:p>
    <w:p w14:paraId="36442A01" w14:textId="77777777" w:rsidR="00DD5841" w:rsidRPr="00113A1E" w:rsidRDefault="00DD5841" w:rsidP="00DD5841">
      <w:pPr>
        <w:jc w:val="both"/>
        <w:rPr>
          <w:rFonts w:ascii="Times New Roman" w:hAnsi="Times New Roman" w:cs="Times New Roman"/>
          <w:color w:val="FF0000"/>
          <w:lang w:val="es-MX"/>
        </w:rPr>
      </w:pPr>
    </w:p>
    <w:p w14:paraId="700C3443" w14:textId="77777777" w:rsidR="005460B1" w:rsidRPr="00EE52DF" w:rsidRDefault="000D365F" w:rsidP="00EE52DF">
      <w:pPr>
        <w:pStyle w:val="Ttulo2"/>
        <w:numPr>
          <w:ilvl w:val="1"/>
          <w:numId w:val="12"/>
        </w:numPr>
        <w:spacing w:before="0"/>
        <w:ind w:left="567"/>
        <w:rPr>
          <w:rFonts w:ascii="Times New Roman" w:hAnsi="Times New Roman" w:cs="Times New Roman"/>
          <w:color w:val="auto"/>
          <w:sz w:val="24"/>
        </w:rPr>
      </w:pPr>
      <w:bookmarkStart w:id="133" w:name="_Toc32230897"/>
      <w:r>
        <w:rPr>
          <w:rFonts w:ascii="Times New Roman" w:hAnsi="Times New Roman" w:cs="Times New Roman"/>
          <w:color w:val="auto"/>
          <w:sz w:val="24"/>
        </w:rPr>
        <w:t xml:space="preserve">Aumento </w:t>
      </w:r>
      <w:r w:rsidR="00EE52DF" w:rsidRPr="00EE52DF">
        <w:rPr>
          <w:rFonts w:ascii="Times New Roman" w:hAnsi="Times New Roman" w:cs="Times New Roman"/>
          <w:color w:val="auto"/>
          <w:sz w:val="24"/>
        </w:rPr>
        <w:t>del gasto social</w:t>
      </w:r>
      <w:r>
        <w:rPr>
          <w:rFonts w:ascii="Times New Roman" w:hAnsi="Times New Roman" w:cs="Times New Roman"/>
          <w:color w:val="auto"/>
          <w:sz w:val="24"/>
        </w:rPr>
        <w:t xml:space="preserve"> se asocia a aumento salarial</w:t>
      </w:r>
      <w:bookmarkEnd w:id="133"/>
    </w:p>
    <w:p w14:paraId="1F3DEE9F" w14:textId="77777777" w:rsidR="00EE52DF" w:rsidRPr="00EE52DF" w:rsidRDefault="00EE52DF" w:rsidP="00EE52DF">
      <w:pPr>
        <w:rPr>
          <w:sz w:val="22"/>
          <w:lang w:val="es-MX" w:eastAsia="en-US"/>
        </w:rPr>
      </w:pPr>
    </w:p>
    <w:p w14:paraId="25F7FC0A" w14:textId="77777777" w:rsidR="00EE52DF" w:rsidRDefault="00EE52DF" w:rsidP="00EE52DF">
      <w:pPr>
        <w:jc w:val="both"/>
        <w:rPr>
          <w:rFonts w:ascii="Times New Roman" w:hAnsi="Times New Roman" w:cs="Times New Roman"/>
          <w:sz w:val="22"/>
        </w:rPr>
      </w:pPr>
      <w:r w:rsidRPr="00EE52DF">
        <w:rPr>
          <w:rFonts w:ascii="Times New Roman" w:hAnsi="Times New Roman" w:cs="Times New Roman"/>
          <w:sz w:val="22"/>
        </w:rPr>
        <w:t xml:space="preserve">El gasto social entendido como el gasto sectorial de los Acuerdos de Paz, orientados a los sectores de salud y asistencia social, educación, ciencia y cultura, y vivienda, mostraron en su conjunto, una ejecución de Q32,435.7 millones, con un crecimiento interanual de 12.9%, el cual es superior al crecimiento observado en 2018 el cual fue de 10.3%, el sector que tuvo mayor dinamismo fue vivienda, crecimiento interanual de 67.7%, debido al mejor desempeño que tuvo FOPAVI en 2019 derivado de los subsidios que otorga esta institución y por la atención de calamidad pública derivado de la erupción del Volcán de Fuego. </w:t>
      </w:r>
    </w:p>
    <w:p w14:paraId="358CE0E7" w14:textId="77777777" w:rsidR="00EE52DF" w:rsidRPr="00EE52DF" w:rsidRDefault="00EE52DF" w:rsidP="00EE52DF">
      <w:pPr>
        <w:jc w:val="both"/>
        <w:rPr>
          <w:rFonts w:ascii="Times New Roman" w:hAnsi="Times New Roman" w:cs="Times New Roman"/>
          <w:sz w:val="22"/>
        </w:rPr>
      </w:pPr>
      <w:r w:rsidRPr="00EE52DF">
        <w:rPr>
          <w:rFonts w:ascii="Times New Roman" w:hAnsi="Times New Roman" w:cs="Times New Roman"/>
          <w:sz w:val="22"/>
        </w:rPr>
        <w:t xml:space="preserve"> </w:t>
      </w:r>
    </w:p>
    <w:p w14:paraId="789CCC84" w14:textId="77777777" w:rsidR="00EE52DF" w:rsidRPr="00EE52DF" w:rsidRDefault="00EE52DF" w:rsidP="00EE52DF">
      <w:pPr>
        <w:jc w:val="both"/>
        <w:rPr>
          <w:rFonts w:ascii="Times New Roman" w:hAnsi="Times New Roman" w:cs="Times New Roman"/>
          <w:sz w:val="22"/>
        </w:rPr>
      </w:pPr>
      <w:r w:rsidRPr="00EE52DF">
        <w:rPr>
          <w:rFonts w:ascii="Times New Roman" w:hAnsi="Times New Roman" w:cs="Times New Roman"/>
          <w:sz w:val="22"/>
        </w:rPr>
        <w:t xml:space="preserve">Asimismo, el sector salud y asistencia social, también mostró un alto crecimiento interanual de 17.8%, asociado principalmente al ajuste salarial que se dio al personal médico y administrativo de dicha entidad.  Por su parte, el sector educación que si bien mostró un menor crecimiento al observado en los otros sectores fue de 9.7%, muy parecido al crecimiento que experimentó el total de la administración central. </w:t>
      </w:r>
    </w:p>
    <w:p w14:paraId="325ED28C" w14:textId="77777777" w:rsidR="00EE52DF" w:rsidRDefault="00EE52DF" w:rsidP="00EE52DF">
      <w:pPr>
        <w:jc w:val="both"/>
        <w:rPr>
          <w:rFonts w:ascii="Times New Roman" w:hAnsi="Times New Roman" w:cs="Times New Roman"/>
          <w:sz w:val="22"/>
        </w:rPr>
      </w:pPr>
    </w:p>
    <w:p w14:paraId="7AC02297" w14:textId="77777777" w:rsidR="00EE52DF" w:rsidRPr="00EE52DF" w:rsidRDefault="00EE52DF" w:rsidP="00EE52DF">
      <w:pPr>
        <w:jc w:val="both"/>
        <w:rPr>
          <w:rFonts w:ascii="Times New Roman" w:hAnsi="Times New Roman" w:cs="Times New Roman"/>
          <w:sz w:val="22"/>
        </w:rPr>
      </w:pPr>
      <w:r w:rsidRPr="00EE52DF">
        <w:rPr>
          <w:rFonts w:ascii="Times New Roman" w:hAnsi="Times New Roman" w:cs="Times New Roman"/>
          <w:sz w:val="22"/>
        </w:rPr>
        <w:t xml:space="preserve">En lo que respecta a los otros componentes del gasto de los Acuerdos de Paz, que comprende el gasto en seguridad interna y las transferencias al Organismo Judicial, Corte de Constitucionalidad y Ministerio Público, en su conjunto mostraron una ejecución de Q8,806.1 millones, la cual muestra una variación negativa de 3.6%, principalmente asociado a la baja ejecución que mostró el sector de seguridad interna asociada al Ministerio de Gobernación.   </w:t>
      </w:r>
    </w:p>
    <w:p w14:paraId="37FC03FA" w14:textId="77777777" w:rsidR="00EE52DF" w:rsidRDefault="00EE52DF" w:rsidP="00EE52DF">
      <w:pPr>
        <w:jc w:val="both"/>
        <w:rPr>
          <w:rFonts w:ascii="Times New Roman" w:hAnsi="Times New Roman" w:cs="Times New Roman"/>
          <w:sz w:val="22"/>
        </w:rPr>
      </w:pPr>
    </w:p>
    <w:p w14:paraId="5A3150E1" w14:textId="77777777" w:rsidR="00EE52DF" w:rsidRPr="00795274" w:rsidRDefault="00EE52DF" w:rsidP="00795274">
      <w:pPr>
        <w:jc w:val="both"/>
        <w:rPr>
          <w:rFonts w:ascii="Times New Roman" w:hAnsi="Times New Roman" w:cs="Times New Roman"/>
          <w:sz w:val="22"/>
        </w:rPr>
      </w:pPr>
      <w:r w:rsidRPr="00EE52DF">
        <w:rPr>
          <w:rFonts w:ascii="Times New Roman" w:hAnsi="Times New Roman" w:cs="Times New Roman"/>
          <w:sz w:val="22"/>
        </w:rPr>
        <w:t>De esa cuenta, el gasto total de los Acuerdos de Paz se ubicó en Q 41,241.8 millones, con un crecimiento interanual de 8.9% y experimentó un grado de ej</w:t>
      </w:r>
      <w:r w:rsidR="00795274">
        <w:rPr>
          <w:rFonts w:ascii="Times New Roman" w:hAnsi="Times New Roman" w:cs="Times New Roman"/>
          <w:sz w:val="22"/>
        </w:rPr>
        <w:t>ecución presupuestaria de 92.1%</w:t>
      </w:r>
    </w:p>
    <w:p w14:paraId="41DD7CA5" w14:textId="59978BB2" w:rsidR="00E96044" w:rsidRPr="00795274" w:rsidRDefault="00E96044" w:rsidP="003A2B85">
      <w:pPr>
        <w:pStyle w:val="Sinespaciado"/>
        <w:rPr>
          <w:rFonts w:ascii="Times New Roman" w:hAnsi="Times New Roman" w:cs="Times New Roman"/>
          <w:b/>
        </w:rPr>
      </w:pPr>
    </w:p>
    <w:p w14:paraId="6903AB2B" w14:textId="77777777" w:rsidR="00EE52DF" w:rsidRPr="00776B26" w:rsidRDefault="00EE52DF" w:rsidP="00EE52DF">
      <w:pPr>
        <w:pStyle w:val="Sinespaciado"/>
        <w:jc w:val="center"/>
        <w:rPr>
          <w:rFonts w:ascii="Times New Roman" w:hAnsi="Times New Roman" w:cs="Times New Roman"/>
          <w:b/>
          <w:sz w:val="24"/>
        </w:rPr>
      </w:pPr>
      <w:r w:rsidRPr="00776B26">
        <w:rPr>
          <w:rFonts w:ascii="Times New Roman" w:hAnsi="Times New Roman" w:cs="Times New Roman"/>
          <w:b/>
          <w:sz w:val="24"/>
        </w:rPr>
        <w:t>Ejecución del Gasto social y de los Acuerdos de Paz</w:t>
      </w:r>
    </w:p>
    <w:p w14:paraId="4CCA79AC" w14:textId="77777777" w:rsidR="00EE52DF" w:rsidRPr="00EE52DF" w:rsidRDefault="00EE52DF" w:rsidP="00EE52DF">
      <w:pPr>
        <w:pStyle w:val="Sinespaciado"/>
        <w:jc w:val="center"/>
        <w:rPr>
          <w:rFonts w:ascii="Times New Roman" w:hAnsi="Times New Roman" w:cs="Times New Roman"/>
          <w:sz w:val="20"/>
          <w:szCs w:val="20"/>
        </w:rPr>
      </w:pPr>
      <w:r w:rsidRPr="00EE52DF">
        <w:rPr>
          <w:rFonts w:ascii="Times New Roman" w:hAnsi="Times New Roman" w:cs="Times New Roman"/>
          <w:sz w:val="20"/>
          <w:szCs w:val="20"/>
        </w:rPr>
        <w:t>2018 – 2019</w:t>
      </w:r>
    </w:p>
    <w:p w14:paraId="0EAA884A" w14:textId="77777777" w:rsidR="00EE52DF" w:rsidRPr="00EE52DF" w:rsidRDefault="00EE52DF" w:rsidP="00EE52DF">
      <w:pPr>
        <w:pStyle w:val="Sinespaciado"/>
        <w:jc w:val="center"/>
        <w:rPr>
          <w:rFonts w:ascii="Times New Roman" w:hAnsi="Times New Roman" w:cs="Times New Roman"/>
          <w:sz w:val="20"/>
          <w:szCs w:val="20"/>
        </w:rPr>
      </w:pPr>
      <w:r w:rsidRPr="00EE52DF">
        <w:rPr>
          <w:rFonts w:ascii="Times New Roman" w:hAnsi="Times New Roman" w:cs="Times New Roman"/>
          <w:sz w:val="20"/>
          <w:szCs w:val="20"/>
        </w:rPr>
        <w:t>-Millones de quetzales y porcentajes-</w:t>
      </w:r>
    </w:p>
    <w:tbl>
      <w:tblPr>
        <w:tblW w:w="8361" w:type="dxa"/>
        <w:jc w:val="center"/>
        <w:tblCellMar>
          <w:left w:w="70" w:type="dxa"/>
          <w:right w:w="70" w:type="dxa"/>
        </w:tblCellMar>
        <w:tblLook w:val="04A0" w:firstRow="1" w:lastRow="0" w:firstColumn="1" w:lastColumn="0" w:noHBand="0" w:noVBand="1"/>
      </w:tblPr>
      <w:tblGrid>
        <w:gridCol w:w="3138"/>
        <w:gridCol w:w="1293"/>
        <w:gridCol w:w="1134"/>
        <w:gridCol w:w="1302"/>
        <w:gridCol w:w="1494"/>
      </w:tblGrid>
      <w:tr w:rsidR="00EE52DF" w:rsidRPr="00C62747" w14:paraId="12D9AD20" w14:textId="77777777" w:rsidTr="00795274">
        <w:trPr>
          <w:trHeight w:val="289"/>
          <w:jc w:val="center"/>
        </w:trPr>
        <w:tc>
          <w:tcPr>
            <w:tcW w:w="3138" w:type="dxa"/>
            <w:vMerge w:val="restart"/>
            <w:tcBorders>
              <w:top w:val="single" w:sz="8" w:space="0" w:color="auto"/>
              <w:left w:val="single" w:sz="8" w:space="0" w:color="auto"/>
              <w:bottom w:val="single" w:sz="8" w:space="0" w:color="000000"/>
              <w:right w:val="single" w:sz="8" w:space="0" w:color="auto"/>
            </w:tcBorders>
            <w:shd w:val="clear" w:color="auto" w:fill="4F81BD" w:themeFill="accent1"/>
            <w:vAlign w:val="center"/>
            <w:hideMark/>
          </w:tcPr>
          <w:p w14:paraId="3F3B3954" w14:textId="77777777" w:rsidR="00EE52DF" w:rsidRPr="00E96044" w:rsidRDefault="00EE52DF" w:rsidP="00EE52DF">
            <w:pPr>
              <w:jc w:val="center"/>
              <w:rPr>
                <w:rFonts w:ascii="Times New Roman" w:eastAsia="Times New Roman" w:hAnsi="Times New Roman" w:cs="Times New Roman"/>
                <w:b/>
                <w:bCs/>
                <w:color w:val="FFFFFF" w:themeColor="background1"/>
                <w:sz w:val="22"/>
                <w:lang w:eastAsia="es-GT"/>
              </w:rPr>
            </w:pPr>
            <w:r w:rsidRPr="00E96044">
              <w:rPr>
                <w:rFonts w:ascii="Times New Roman" w:eastAsia="Times New Roman" w:hAnsi="Times New Roman" w:cs="Times New Roman"/>
                <w:b/>
                <w:bCs/>
                <w:color w:val="FFFFFF" w:themeColor="background1"/>
                <w:sz w:val="22"/>
                <w:lang w:eastAsia="es-GT"/>
              </w:rPr>
              <w:t>Sector</w:t>
            </w:r>
          </w:p>
        </w:tc>
        <w:tc>
          <w:tcPr>
            <w:tcW w:w="2427" w:type="dxa"/>
            <w:gridSpan w:val="2"/>
            <w:tcBorders>
              <w:top w:val="single" w:sz="8" w:space="0" w:color="auto"/>
              <w:left w:val="nil"/>
              <w:bottom w:val="single" w:sz="8" w:space="0" w:color="auto"/>
              <w:right w:val="single" w:sz="8" w:space="0" w:color="000000"/>
            </w:tcBorders>
            <w:shd w:val="clear" w:color="auto" w:fill="4F81BD" w:themeFill="accent1"/>
            <w:noWrap/>
            <w:vAlign w:val="bottom"/>
            <w:hideMark/>
          </w:tcPr>
          <w:p w14:paraId="5E131911" w14:textId="77777777" w:rsidR="00EE52DF" w:rsidRPr="00E96044" w:rsidRDefault="00EE52DF" w:rsidP="00EE52DF">
            <w:pPr>
              <w:jc w:val="center"/>
              <w:rPr>
                <w:rFonts w:ascii="Times New Roman" w:eastAsia="Times New Roman" w:hAnsi="Times New Roman" w:cs="Times New Roman"/>
                <w:b/>
                <w:bCs/>
                <w:color w:val="FFFFFF" w:themeColor="background1"/>
                <w:sz w:val="22"/>
                <w:lang w:eastAsia="es-GT"/>
              </w:rPr>
            </w:pPr>
            <w:r w:rsidRPr="00E96044">
              <w:rPr>
                <w:rFonts w:ascii="Times New Roman" w:eastAsia="Times New Roman" w:hAnsi="Times New Roman" w:cs="Times New Roman"/>
                <w:b/>
                <w:bCs/>
                <w:color w:val="FFFFFF" w:themeColor="background1"/>
                <w:sz w:val="22"/>
                <w:lang w:eastAsia="es-GT"/>
              </w:rPr>
              <w:t>Ejecución</w:t>
            </w:r>
          </w:p>
        </w:tc>
        <w:tc>
          <w:tcPr>
            <w:tcW w:w="1302" w:type="dxa"/>
            <w:tcBorders>
              <w:top w:val="single" w:sz="8" w:space="0" w:color="auto"/>
              <w:left w:val="nil"/>
              <w:bottom w:val="nil"/>
              <w:right w:val="single" w:sz="8" w:space="0" w:color="auto"/>
            </w:tcBorders>
            <w:shd w:val="clear" w:color="auto" w:fill="4F81BD" w:themeFill="accent1"/>
            <w:noWrap/>
            <w:vAlign w:val="bottom"/>
            <w:hideMark/>
          </w:tcPr>
          <w:p w14:paraId="1DB57AF1" w14:textId="77777777" w:rsidR="00EE52DF" w:rsidRPr="00E96044" w:rsidRDefault="00EE52DF" w:rsidP="00EE52DF">
            <w:pPr>
              <w:jc w:val="center"/>
              <w:rPr>
                <w:rFonts w:ascii="Times New Roman" w:eastAsia="Times New Roman" w:hAnsi="Times New Roman" w:cs="Times New Roman"/>
                <w:b/>
                <w:bCs/>
                <w:color w:val="FFFFFF" w:themeColor="background1"/>
                <w:sz w:val="22"/>
                <w:lang w:eastAsia="es-GT"/>
              </w:rPr>
            </w:pPr>
            <w:r w:rsidRPr="00E96044">
              <w:rPr>
                <w:rFonts w:ascii="Times New Roman" w:eastAsia="Times New Roman" w:hAnsi="Times New Roman" w:cs="Times New Roman"/>
                <w:b/>
                <w:bCs/>
                <w:color w:val="FFFFFF" w:themeColor="background1"/>
                <w:sz w:val="22"/>
                <w:lang w:eastAsia="es-GT"/>
              </w:rPr>
              <w:t>Variación</w:t>
            </w:r>
          </w:p>
        </w:tc>
        <w:tc>
          <w:tcPr>
            <w:tcW w:w="1494" w:type="dxa"/>
            <w:vMerge w:val="restart"/>
            <w:tcBorders>
              <w:top w:val="single" w:sz="8" w:space="0" w:color="auto"/>
              <w:left w:val="single" w:sz="8" w:space="0" w:color="auto"/>
              <w:bottom w:val="single" w:sz="8" w:space="0" w:color="000000"/>
              <w:right w:val="single" w:sz="8" w:space="0" w:color="auto"/>
            </w:tcBorders>
            <w:shd w:val="clear" w:color="auto" w:fill="4F81BD" w:themeFill="accent1"/>
            <w:vAlign w:val="bottom"/>
            <w:hideMark/>
          </w:tcPr>
          <w:p w14:paraId="563A3A41" w14:textId="77777777" w:rsidR="00EE52DF" w:rsidRPr="00E96044" w:rsidRDefault="00EE52DF" w:rsidP="00EE52DF">
            <w:pPr>
              <w:jc w:val="center"/>
              <w:rPr>
                <w:rFonts w:ascii="Times New Roman" w:eastAsia="Times New Roman" w:hAnsi="Times New Roman" w:cs="Times New Roman"/>
                <w:b/>
                <w:bCs/>
                <w:color w:val="FFFFFF" w:themeColor="background1"/>
                <w:sz w:val="22"/>
                <w:lang w:eastAsia="es-GT"/>
              </w:rPr>
            </w:pPr>
            <w:r w:rsidRPr="00E96044">
              <w:rPr>
                <w:rFonts w:ascii="Times New Roman" w:eastAsia="Times New Roman" w:hAnsi="Times New Roman" w:cs="Times New Roman"/>
                <w:b/>
                <w:bCs/>
                <w:color w:val="FFFFFF" w:themeColor="background1"/>
                <w:sz w:val="22"/>
                <w:lang w:eastAsia="es-GT"/>
              </w:rPr>
              <w:t>Grado de Ejecución 2019</w:t>
            </w:r>
          </w:p>
        </w:tc>
      </w:tr>
      <w:tr w:rsidR="00EE52DF" w:rsidRPr="00C62747" w14:paraId="64FF9C24" w14:textId="77777777" w:rsidTr="00EE52DF">
        <w:trPr>
          <w:trHeight w:val="324"/>
          <w:jc w:val="center"/>
        </w:trPr>
        <w:tc>
          <w:tcPr>
            <w:tcW w:w="3138" w:type="dxa"/>
            <w:vMerge/>
            <w:tcBorders>
              <w:top w:val="single" w:sz="8" w:space="0" w:color="auto"/>
              <w:left w:val="single" w:sz="8" w:space="0" w:color="auto"/>
              <w:bottom w:val="single" w:sz="8" w:space="0" w:color="000000"/>
              <w:right w:val="single" w:sz="8" w:space="0" w:color="auto"/>
            </w:tcBorders>
            <w:vAlign w:val="center"/>
            <w:hideMark/>
          </w:tcPr>
          <w:p w14:paraId="43D3727A" w14:textId="77777777" w:rsidR="00EE52DF" w:rsidRPr="00C562B0" w:rsidRDefault="00EE52DF" w:rsidP="00EE52DF">
            <w:pPr>
              <w:rPr>
                <w:rFonts w:ascii="Times New Roman" w:eastAsia="Times New Roman" w:hAnsi="Times New Roman" w:cs="Times New Roman"/>
                <w:b/>
                <w:bCs/>
                <w:color w:val="FFFFFF" w:themeColor="background1"/>
                <w:lang w:eastAsia="es-GT"/>
              </w:rPr>
            </w:pPr>
          </w:p>
        </w:tc>
        <w:tc>
          <w:tcPr>
            <w:tcW w:w="1293" w:type="dxa"/>
            <w:vMerge w:val="restart"/>
            <w:tcBorders>
              <w:top w:val="nil"/>
              <w:left w:val="nil"/>
              <w:bottom w:val="single" w:sz="8" w:space="0" w:color="000000"/>
              <w:right w:val="single" w:sz="4" w:space="0" w:color="auto"/>
            </w:tcBorders>
            <w:shd w:val="clear" w:color="auto" w:fill="4F81BD" w:themeFill="accent1"/>
            <w:noWrap/>
            <w:vAlign w:val="center"/>
            <w:hideMark/>
          </w:tcPr>
          <w:p w14:paraId="21DB8199" w14:textId="77777777" w:rsidR="00EE52DF" w:rsidRPr="00E96044" w:rsidRDefault="00EE52DF" w:rsidP="00EE52DF">
            <w:pPr>
              <w:jc w:val="center"/>
              <w:rPr>
                <w:rFonts w:ascii="Times New Roman" w:eastAsia="Times New Roman" w:hAnsi="Times New Roman" w:cs="Times New Roman"/>
                <w:b/>
                <w:bCs/>
                <w:color w:val="FFFFFF" w:themeColor="background1"/>
                <w:sz w:val="22"/>
                <w:lang w:eastAsia="es-GT"/>
              </w:rPr>
            </w:pPr>
            <w:r w:rsidRPr="00E96044">
              <w:rPr>
                <w:rFonts w:ascii="Times New Roman" w:eastAsia="Times New Roman" w:hAnsi="Times New Roman" w:cs="Times New Roman"/>
                <w:b/>
                <w:bCs/>
                <w:color w:val="FFFFFF" w:themeColor="background1"/>
                <w:sz w:val="22"/>
                <w:lang w:eastAsia="es-GT"/>
              </w:rPr>
              <w:t>2018</w:t>
            </w:r>
          </w:p>
        </w:tc>
        <w:tc>
          <w:tcPr>
            <w:tcW w:w="1133" w:type="dxa"/>
            <w:vMerge w:val="restart"/>
            <w:tcBorders>
              <w:top w:val="nil"/>
              <w:left w:val="nil"/>
              <w:bottom w:val="single" w:sz="8" w:space="0" w:color="000000"/>
              <w:right w:val="single" w:sz="8" w:space="0" w:color="auto"/>
            </w:tcBorders>
            <w:shd w:val="clear" w:color="auto" w:fill="4F81BD" w:themeFill="accent1"/>
            <w:noWrap/>
            <w:vAlign w:val="center"/>
            <w:hideMark/>
          </w:tcPr>
          <w:p w14:paraId="7D0784CC" w14:textId="77777777" w:rsidR="00EE52DF" w:rsidRPr="00E96044" w:rsidRDefault="00EE52DF" w:rsidP="00EE52DF">
            <w:pPr>
              <w:jc w:val="center"/>
              <w:rPr>
                <w:rFonts w:ascii="Times New Roman" w:eastAsia="Times New Roman" w:hAnsi="Times New Roman" w:cs="Times New Roman"/>
                <w:b/>
                <w:bCs/>
                <w:color w:val="FFFFFF" w:themeColor="background1"/>
                <w:sz w:val="22"/>
                <w:lang w:eastAsia="es-GT"/>
              </w:rPr>
            </w:pPr>
            <w:r w:rsidRPr="00E96044">
              <w:rPr>
                <w:rFonts w:ascii="Times New Roman" w:eastAsia="Times New Roman" w:hAnsi="Times New Roman" w:cs="Times New Roman"/>
                <w:b/>
                <w:bCs/>
                <w:color w:val="FFFFFF" w:themeColor="background1"/>
                <w:sz w:val="22"/>
                <w:lang w:eastAsia="es-GT"/>
              </w:rPr>
              <w:t>2019</w:t>
            </w:r>
          </w:p>
        </w:tc>
        <w:tc>
          <w:tcPr>
            <w:tcW w:w="1302" w:type="dxa"/>
            <w:tcBorders>
              <w:top w:val="nil"/>
              <w:left w:val="nil"/>
              <w:bottom w:val="nil"/>
              <w:right w:val="single" w:sz="8" w:space="0" w:color="auto"/>
            </w:tcBorders>
            <w:shd w:val="clear" w:color="auto" w:fill="4F81BD" w:themeFill="accent1"/>
            <w:noWrap/>
            <w:vAlign w:val="center"/>
            <w:hideMark/>
          </w:tcPr>
          <w:p w14:paraId="247E8B7C" w14:textId="77777777" w:rsidR="00EE52DF" w:rsidRPr="00E96044" w:rsidRDefault="00EE52DF" w:rsidP="00EE52DF">
            <w:pPr>
              <w:jc w:val="center"/>
              <w:rPr>
                <w:rFonts w:ascii="Times New Roman" w:eastAsia="Times New Roman" w:hAnsi="Times New Roman" w:cs="Times New Roman"/>
                <w:b/>
                <w:bCs/>
                <w:color w:val="FFFFFF" w:themeColor="background1"/>
                <w:sz w:val="22"/>
                <w:lang w:eastAsia="es-GT"/>
              </w:rPr>
            </w:pPr>
            <w:r w:rsidRPr="00E96044">
              <w:rPr>
                <w:rFonts w:ascii="Times New Roman" w:eastAsia="Times New Roman" w:hAnsi="Times New Roman" w:cs="Times New Roman"/>
                <w:b/>
                <w:bCs/>
                <w:color w:val="FFFFFF" w:themeColor="background1"/>
                <w:sz w:val="22"/>
                <w:lang w:eastAsia="es-GT"/>
              </w:rPr>
              <w:t>Relativa</w:t>
            </w:r>
          </w:p>
        </w:tc>
        <w:tc>
          <w:tcPr>
            <w:tcW w:w="1494" w:type="dxa"/>
            <w:vMerge/>
            <w:tcBorders>
              <w:top w:val="single" w:sz="8" w:space="0" w:color="auto"/>
              <w:left w:val="single" w:sz="8" w:space="0" w:color="auto"/>
              <w:bottom w:val="single" w:sz="8" w:space="0" w:color="000000"/>
              <w:right w:val="single" w:sz="8" w:space="0" w:color="auto"/>
            </w:tcBorders>
            <w:vAlign w:val="center"/>
            <w:hideMark/>
          </w:tcPr>
          <w:p w14:paraId="25B9D3D0" w14:textId="77777777" w:rsidR="00EE52DF" w:rsidRPr="00C562B0" w:rsidRDefault="00EE52DF" w:rsidP="00EE52DF">
            <w:pPr>
              <w:rPr>
                <w:rFonts w:ascii="Times New Roman" w:eastAsia="Times New Roman" w:hAnsi="Times New Roman" w:cs="Times New Roman"/>
                <w:b/>
                <w:bCs/>
                <w:color w:val="FFFFFF" w:themeColor="background1"/>
                <w:lang w:eastAsia="es-GT"/>
              </w:rPr>
            </w:pPr>
          </w:p>
        </w:tc>
      </w:tr>
      <w:tr w:rsidR="00EE52DF" w:rsidRPr="00C62747" w14:paraId="15CAACCA" w14:textId="77777777" w:rsidTr="00795274">
        <w:trPr>
          <w:trHeight w:val="199"/>
          <w:jc w:val="center"/>
        </w:trPr>
        <w:tc>
          <w:tcPr>
            <w:tcW w:w="3138" w:type="dxa"/>
            <w:vMerge/>
            <w:tcBorders>
              <w:top w:val="single" w:sz="8" w:space="0" w:color="auto"/>
              <w:left w:val="single" w:sz="8" w:space="0" w:color="auto"/>
              <w:bottom w:val="single" w:sz="8" w:space="0" w:color="000000"/>
              <w:right w:val="single" w:sz="8" w:space="0" w:color="auto"/>
            </w:tcBorders>
            <w:vAlign w:val="center"/>
            <w:hideMark/>
          </w:tcPr>
          <w:p w14:paraId="3D15F927" w14:textId="77777777" w:rsidR="00EE52DF" w:rsidRPr="00C562B0" w:rsidRDefault="00EE52DF" w:rsidP="00EE52DF">
            <w:pPr>
              <w:rPr>
                <w:rFonts w:ascii="Times New Roman" w:eastAsia="Times New Roman" w:hAnsi="Times New Roman" w:cs="Times New Roman"/>
                <w:b/>
                <w:bCs/>
                <w:color w:val="FFFFFF" w:themeColor="background1"/>
                <w:lang w:eastAsia="es-GT"/>
              </w:rPr>
            </w:pPr>
          </w:p>
        </w:tc>
        <w:tc>
          <w:tcPr>
            <w:tcW w:w="1293" w:type="dxa"/>
            <w:vMerge/>
            <w:tcBorders>
              <w:top w:val="nil"/>
              <w:left w:val="nil"/>
              <w:bottom w:val="single" w:sz="8" w:space="0" w:color="000000"/>
              <w:right w:val="single" w:sz="4" w:space="0" w:color="auto"/>
            </w:tcBorders>
            <w:vAlign w:val="center"/>
            <w:hideMark/>
          </w:tcPr>
          <w:p w14:paraId="0F043279" w14:textId="77777777" w:rsidR="00EE52DF" w:rsidRPr="00E96044" w:rsidRDefault="00EE52DF" w:rsidP="00EE52DF">
            <w:pPr>
              <w:rPr>
                <w:rFonts w:ascii="Times New Roman" w:eastAsia="Times New Roman" w:hAnsi="Times New Roman" w:cs="Times New Roman"/>
                <w:b/>
                <w:bCs/>
                <w:color w:val="FFFFFF" w:themeColor="background1"/>
                <w:sz w:val="22"/>
                <w:lang w:eastAsia="es-GT"/>
              </w:rPr>
            </w:pPr>
          </w:p>
        </w:tc>
        <w:tc>
          <w:tcPr>
            <w:tcW w:w="1133" w:type="dxa"/>
            <w:vMerge/>
            <w:tcBorders>
              <w:top w:val="nil"/>
              <w:left w:val="nil"/>
              <w:bottom w:val="single" w:sz="8" w:space="0" w:color="000000"/>
              <w:right w:val="single" w:sz="8" w:space="0" w:color="auto"/>
            </w:tcBorders>
            <w:vAlign w:val="center"/>
            <w:hideMark/>
          </w:tcPr>
          <w:p w14:paraId="2F11159D" w14:textId="77777777" w:rsidR="00EE52DF" w:rsidRPr="00E96044" w:rsidRDefault="00EE52DF" w:rsidP="00EE52DF">
            <w:pPr>
              <w:rPr>
                <w:rFonts w:ascii="Times New Roman" w:eastAsia="Times New Roman" w:hAnsi="Times New Roman" w:cs="Times New Roman"/>
                <w:b/>
                <w:bCs/>
                <w:color w:val="FFFFFF" w:themeColor="background1"/>
                <w:sz w:val="22"/>
                <w:lang w:eastAsia="es-GT"/>
              </w:rPr>
            </w:pPr>
          </w:p>
        </w:tc>
        <w:tc>
          <w:tcPr>
            <w:tcW w:w="1302" w:type="dxa"/>
            <w:tcBorders>
              <w:top w:val="nil"/>
              <w:left w:val="nil"/>
              <w:bottom w:val="single" w:sz="8" w:space="0" w:color="auto"/>
              <w:right w:val="single" w:sz="8" w:space="0" w:color="auto"/>
            </w:tcBorders>
            <w:shd w:val="clear" w:color="auto" w:fill="4F81BD" w:themeFill="accent1"/>
            <w:noWrap/>
            <w:vAlign w:val="center"/>
            <w:hideMark/>
          </w:tcPr>
          <w:p w14:paraId="3D76F0B7" w14:textId="77777777" w:rsidR="00EE52DF" w:rsidRPr="00E96044" w:rsidRDefault="00EE52DF" w:rsidP="00EE52DF">
            <w:pPr>
              <w:jc w:val="center"/>
              <w:rPr>
                <w:rFonts w:ascii="Times New Roman" w:eastAsia="Times New Roman" w:hAnsi="Times New Roman" w:cs="Times New Roman"/>
                <w:b/>
                <w:bCs/>
                <w:color w:val="FFFFFF" w:themeColor="background1"/>
                <w:sz w:val="22"/>
                <w:lang w:eastAsia="es-GT"/>
              </w:rPr>
            </w:pPr>
            <w:r w:rsidRPr="00E96044">
              <w:rPr>
                <w:rFonts w:ascii="Times New Roman" w:eastAsia="Times New Roman" w:hAnsi="Times New Roman" w:cs="Times New Roman"/>
                <w:b/>
                <w:bCs/>
                <w:color w:val="FFFFFF" w:themeColor="background1"/>
                <w:sz w:val="22"/>
                <w:lang w:eastAsia="es-GT"/>
              </w:rPr>
              <w:t>19-18</w:t>
            </w:r>
          </w:p>
        </w:tc>
        <w:tc>
          <w:tcPr>
            <w:tcW w:w="1494" w:type="dxa"/>
            <w:vMerge/>
            <w:tcBorders>
              <w:top w:val="single" w:sz="8" w:space="0" w:color="auto"/>
              <w:left w:val="single" w:sz="8" w:space="0" w:color="auto"/>
              <w:bottom w:val="single" w:sz="8" w:space="0" w:color="000000"/>
              <w:right w:val="single" w:sz="8" w:space="0" w:color="auto"/>
            </w:tcBorders>
            <w:vAlign w:val="center"/>
            <w:hideMark/>
          </w:tcPr>
          <w:p w14:paraId="16FD7DAA" w14:textId="77777777" w:rsidR="00EE52DF" w:rsidRPr="00C562B0" w:rsidRDefault="00EE52DF" w:rsidP="00EE52DF">
            <w:pPr>
              <w:rPr>
                <w:rFonts w:ascii="Times New Roman" w:eastAsia="Times New Roman" w:hAnsi="Times New Roman" w:cs="Times New Roman"/>
                <w:b/>
                <w:bCs/>
                <w:color w:val="FFFFFF" w:themeColor="background1"/>
                <w:lang w:eastAsia="es-GT"/>
              </w:rPr>
            </w:pPr>
          </w:p>
        </w:tc>
      </w:tr>
      <w:tr w:rsidR="00EE52DF" w:rsidRPr="00C62747" w14:paraId="6984CC7C" w14:textId="77777777" w:rsidTr="00795274">
        <w:trPr>
          <w:trHeight w:val="50"/>
          <w:jc w:val="center"/>
        </w:trPr>
        <w:tc>
          <w:tcPr>
            <w:tcW w:w="3138" w:type="dxa"/>
            <w:tcBorders>
              <w:top w:val="nil"/>
              <w:left w:val="single" w:sz="8" w:space="0" w:color="auto"/>
              <w:bottom w:val="nil"/>
              <w:right w:val="single" w:sz="8" w:space="0" w:color="auto"/>
            </w:tcBorders>
            <w:shd w:val="clear" w:color="000000" w:fill="FFFFFF"/>
            <w:noWrap/>
            <w:vAlign w:val="bottom"/>
          </w:tcPr>
          <w:p w14:paraId="1B53868B" w14:textId="77777777" w:rsidR="00EE52DF" w:rsidRPr="00795274" w:rsidRDefault="00EE52DF" w:rsidP="00EE52DF">
            <w:pPr>
              <w:rPr>
                <w:rFonts w:ascii="Times New Roman" w:eastAsia="Times New Roman" w:hAnsi="Times New Roman" w:cs="Times New Roman"/>
                <w:color w:val="FFFFFF" w:themeColor="background1"/>
                <w:sz w:val="2"/>
                <w:lang w:eastAsia="es-GT"/>
              </w:rPr>
            </w:pPr>
          </w:p>
        </w:tc>
        <w:tc>
          <w:tcPr>
            <w:tcW w:w="1293" w:type="dxa"/>
            <w:tcBorders>
              <w:top w:val="nil"/>
              <w:left w:val="nil"/>
              <w:bottom w:val="nil"/>
              <w:right w:val="single" w:sz="4" w:space="0" w:color="auto"/>
            </w:tcBorders>
            <w:shd w:val="clear" w:color="000000" w:fill="FFFFFF"/>
            <w:noWrap/>
            <w:vAlign w:val="bottom"/>
            <w:hideMark/>
          </w:tcPr>
          <w:p w14:paraId="6E5D4F12" w14:textId="77777777" w:rsidR="00EE52DF" w:rsidRPr="00795274" w:rsidRDefault="00EE52DF" w:rsidP="00795274">
            <w:pPr>
              <w:rPr>
                <w:rFonts w:ascii="Times New Roman" w:eastAsia="Times New Roman" w:hAnsi="Times New Roman" w:cs="Times New Roman"/>
                <w:color w:val="FFFFFF" w:themeColor="background1"/>
                <w:sz w:val="2"/>
                <w:lang w:eastAsia="es-GT"/>
              </w:rPr>
            </w:pPr>
            <w:r w:rsidRPr="00795274">
              <w:rPr>
                <w:rFonts w:ascii="Times New Roman" w:eastAsia="Times New Roman" w:hAnsi="Times New Roman" w:cs="Times New Roman"/>
                <w:color w:val="FFFFFF" w:themeColor="background1"/>
                <w:sz w:val="2"/>
                <w:lang w:eastAsia="es-GT"/>
              </w:rPr>
              <w:t>10,006.6</w:t>
            </w:r>
          </w:p>
        </w:tc>
        <w:tc>
          <w:tcPr>
            <w:tcW w:w="1133" w:type="dxa"/>
            <w:tcBorders>
              <w:top w:val="nil"/>
              <w:left w:val="nil"/>
              <w:bottom w:val="nil"/>
              <w:right w:val="single" w:sz="8" w:space="0" w:color="auto"/>
            </w:tcBorders>
            <w:shd w:val="clear" w:color="000000" w:fill="FFFFFF"/>
            <w:noWrap/>
            <w:vAlign w:val="bottom"/>
            <w:hideMark/>
          </w:tcPr>
          <w:p w14:paraId="0CAF57CF" w14:textId="77777777" w:rsidR="00EE52DF" w:rsidRPr="00795274" w:rsidRDefault="00EE52DF" w:rsidP="00795274">
            <w:pPr>
              <w:rPr>
                <w:rFonts w:ascii="Times New Roman" w:eastAsia="Times New Roman" w:hAnsi="Times New Roman" w:cs="Times New Roman"/>
                <w:color w:val="FFFFFF" w:themeColor="background1"/>
                <w:sz w:val="2"/>
                <w:lang w:eastAsia="es-GT"/>
              </w:rPr>
            </w:pPr>
            <w:r w:rsidRPr="00795274">
              <w:rPr>
                <w:rFonts w:ascii="Times New Roman" w:eastAsia="Times New Roman" w:hAnsi="Times New Roman" w:cs="Times New Roman"/>
                <w:color w:val="FFFFFF" w:themeColor="background1"/>
                <w:sz w:val="2"/>
                <w:lang w:eastAsia="es-GT"/>
              </w:rPr>
              <w:t>1,786.8</w:t>
            </w:r>
          </w:p>
        </w:tc>
        <w:tc>
          <w:tcPr>
            <w:tcW w:w="1302" w:type="dxa"/>
            <w:tcBorders>
              <w:top w:val="nil"/>
              <w:left w:val="nil"/>
              <w:bottom w:val="nil"/>
              <w:right w:val="single" w:sz="8" w:space="0" w:color="auto"/>
            </w:tcBorders>
            <w:shd w:val="clear" w:color="000000" w:fill="FFFFFF"/>
            <w:noWrap/>
            <w:vAlign w:val="bottom"/>
            <w:hideMark/>
          </w:tcPr>
          <w:p w14:paraId="3DC853D3" w14:textId="77777777" w:rsidR="00EE52DF" w:rsidRPr="00795274" w:rsidRDefault="00EE52DF" w:rsidP="00795274">
            <w:pPr>
              <w:rPr>
                <w:rFonts w:ascii="Times New Roman" w:eastAsia="Times New Roman" w:hAnsi="Times New Roman" w:cs="Times New Roman"/>
                <w:color w:val="FFFFFF" w:themeColor="background1"/>
                <w:sz w:val="2"/>
                <w:lang w:eastAsia="es-GT"/>
              </w:rPr>
            </w:pPr>
            <w:r w:rsidRPr="00795274">
              <w:rPr>
                <w:rFonts w:ascii="Times New Roman" w:eastAsia="Times New Roman" w:hAnsi="Times New Roman" w:cs="Times New Roman"/>
                <w:color w:val="FFFFFF" w:themeColor="background1"/>
                <w:sz w:val="2"/>
                <w:lang w:eastAsia="es-GT"/>
              </w:rPr>
              <w:t>17.8</w:t>
            </w:r>
          </w:p>
        </w:tc>
        <w:tc>
          <w:tcPr>
            <w:tcW w:w="1494" w:type="dxa"/>
            <w:tcBorders>
              <w:top w:val="nil"/>
              <w:left w:val="nil"/>
              <w:bottom w:val="nil"/>
              <w:right w:val="single" w:sz="8" w:space="0" w:color="auto"/>
            </w:tcBorders>
            <w:shd w:val="clear" w:color="000000" w:fill="FFFFFF"/>
            <w:noWrap/>
            <w:vAlign w:val="bottom"/>
            <w:hideMark/>
          </w:tcPr>
          <w:p w14:paraId="4944A543" w14:textId="77777777" w:rsidR="00EE52DF" w:rsidRPr="00795274" w:rsidRDefault="00EE52DF" w:rsidP="00795274">
            <w:pPr>
              <w:rPr>
                <w:rFonts w:ascii="Times New Roman" w:eastAsia="Times New Roman" w:hAnsi="Times New Roman" w:cs="Times New Roman"/>
                <w:color w:val="FFFFFF" w:themeColor="background1"/>
                <w:sz w:val="2"/>
                <w:lang w:eastAsia="es-GT"/>
              </w:rPr>
            </w:pPr>
            <w:r w:rsidRPr="00795274">
              <w:rPr>
                <w:rFonts w:ascii="Times New Roman" w:eastAsia="Times New Roman" w:hAnsi="Times New Roman" w:cs="Times New Roman"/>
                <w:color w:val="FFFFFF" w:themeColor="background1"/>
                <w:sz w:val="2"/>
                <w:lang w:eastAsia="es-GT"/>
              </w:rPr>
              <w:t>91.0</w:t>
            </w:r>
          </w:p>
        </w:tc>
      </w:tr>
      <w:tr w:rsidR="00EE52DF" w:rsidRPr="00C62747" w14:paraId="0A8027D3" w14:textId="77777777" w:rsidTr="00EE52DF">
        <w:trPr>
          <w:trHeight w:val="295"/>
          <w:jc w:val="center"/>
        </w:trPr>
        <w:tc>
          <w:tcPr>
            <w:tcW w:w="3138" w:type="dxa"/>
            <w:tcBorders>
              <w:top w:val="nil"/>
              <w:left w:val="single" w:sz="8" w:space="0" w:color="auto"/>
              <w:bottom w:val="nil"/>
              <w:right w:val="single" w:sz="8" w:space="0" w:color="auto"/>
            </w:tcBorders>
            <w:shd w:val="clear" w:color="000000" w:fill="FFFFFF"/>
            <w:noWrap/>
            <w:vAlign w:val="bottom"/>
            <w:hideMark/>
          </w:tcPr>
          <w:p w14:paraId="26A5A663" w14:textId="77777777" w:rsidR="00EE52DF" w:rsidRPr="00E96044" w:rsidRDefault="00EE52DF" w:rsidP="00EE52DF">
            <w:pPr>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lastRenderedPageBreak/>
              <w:t>Educación, Ciencia y Cultura</w:t>
            </w:r>
          </w:p>
        </w:tc>
        <w:tc>
          <w:tcPr>
            <w:tcW w:w="1293" w:type="dxa"/>
            <w:tcBorders>
              <w:top w:val="nil"/>
              <w:left w:val="nil"/>
              <w:bottom w:val="nil"/>
              <w:right w:val="single" w:sz="4" w:space="0" w:color="auto"/>
            </w:tcBorders>
            <w:shd w:val="clear" w:color="000000" w:fill="FFFFFF"/>
            <w:noWrap/>
            <w:vAlign w:val="bottom"/>
            <w:hideMark/>
          </w:tcPr>
          <w:p w14:paraId="3BECE8AD"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18,553.5</w:t>
            </w:r>
          </w:p>
        </w:tc>
        <w:tc>
          <w:tcPr>
            <w:tcW w:w="1133" w:type="dxa"/>
            <w:tcBorders>
              <w:top w:val="nil"/>
              <w:left w:val="nil"/>
              <w:bottom w:val="nil"/>
              <w:right w:val="single" w:sz="8" w:space="0" w:color="auto"/>
            </w:tcBorders>
            <w:shd w:val="clear" w:color="000000" w:fill="FFFFFF"/>
            <w:noWrap/>
            <w:vAlign w:val="bottom"/>
            <w:hideMark/>
          </w:tcPr>
          <w:p w14:paraId="0AA6FDFB"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20,346.8</w:t>
            </w:r>
          </w:p>
        </w:tc>
        <w:tc>
          <w:tcPr>
            <w:tcW w:w="1302" w:type="dxa"/>
            <w:tcBorders>
              <w:top w:val="nil"/>
              <w:left w:val="nil"/>
              <w:bottom w:val="nil"/>
              <w:right w:val="single" w:sz="8" w:space="0" w:color="auto"/>
            </w:tcBorders>
            <w:shd w:val="clear" w:color="000000" w:fill="FFFFFF"/>
            <w:noWrap/>
            <w:vAlign w:val="bottom"/>
            <w:hideMark/>
          </w:tcPr>
          <w:p w14:paraId="436A4473" w14:textId="77777777" w:rsidR="00EE52DF" w:rsidRPr="00E96044" w:rsidRDefault="00EE52DF" w:rsidP="00EE52DF">
            <w:pPr>
              <w:ind w:firstLineChars="100" w:firstLine="220"/>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9.7</w:t>
            </w:r>
          </w:p>
        </w:tc>
        <w:tc>
          <w:tcPr>
            <w:tcW w:w="1494" w:type="dxa"/>
            <w:tcBorders>
              <w:top w:val="nil"/>
              <w:left w:val="nil"/>
              <w:bottom w:val="nil"/>
              <w:right w:val="single" w:sz="8" w:space="0" w:color="auto"/>
            </w:tcBorders>
            <w:shd w:val="clear" w:color="000000" w:fill="FFFFFF"/>
            <w:noWrap/>
            <w:vAlign w:val="bottom"/>
            <w:hideMark/>
          </w:tcPr>
          <w:p w14:paraId="5ED0C771"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93.5</w:t>
            </w:r>
          </w:p>
        </w:tc>
      </w:tr>
      <w:tr w:rsidR="00EE52DF" w:rsidRPr="00C62747" w14:paraId="2ECE32E0" w14:textId="77777777" w:rsidTr="00795274">
        <w:trPr>
          <w:trHeight w:val="70"/>
          <w:jc w:val="center"/>
        </w:trPr>
        <w:tc>
          <w:tcPr>
            <w:tcW w:w="3138" w:type="dxa"/>
            <w:tcBorders>
              <w:top w:val="nil"/>
              <w:left w:val="single" w:sz="8" w:space="0" w:color="auto"/>
              <w:bottom w:val="nil"/>
              <w:right w:val="single" w:sz="8" w:space="0" w:color="auto"/>
            </w:tcBorders>
            <w:shd w:val="clear" w:color="000000" w:fill="FFFFFF"/>
            <w:noWrap/>
            <w:vAlign w:val="bottom"/>
            <w:hideMark/>
          </w:tcPr>
          <w:p w14:paraId="71848119" w14:textId="77777777" w:rsidR="00EE52DF" w:rsidRPr="00E96044" w:rsidRDefault="00EE52DF" w:rsidP="00EE52DF">
            <w:pPr>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Vivienda</w:t>
            </w:r>
          </w:p>
        </w:tc>
        <w:tc>
          <w:tcPr>
            <w:tcW w:w="1293" w:type="dxa"/>
            <w:tcBorders>
              <w:top w:val="nil"/>
              <w:left w:val="nil"/>
              <w:bottom w:val="nil"/>
              <w:right w:val="single" w:sz="4" w:space="0" w:color="auto"/>
            </w:tcBorders>
            <w:shd w:val="clear" w:color="000000" w:fill="FFFFFF"/>
            <w:noWrap/>
            <w:vAlign w:val="bottom"/>
            <w:hideMark/>
          </w:tcPr>
          <w:p w14:paraId="035985CF"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180.1</w:t>
            </w:r>
          </w:p>
        </w:tc>
        <w:tc>
          <w:tcPr>
            <w:tcW w:w="1133" w:type="dxa"/>
            <w:tcBorders>
              <w:top w:val="nil"/>
              <w:left w:val="nil"/>
              <w:bottom w:val="nil"/>
              <w:right w:val="single" w:sz="8" w:space="0" w:color="auto"/>
            </w:tcBorders>
            <w:shd w:val="clear" w:color="000000" w:fill="FFFFFF"/>
            <w:noWrap/>
            <w:vAlign w:val="bottom"/>
            <w:hideMark/>
          </w:tcPr>
          <w:p w14:paraId="1C6F1511"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302.2</w:t>
            </w:r>
          </w:p>
        </w:tc>
        <w:tc>
          <w:tcPr>
            <w:tcW w:w="1302" w:type="dxa"/>
            <w:tcBorders>
              <w:top w:val="nil"/>
              <w:left w:val="nil"/>
              <w:bottom w:val="nil"/>
              <w:right w:val="single" w:sz="8" w:space="0" w:color="auto"/>
            </w:tcBorders>
            <w:shd w:val="clear" w:color="000000" w:fill="FFFFFF"/>
            <w:noWrap/>
            <w:vAlign w:val="bottom"/>
            <w:hideMark/>
          </w:tcPr>
          <w:p w14:paraId="6C87EFDC" w14:textId="77777777" w:rsidR="00EE52DF" w:rsidRPr="00E96044" w:rsidRDefault="00EE52DF" w:rsidP="00EE52DF">
            <w:pPr>
              <w:ind w:firstLineChars="100" w:firstLine="220"/>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67.7</w:t>
            </w:r>
          </w:p>
        </w:tc>
        <w:tc>
          <w:tcPr>
            <w:tcW w:w="1494" w:type="dxa"/>
            <w:tcBorders>
              <w:top w:val="nil"/>
              <w:left w:val="nil"/>
              <w:bottom w:val="nil"/>
              <w:right w:val="single" w:sz="8" w:space="0" w:color="auto"/>
            </w:tcBorders>
            <w:shd w:val="clear" w:color="000000" w:fill="FFFFFF"/>
            <w:noWrap/>
            <w:vAlign w:val="bottom"/>
            <w:hideMark/>
          </w:tcPr>
          <w:p w14:paraId="3609BE16"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88.3</w:t>
            </w:r>
          </w:p>
        </w:tc>
      </w:tr>
      <w:tr w:rsidR="00EE52DF" w:rsidRPr="00F62A0C" w14:paraId="74D9EE90" w14:textId="77777777" w:rsidTr="00EE52DF">
        <w:trPr>
          <w:trHeight w:val="310"/>
          <w:jc w:val="center"/>
        </w:trPr>
        <w:tc>
          <w:tcPr>
            <w:tcW w:w="31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bottom"/>
            <w:hideMark/>
          </w:tcPr>
          <w:p w14:paraId="37828FE5" w14:textId="77777777" w:rsidR="00EE52DF" w:rsidRPr="00E96044" w:rsidRDefault="00EE52DF" w:rsidP="00EE52DF">
            <w:pPr>
              <w:jc w:val="center"/>
              <w:rPr>
                <w:rFonts w:ascii="Times New Roman" w:eastAsia="Times New Roman" w:hAnsi="Times New Roman" w:cs="Times New Roman"/>
                <w:bCs/>
                <w:color w:val="000000"/>
                <w:sz w:val="22"/>
                <w:lang w:eastAsia="es-GT"/>
              </w:rPr>
            </w:pPr>
            <w:r w:rsidRPr="00E96044">
              <w:rPr>
                <w:rFonts w:ascii="Times New Roman" w:eastAsia="Times New Roman" w:hAnsi="Times New Roman" w:cs="Times New Roman"/>
                <w:bCs/>
                <w:color w:val="000000"/>
                <w:sz w:val="22"/>
                <w:lang w:eastAsia="es-GT"/>
              </w:rPr>
              <w:t>Gasto Social</w:t>
            </w:r>
          </w:p>
        </w:tc>
        <w:tc>
          <w:tcPr>
            <w:tcW w:w="1293"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14:paraId="26D719D6" w14:textId="77777777" w:rsidR="00EE52DF" w:rsidRPr="00E96044" w:rsidRDefault="00EE52DF" w:rsidP="00EE52DF">
            <w:pPr>
              <w:jc w:val="right"/>
              <w:rPr>
                <w:rFonts w:ascii="Times New Roman" w:eastAsia="Times New Roman" w:hAnsi="Times New Roman" w:cs="Times New Roman"/>
                <w:bCs/>
                <w:color w:val="000000"/>
                <w:sz w:val="22"/>
                <w:lang w:eastAsia="es-GT"/>
              </w:rPr>
            </w:pPr>
            <w:r w:rsidRPr="00E96044">
              <w:rPr>
                <w:rFonts w:ascii="Times New Roman" w:eastAsia="Times New Roman" w:hAnsi="Times New Roman" w:cs="Times New Roman"/>
                <w:bCs/>
                <w:color w:val="000000"/>
                <w:sz w:val="22"/>
                <w:lang w:eastAsia="es-GT"/>
              </w:rPr>
              <w:t>28,740.3</w:t>
            </w:r>
          </w:p>
        </w:tc>
        <w:tc>
          <w:tcPr>
            <w:tcW w:w="1133"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2506F1D3" w14:textId="77777777" w:rsidR="00EE52DF" w:rsidRPr="00E96044" w:rsidRDefault="00EE52DF" w:rsidP="00EE52DF">
            <w:pPr>
              <w:jc w:val="right"/>
              <w:rPr>
                <w:rFonts w:ascii="Times New Roman" w:eastAsia="Times New Roman" w:hAnsi="Times New Roman" w:cs="Times New Roman"/>
                <w:bCs/>
                <w:color w:val="000000"/>
                <w:sz w:val="22"/>
                <w:lang w:eastAsia="es-GT"/>
              </w:rPr>
            </w:pPr>
            <w:r w:rsidRPr="00E96044">
              <w:rPr>
                <w:rFonts w:ascii="Times New Roman" w:eastAsia="Times New Roman" w:hAnsi="Times New Roman" w:cs="Times New Roman"/>
                <w:bCs/>
                <w:color w:val="000000"/>
                <w:sz w:val="22"/>
                <w:lang w:eastAsia="es-GT"/>
              </w:rPr>
              <w:t>32,435.7</w:t>
            </w:r>
          </w:p>
        </w:tc>
        <w:tc>
          <w:tcPr>
            <w:tcW w:w="1302"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1677DF48" w14:textId="77777777" w:rsidR="00EE52DF" w:rsidRPr="00E96044" w:rsidRDefault="00EE52DF" w:rsidP="00EE52DF">
            <w:pPr>
              <w:ind w:firstLineChars="100" w:firstLine="220"/>
              <w:jc w:val="right"/>
              <w:rPr>
                <w:rFonts w:ascii="Times New Roman" w:eastAsia="Times New Roman" w:hAnsi="Times New Roman" w:cs="Times New Roman"/>
                <w:bCs/>
                <w:color w:val="000000"/>
                <w:sz w:val="22"/>
                <w:lang w:eastAsia="es-GT"/>
              </w:rPr>
            </w:pPr>
            <w:r w:rsidRPr="00E96044">
              <w:rPr>
                <w:rFonts w:ascii="Times New Roman" w:eastAsia="Times New Roman" w:hAnsi="Times New Roman" w:cs="Times New Roman"/>
                <w:bCs/>
                <w:color w:val="000000"/>
                <w:sz w:val="22"/>
                <w:lang w:eastAsia="es-GT"/>
              </w:rPr>
              <w:t>12.9</w:t>
            </w:r>
          </w:p>
        </w:tc>
        <w:tc>
          <w:tcPr>
            <w:tcW w:w="1494" w:type="dxa"/>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14:paraId="0FBD8668"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92.5</w:t>
            </w:r>
          </w:p>
        </w:tc>
      </w:tr>
      <w:tr w:rsidR="00EE52DF" w:rsidRPr="00C62747" w14:paraId="03266A84" w14:textId="77777777" w:rsidTr="00EE52DF">
        <w:trPr>
          <w:trHeight w:val="295"/>
          <w:jc w:val="center"/>
        </w:trPr>
        <w:tc>
          <w:tcPr>
            <w:tcW w:w="3138" w:type="dxa"/>
            <w:tcBorders>
              <w:top w:val="nil"/>
              <w:left w:val="single" w:sz="8" w:space="0" w:color="auto"/>
              <w:bottom w:val="nil"/>
              <w:right w:val="single" w:sz="8" w:space="0" w:color="auto"/>
            </w:tcBorders>
            <w:shd w:val="clear" w:color="000000" w:fill="FFFFFF"/>
            <w:noWrap/>
            <w:vAlign w:val="bottom"/>
            <w:hideMark/>
          </w:tcPr>
          <w:p w14:paraId="67A1FFA6" w14:textId="77777777" w:rsidR="00EE52DF" w:rsidRPr="00E96044" w:rsidRDefault="00EE52DF" w:rsidP="00EE52DF">
            <w:pPr>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Seguridad Interna</w:t>
            </w:r>
          </w:p>
        </w:tc>
        <w:tc>
          <w:tcPr>
            <w:tcW w:w="1293" w:type="dxa"/>
            <w:tcBorders>
              <w:top w:val="nil"/>
              <w:left w:val="nil"/>
              <w:bottom w:val="nil"/>
              <w:right w:val="single" w:sz="4" w:space="0" w:color="auto"/>
            </w:tcBorders>
            <w:shd w:val="clear" w:color="000000" w:fill="FFFFFF"/>
            <w:noWrap/>
            <w:vAlign w:val="bottom"/>
            <w:hideMark/>
          </w:tcPr>
          <w:p w14:paraId="4CD96E87"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5,033.9</w:t>
            </w:r>
          </w:p>
        </w:tc>
        <w:tc>
          <w:tcPr>
            <w:tcW w:w="1133" w:type="dxa"/>
            <w:tcBorders>
              <w:top w:val="nil"/>
              <w:left w:val="nil"/>
              <w:bottom w:val="nil"/>
              <w:right w:val="single" w:sz="8" w:space="0" w:color="auto"/>
            </w:tcBorders>
            <w:shd w:val="clear" w:color="000000" w:fill="FFFFFF"/>
            <w:noWrap/>
            <w:vAlign w:val="bottom"/>
            <w:hideMark/>
          </w:tcPr>
          <w:p w14:paraId="4C72081C"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4,961.5</w:t>
            </w:r>
          </w:p>
        </w:tc>
        <w:tc>
          <w:tcPr>
            <w:tcW w:w="1302" w:type="dxa"/>
            <w:tcBorders>
              <w:top w:val="nil"/>
              <w:left w:val="nil"/>
              <w:bottom w:val="nil"/>
              <w:right w:val="single" w:sz="8" w:space="0" w:color="auto"/>
            </w:tcBorders>
            <w:shd w:val="clear" w:color="000000" w:fill="FFFFFF"/>
            <w:noWrap/>
            <w:vAlign w:val="bottom"/>
            <w:hideMark/>
          </w:tcPr>
          <w:p w14:paraId="4DADF68F" w14:textId="77777777" w:rsidR="00EE52DF" w:rsidRPr="00E96044" w:rsidRDefault="00EE52DF" w:rsidP="00EE52DF">
            <w:pPr>
              <w:ind w:firstLineChars="100" w:firstLine="220"/>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-1.4</w:t>
            </w:r>
          </w:p>
        </w:tc>
        <w:tc>
          <w:tcPr>
            <w:tcW w:w="1494" w:type="dxa"/>
            <w:tcBorders>
              <w:top w:val="nil"/>
              <w:left w:val="nil"/>
              <w:bottom w:val="nil"/>
              <w:right w:val="single" w:sz="8" w:space="0" w:color="auto"/>
            </w:tcBorders>
            <w:shd w:val="clear" w:color="000000" w:fill="FFFFFF"/>
            <w:noWrap/>
            <w:vAlign w:val="bottom"/>
            <w:hideMark/>
          </w:tcPr>
          <w:p w14:paraId="25D8A45E"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86.2</w:t>
            </w:r>
          </w:p>
        </w:tc>
      </w:tr>
      <w:tr w:rsidR="00EE52DF" w:rsidRPr="00C62747" w14:paraId="713975AF" w14:textId="77777777" w:rsidTr="00EE52DF">
        <w:trPr>
          <w:trHeight w:val="295"/>
          <w:jc w:val="center"/>
        </w:trPr>
        <w:tc>
          <w:tcPr>
            <w:tcW w:w="3138" w:type="dxa"/>
            <w:tcBorders>
              <w:top w:val="nil"/>
              <w:left w:val="single" w:sz="8" w:space="0" w:color="auto"/>
              <w:bottom w:val="nil"/>
              <w:right w:val="single" w:sz="8" w:space="0" w:color="auto"/>
            </w:tcBorders>
            <w:shd w:val="clear" w:color="000000" w:fill="FFFFFF"/>
            <w:noWrap/>
            <w:vAlign w:val="bottom"/>
            <w:hideMark/>
          </w:tcPr>
          <w:p w14:paraId="73D0FE8D" w14:textId="77777777" w:rsidR="00EE52DF" w:rsidRPr="00E96044" w:rsidRDefault="00EE52DF" w:rsidP="00EE52DF">
            <w:pPr>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Organismo Judicial y CC</w:t>
            </w:r>
          </w:p>
        </w:tc>
        <w:tc>
          <w:tcPr>
            <w:tcW w:w="1293" w:type="dxa"/>
            <w:tcBorders>
              <w:top w:val="nil"/>
              <w:left w:val="nil"/>
              <w:bottom w:val="nil"/>
              <w:right w:val="single" w:sz="4" w:space="0" w:color="auto"/>
            </w:tcBorders>
            <w:shd w:val="clear" w:color="000000" w:fill="FFFFFF"/>
            <w:noWrap/>
            <w:vAlign w:val="bottom"/>
            <w:hideMark/>
          </w:tcPr>
          <w:p w14:paraId="33C254B2"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2,252.9</w:t>
            </w:r>
          </w:p>
        </w:tc>
        <w:tc>
          <w:tcPr>
            <w:tcW w:w="1133" w:type="dxa"/>
            <w:tcBorders>
              <w:top w:val="nil"/>
              <w:left w:val="nil"/>
              <w:bottom w:val="nil"/>
              <w:right w:val="single" w:sz="8" w:space="0" w:color="auto"/>
            </w:tcBorders>
            <w:shd w:val="clear" w:color="000000" w:fill="FFFFFF"/>
            <w:noWrap/>
            <w:vAlign w:val="bottom"/>
            <w:hideMark/>
          </w:tcPr>
          <w:p w14:paraId="4138099B"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2,153.1</w:t>
            </w:r>
          </w:p>
        </w:tc>
        <w:tc>
          <w:tcPr>
            <w:tcW w:w="1302" w:type="dxa"/>
            <w:tcBorders>
              <w:top w:val="nil"/>
              <w:left w:val="nil"/>
              <w:bottom w:val="nil"/>
              <w:right w:val="single" w:sz="8" w:space="0" w:color="auto"/>
            </w:tcBorders>
            <w:shd w:val="clear" w:color="000000" w:fill="FFFFFF"/>
            <w:noWrap/>
            <w:vAlign w:val="bottom"/>
            <w:hideMark/>
          </w:tcPr>
          <w:p w14:paraId="1DD54A17" w14:textId="77777777" w:rsidR="00EE52DF" w:rsidRPr="00E96044" w:rsidRDefault="00EE52DF" w:rsidP="00EE52DF">
            <w:pPr>
              <w:ind w:firstLineChars="100" w:firstLine="220"/>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-4.4</w:t>
            </w:r>
          </w:p>
        </w:tc>
        <w:tc>
          <w:tcPr>
            <w:tcW w:w="1494" w:type="dxa"/>
            <w:tcBorders>
              <w:top w:val="nil"/>
              <w:left w:val="nil"/>
              <w:bottom w:val="nil"/>
              <w:right w:val="single" w:sz="8" w:space="0" w:color="auto"/>
            </w:tcBorders>
            <w:shd w:val="clear" w:color="000000" w:fill="FFFFFF"/>
            <w:noWrap/>
            <w:vAlign w:val="bottom"/>
            <w:hideMark/>
          </w:tcPr>
          <w:p w14:paraId="1A881279"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100.0</w:t>
            </w:r>
          </w:p>
        </w:tc>
      </w:tr>
      <w:tr w:rsidR="00EE52DF" w:rsidRPr="00C62747" w14:paraId="32564F54" w14:textId="77777777" w:rsidTr="00EE52DF">
        <w:trPr>
          <w:trHeight w:val="310"/>
          <w:jc w:val="center"/>
        </w:trPr>
        <w:tc>
          <w:tcPr>
            <w:tcW w:w="3138" w:type="dxa"/>
            <w:tcBorders>
              <w:top w:val="nil"/>
              <w:left w:val="single" w:sz="8" w:space="0" w:color="auto"/>
              <w:bottom w:val="single" w:sz="8" w:space="0" w:color="auto"/>
              <w:right w:val="single" w:sz="8" w:space="0" w:color="auto"/>
            </w:tcBorders>
            <w:shd w:val="clear" w:color="000000" w:fill="FFFFFF"/>
            <w:noWrap/>
            <w:vAlign w:val="bottom"/>
            <w:hideMark/>
          </w:tcPr>
          <w:p w14:paraId="4464B096" w14:textId="77777777" w:rsidR="00EE52DF" w:rsidRPr="00E96044" w:rsidRDefault="00EE52DF" w:rsidP="00EE52DF">
            <w:pPr>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Ministerio Público</w:t>
            </w:r>
          </w:p>
        </w:tc>
        <w:tc>
          <w:tcPr>
            <w:tcW w:w="1293" w:type="dxa"/>
            <w:tcBorders>
              <w:top w:val="nil"/>
              <w:left w:val="nil"/>
              <w:bottom w:val="single" w:sz="8" w:space="0" w:color="auto"/>
              <w:right w:val="single" w:sz="4" w:space="0" w:color="auto"/>
            </w:tcBorders>
            <w:shd w:val="clear" w:color="000000" w:fill="FFFFFF"/>
            <w:noWrap/>
            <w:vAlign w:val="bottom"/>
            <w:hideMark/>
          </w:tcPr>
          <w:p w14:paraId="65D747A0"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1,846.3</w:t>
            </w:r>
          </w:p>
        </w:tc>
        <w:tc>
          <w:tcPr>
            <w:tcW w:w="1133" w:type="dxa"/>
            <w:tcBorders>
              <w:top w:val="nil"/>
              <w:left w:val="nil"/>
              <w:bottom w:val="single" w:sz="8" w:space="0" w:color="auto"/>
              <w:right w:val="single" w:sz="8" w:space="0" w:color="auto"/>
            </w:tcBorders>
            <w:shd w:val="clear" w:color="000000" w:fill="FFFFFF"/>
            <w:noWrap/>
            <w:vAlign w:val="bottom"/>
            <w:hideMark/>
          </w:tcPr>
          <w:p w14:paraId="0EE3BCDD"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1,691.5</w:t>
            </w:r>
          </w:p>
        </w:tc>
        <w:tc>
          <w:tcPr>
            <w:tcW w:w="1302" w:type="dxa"/>
            <w:tcBorders>
              <w:top w:val="nil"/>
              <w:left w:val="nil"/>
              <w:bottom w:val="single" w:sz="8" w:space="0" w:color="auto"/>
              <w:right w:val="single" w:sz="8" w:space="0" w:color="auto"/>
            </w:tcBorders>
            <w:shd w:val="clear" w:color="000000" w:fill="FFFFFF"/>
            <w:noWrap/>
            <w:vAlign w:val="bottom"/>
            <w:hideMark/>
          </w:tcPr>
          <w:p w14:paraId="51D127CD" w14:textId="77777777" w:rsidR="00EE52DF" w:rsidRPr="00E96044" w:rsidRDefault="00EE52DF" w:rsidP="00EE52DF">
            <w:pPr>
              <w:ind w:firstLineChars="100" w:firstLine="220"/>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-8.4</w:t>
            </w:r>
          </w:p>
        </w:tc>
        <w:tc>
          <w:tcPr>
            <w:tcW w:w="1494" w:type="dxa"/>
            <w:tcBorders>
              <w:top w:val="nil"/>
              <w:left w:val="nil"/>
              <w:bottom w:val="single" w:sz="8" w:space="0" w:color="auto"/>
              <w:right w:val="single" w:sz="8" w:space="0" w:color="auto"/>
            </w:tcBorders>
            <w:shd w:val="clear" w:color="000000" w:fill="FFFFFF"/>
            <w:noWrap/>
            <w:vAlign w:val="bottom"/>
            <w:hideMark/>
          </w:tcPr>
          <w:p w14:paraId="5FF0C22E"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94.0</w:t>
            </w:r>
          </w:p>
        </w:tc>
      </w:tr>
      <w:tr w:rsidR="00EE52DF" w:rsidRPr="00C62747" w14:paraId="0A164CF9" w14:textId="77777777" w:rsidTr="00EE52DF">
        <w:trPr>
          <w:trHeight w:val="310"/>
          <w:jc w:val="center"/>
        </w:trPr>
        <w:tc>
          <w:tcPr>
            <w:tcW w:w="3138" w:type="dxa"/>
            <w:tcBorders>
              <w:top w:val="nil"/>
              <w:left w:val="single" w:sz="8" w:space="0" w:color="auto"/>
              <w:bottom w:val="nil"/>
              <w:right w:val="single" w:sz="8" w:space="0" w:color="auto"/>
            </w:tcBorders>
            <w:shd w:val="clear" w:color="auto" w:fill="DBE5F1" w:themeFill="accent1" w:themeFillTint="33"/>
            <w:noWrap/>
            <w:vAlign w:val="bottom"/>
            <w:hideMark/>
          </w:tcPr>
          <w:p w14:paraId="342E2395" w14:textId="77777777" w:rsidR="00EE52DF" w:rsidRPr="00E96044" w:rsidRDefault="00EE52DF" w:rsidP="00EE52DF">
            <w:pPr>
              <w:jc w:val="center"/>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Otros de Sectores Sociales</w:t>
            </w:r>
          </w:p>
        </w:tc>
        <w:tc>
          <w:tcPr>
            <w:tcW w:w="1293" w:type="dxa"/>
            <w:tcBorders>
              <w:top w:val="nil"/>
              <w:left w:val="nil"/>
              <w:bottom w:val="nil"/>
              <w:right w:val="single" w:sz="4" w:space="0" w:color="auto"/>
            </w:tcBorders>
            <w:shd w:val="clear" w:color="auto" w:fill="DBE5F1" w:themeFill="accent1" w:themeFillTint="33"/>
            <w:noWrap/>
            <w:vAlign w:val="bottom"/>
            <w:hideMark/>
          </w:tcPr>
          <w:p w14:paraId="6917CB57"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9,133.1</w:t>
            </w:r>
          </w:p>
        </w:tc>
        <w:tc>
          <w:tcPr>
            <w:tcW w:w="1133" w:type="dxa"/>
            <w:tcBorders>
              <w:top w:val="nil"/>
              <w:left w:val="nil"/>
              <w:bottom w:val="nil"/>
              <w:right w:val="single" w:sz="4" w:space="0" w:color="auto"/>
            </w:tcBorders>
            <w:shd w:val="clear" w:color="auto" w:fill="DBE5F1" w:themeFill="accent1" w:themeFillTint="33"/>
            <w:noWrap/>
            <w:vAlign w:val="bottom"/>
            <w:hideMark/>
          </w:tcPr>
          <w:p w14:paraId="50E0BBFF"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8,806.1</w:t>
            </w:r>
          </w:p>
        </w:tc>
        <w:tc>
          <w:tcPr>
            <w:tcW w:w="1302" w:type="dxa"/>
            <w:tcBorders>
              <w:top w:val="nil"/>
              <w:left w:val="nil"/>
              <w:bottom w:val="single" w:sz="8" w:space="0" w:color="auto"/>
              <w:right w:val="single" w:sz="8" w:space="0" w:color="auto"/>
            </w:tcBorders>
            <w:shd w:val="clear" w:color="auto" w:fill="DBE5F1" w:themeFill="accent1" w:themeFillTint="33"/>
            <w:noWrap/>
            <w:vAlign w:val="bottom"/>
            <w:hideMark/>
          </w:tcPr>
          <w:p w14:paraId="5898F4FC" w14:textId="77777777" w:rsidR="00EE52DF" w:rsidRPr="00E96044" w:rsidRDefault="00EE52DF" w:rsidP="00EE52DF">
            <w:pPr>
              <w:ind w:firstLineChars="100" w:firstLine="220"/>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-3.6</w:t>
            </w:r>
          </w:p>
        </w:tc>
        <w:tc>
          <w:tcPr>
            <w:tcW w:w="1494" w:type="dxa"/>
            <w:tcBorders>
              <w:top w:val="nil"/>
              <w:left w:val="nil"/>
              <w:bottom w:val="single" w:sz="8" w:space="0" w:color="auto"/>
              <w:right w:val="single" w:sz="8" w:space="0" w:color="auto"/>
            </w:tcBorders>
            <w:shd w:val="clear" w:color="auto" w:fill="DBE5F1" w:themeFill="accent1" w:themeFillTint="33"/>
            <w:noWrap/>
            <w:vAlign w:val="bottom"/>
            <w:hideMark/>
          </w:tcPr>
          <w:p w14:paraId="7EFB4F18" w14:textId="77777777" w:rsidR="00EE52DF" w:rsidRPr="00E96044" w:rsidRDefault="00EE52DF" w:rsidP="00EE52DF">
            <w:pPr>
              <w:jc w:val="right"/>
              <w:rPr>
                <w:rFonts w:ascii="Times New Roman" w:eastAsia="Times New Roman" w:hAnsi="Times New Roman" w:cs="Times New Roman"/>
                <w:color w:val="000000"/>
                <w:sz w:val="22"/>
                <w:lang w:eastAsia="es-GT"/>
              </w:rPr>
            </w:pPr>
            <w:r w:rsidRPr="00E96044">
              <w:rPr>
                <w:rFonts w:ascii="Times New Roman" w:eastAsia="Times New Roman" w:hAnsi="Times New Roman" w:cs="Times New Roman"/>
                <w:color w:val="000000"/>
                <w:sz w:val="22"/>
                <w:lang w:eastAsia="es-GT"/>
              </w:rPr>
              <w:t>90.7</w:t>
            </w:r>
          </w:p>
        </w:tc>
      </w:tr>
      <w:tr w:rsidR="00EE52DF" w:rsidRPr="00F62A0C" w14:paraId="4CFCDE88" w14:textId="77777777" w:rsidTr="00EE52DF">
        <w:trPr>
          <w:trHeight w:val="310"/>
          <w:jc w:val="center"/>
        </w:trPr>
        <w:tc>
          <w:tcPr>
            <w:tcW w:w="3138"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bottom"/>
            <w:hideMark/>
          </w:tcPr>
          <w:p w14:paraId="1493ACAC" w14:textId="77777777" w:rsidR="00EE52DF" w:rsidRPr="00E96044" w:rsidRDefault="00EE52DF" w:rsidP="00EE52DF">
            <w:pPr>
              <w:jc w:val="center"/>
              <w:rPr>
                <w:rFonts w:ascii="Times New Roman" w:eastAsia="Times New Roman" w:hAnsi="Times New Roman" w:cs="Times New Roman"/>
                <w:b/>
                <w:bCs/>
                <w:sz w:val="22"/>
                <w:lang w:eastAsia="es-GT"/>
              </w:rPr>
            </w:pPr>
            <w:r w:rsidRPr="00E96044">
              <w:rPr>
                <w:rFonts w:ascii="Times New Roman" w:eastAsia="Times New Roman" w:hAnsi="Times New Roman" w:cs="Times New Roman"/>
                <w:b/>
                <w:bCs/>
                <w:sz w:val="22"/>
                <w:lang w:eastAsia="es-GT"/>
              </w:rPr>
              <w:t>Total</w:t>
            </w:r>
          </w:p>
        </w:tc>
        <w:tc>
          <w:tcPr>
            <w:tcW w:w="1293" w:type="dxa"/>
            <w:tcBorders>
              <w:top w:val="single" w:sz="8" w:space="0" w:color="auto"/>
              <w:left w:val="nil"/>
              <w:bottom w:val="single" w:sz="8" w:space="0" w:color="auto"/>
              <w:right w:val="single" w:sz="4" w:space="0" w:color="auto"/>
            </w:tcBorders>
            <w:shd w:val="clear" w:color="auto" w:fill="95B3D7" w:themeFill="accent1" w:themeFillTint="99"/>
            <w:noWrap/>
            <w:vAlign w:val="bottom"/>
            <w:hideMark/>
          </w:tcPr>
          <w:p w14:paraId="00540F84" w14:textId="77777777" w:rsidR="00EE52DF" w:rsidRPr="00E96044" w:rsidRDefault="00EE52DF" w:rsidP="00EE52DF">
            <w:pPr>
              <w:jc w:val="right"/>
              <w:rPr>
                <w:rFonts w:ascii="Times New Roman" w:eastAsia="Times New Roman" w:hAnsi="Times New Roman" w:cs="Times New Roman"/>
                <w:b/>
                <w:bCs/>
                <w:sz w:val="22"/>
                <w:lang w:eastAsia="es-GT"/>
              </w:rPr>
            </w:pPr>
            <w:r w:rsidRPr="00E96044">
              <w:rPr>
                <w:rFonts w:ascii="Times New Roman" w:eastAsia="Times New Roman" w:hAnsi="Times New Roman" w:cs="Times New Roman"/>
                <w:b/>
                <w:bCs/>
                <w:sz w:val="22"/>
                <w:lang w:eastAsia="es-GT"/>
              </w:rPr>
              <w:t>37,873.4</w:t>
            </w:r>
          </w:p>
        </w:tc>
        <w:tc>
          <w:tcPr>
            <w:tcW w:w="1133"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33E3E3F1" w14:textId="77777777" w:rsidR="00EE52DF" w:rsidRPr="00E96044" w:rsidRDefault="00EE52DF" w:rsidP="00EE52DF">
            <w:pPr>
              <w:jc w:val="right"/>
              <w:rPr>
                <w:rFonts w:ascii="Times New Roman" w:eastAsia="Times New Roman" w:hAnsi="Times New Roman" w:cs="Times New Roman"/>
                <w:b/>
                <w:bCs/>
                <w:sz w:val="22"/>
                <w:lang w:eastAsia="es-GT"/>
              </w:rPr>
            </w:pPr>
            <w:r w:rsidRPr="00E96044">
              <w:rPr>
                <w:rFonts w:ascii="Times New Roman" w:eastAsia="Times New Roman" w:hAnsi="Times New Roman" w:cs="Times New Roman"/>
                <w:b/>
                <w:bCs/>
                <w:sz w:val="22"/>
                <w:lang w:eastAsia="es-GT"/>
              </w:rPr>
              <w:t>41,241.8</w:t>
            </w:r>
          </w:p>
        </w:tc>
        <w:tc>
          <w:tcPr>
            <w:tcW w:w="1302" w:type="dxa"/>
            <w:tcBorders>
              <w:top w:val="nil"/>
              <w:left w:val="nil"/>
              <w:bottom w:val="single" w:sz="8" w:space="0" w:color="auto"/>
              <w:right w:val="single" w:sz="8" w:space="0" w:color="auto"/>
            </w:tcBorders>
            <w:shd w:val="clear" w:color="auto" w:fill="95B3D7" w:themeFill="accent1" w:themeFillTint="99"/>
            <w:noWrap/>
            <w:vAlign w:val="bottom"/>
            <w:hideMark/>
          </w:tcPr>
          <w:p w14:paraId="48AC55BD" w14:textId="77777777" w:rsidR="00EE52DF" w:rsidRPr="00E96044" w:rsidRDefault="00EE52DF" w:rsidP="000F42B0">
            <w:pPr>
              <w:ind w:firstLineChars="100" w:firstLine="221"/>
              <w:jc w:val="right"/>
              <w:rPr>
                <w:rFonts w:ascii="Times New Roman" w:eastAsia="Times New Roman" w:hAnsi="Times New Roman" w:cs="Times New Roman"/>
                <w:b/>
                <w:bCs/>
                <w:sz w:val="22"/>
                <w:lang w:eastAsia="es-GT"/>
              </w:rPr>
              <w:pPrChange w:id="134" w:author="René Augusto Castro González" w:date="2020-02-10T18:49:00Z">
                <w:pPr>
                  <w:ind w:firstLineChars="100" w:firstLine="220"/>
                  <w:jc w:val="right"/>
                </w:pPr>
              </w:pPrChange>
            </w:pPr>
            <w:r w:rsidRPr="00E96044">
              <w:rPr>
                <w:rFonts w:ascii="Times New Roman" w:eastAsia="Times New Roman" w:hAnsi="Times New Roman" w:cs="Times New Roman"/>
                <w:b/>
                <w:bCs/>
                <w:sz w:val="22"/>
                <w:lang w:eastAsia="es-GT"/>
              </w:rPr>
              <w:t>8.9</w:t>
            </w:r>
          </w:p>
        </w:tc>
        <w:tc>
          <w:tcPr>
            <w:tcW w:w="1494" w:type="dxa"/>
            <w:tcBorders>
              <w:top w:val="nil"/>
              <w:left w:val="nil"/>
              <w:bottom w:val="single" w:sz="8" w:space="0" w:color="auto"/>
              <w:right w:val="single" w:sz="8" w:space="0" w:color="auto"/>
            </w:tcBorders>
            <w:shd w:val="clear" w:color="auto" w:fill="95B3D7" w:themeFill="accent1" w:themeFillTint="99"/>
            <w:noWrap/>
            <w:vAlign w:val="bottom"/>
            <w:hideMark/>
          </w:tcPr>
          <w:p w14:paraId="16621CF0" w14:textId="77777777" w:rsidR="00EE52DF" w:rsidRPr="00E96044" w:rsidRDefault="00EE52DF" w:rsidP="00EE52DF">
            <w:pPr>
              <w:jc w:val="right"/>
              <w:rPr>
                <w:rFonts w:ascii="Times New Roman" w:eastAsia="Times New Roman" w:hAnsi="Times New Roman" w:cs="Times New Roman"/>
                <w:b/>
                <w:sz w:val="22"/>
                <w:lang w:eastAsia="es-GT"/>
              </w:rPr>
            </w:pPr>
            <w:r w:rsidRPr="00E96044">
              <w:rPr>
                <w:rFonts w:ascii="Times New Roman" w:eastAsia="Times New Roman" w:hAnsi="Times New Roman" w:cs="Times New Roman"/>
                <w:b/>
                <w:sz w:val="22"/>
                <w:lang w:eastAsia="es-GT"/>
              </w:rPr>
              <w:t>92.1</w:t>
            </w:r>
          </w:p>
        </w:tc>
      </w:tr>
    </w:tbl>
    <w:p w14:paraId="1BF1DBDA" w14:textId="77777777" w:rsidR="00724C04" w:rsidRDefault="00EE52DF" w:rsidP="00795274">
      <w:pPr>
        <w:ind w:firstLine="708"/>
        <w:rPr>
          <w:rFonts w:ascii="Times New Roman" w:hAnsi="Times New Roman" w:cs="Times New Roman"/>
          <w:sz w:val="16"/>
        </w:rPr>
      </w:pPr>
      <w:r w:rsidRPr="00EE52DF">
        <w:rPr>
          <w:rFonts w:ascii="Times New Roman" w:hAnsi="Times New Roman" w:cs="Times New Roman"/>
          <w:sz w:val="16"/>
        </w:rPr>
        <w:t>Fuente: D</w:t>
      </w:r>
      <w:r w:rsidR="009B072A">
        <w:rPr>
          <w:rFonts w:ascii="Times New Roman" w:hAnsi="Times New Roman" w:cs="Times New Roman"/>
          <w:sz w:val="16"/>
        </w:rPr>
        <w:t>irección de Análisis y Política Fiscal</w:t>
      </w:r>
    </w:p>
    <w:p w14:paraId="288C08DF" w14:textId="77777777" w:rsidR="00795274" w:rsidRPr="00795274" w:rsidRDefault="00795274" w:rsidP="00795274">
      <w:pPr>
        <w:ind w:firstLine="708"/>
        <w:rPr>
          <w:rFonts w:ascii="Times New Roman" w:hAnsi="Times New Roman" w:cs="Times New Roman"/>
          <w:sz w:val="16"/>
        </w:rPr>
      </w:pPr>
    </w:p>
    <w:p w14:paraId="1F3D2237" w14:textId="77777777" w:rsidR="00364844" w:rsidRPr="00EE52DF" w:rsidRDefault="00724C04" w:rsidP="00795274">
      <w:pPr>
        <w:pStyle w:val="Ttulo2"/>
        <w:numPr>
          <w:ilvl w:val="1"/>
          <w:numId w:val="12"/>
        </w:numPr>
        <w:spacing w:before="0"/>
        <w:ind w:left="567"/>
        <w:rPr>
          <w:rFonts w:ascii="Times New Roman" w:hAnsi="Times New Roman" w:cs="Times New Roman"/>
          <w:color w:val="auto"/>
          <w:sz w:val="24"/>
        </w:rPr>
      </w:pPr>
      <w:bookmarkStart w:id="135" w:name="_Toc32230898"/>
      <w:r w:rsidRPr="00EE52DF">
        <w:rPr>
          <w:rFonts w:ascii="Times New Roman" w:hAnsi="Times New Roman" w:cs="Times New Roman"/>
          <w:color w:val="auto"/>
          <w:sz w:val="24"/>
        </w:rPr>
        <w:t>E</w:t>
      </w:r>
      <w:r w:rsidR="00EE52DF" w:rsidRPr="00EE52DF">
        <w:rPr>
          <w:rFonts w:ascii="Times New Roman" w:hAnsi="Times New Roman" w:cs="Times New Roman"/>
          <w:color w:val="auto"/>
          <w:sz w:val="24"/>
        </w:rPr>
        <w:t>jecución institucional</w:t>
      </w:r>
      <w:bookmarkEnd w:id="135"/>
    </w:p>
    <w:p w14:paraId="07564B3C" w14:textId="77777777" w:rsidR="00364844" w:rsidRPr="00113A1E" w:rsidRDefault="00364844" w:rsidP="00364844">
      <w:pPr>
        <w:pStyle w:val="Sinespaciado"/>
        <w:jc w:val="both"/>
        <w:rPr>
          <w:rFonts w:ascii="Times New Roman" w:hAnsi="Times New Roman" w:cs="Times New Roman"/>
          <w:color w:val="FF0000"/>
          <w:lang w:val="es-MX"/>
        </w:rPr>
      </w:pPr>
    </w:p>
    <w:p w14:paraId="1490F991" w14:textId="77777777" w:rsidR="00EE52DF" w:rsidRDefault="00EE52DF" w:rsidP="00EE52DF">
      <w:pPr>
        <w:jc w:val="both"/>
        <w:rPr>
          <w:rFonts w:ascii="Times New Roman" w:hAnsi="Times New Roman" w:cs="Times New Roman"/>
          <w:sz w:val="22"/>
        </w:rPr>
      </w:pPr>
      <w:r w:rsidRPr="00EE52DF">
        <w:rPr>
          <w:rFonts w:ascii="Times New Roman" w:hAnsi="Times New Roman" w:cs="Times New Roman"/>
          <w:sz w:val="22"/>
        </w:rPr>
        <w:t>El grado de ejecución presupuestaria, a nivel institucional, muestra una alta dispersión entre las diferentes entidades, la cual depende en gran medida de la capación real de ejecución de cada institución, del financiamiento disponible y de algunas variables exógenas como las rigideces legales o institucionales.  En ese sentido, la entidad que mostró el mayor grado de ejecución fue el Ministerio de la Defensa Nacional, con 98.3%, el programa de mayor incidencia en el monto ejecutado fue Defensa de la Soberanía e Integridad Territorial.   Asimismo, la Presidencia de la República mostró un grado de ejecución de 97.9% en donde el programa de seguridad presidencial no solo es el más importante en esta entidad, sino que también muestra el mayor porcentaje de ejecución.</w:t>
      </w:r>
    </w:p>
    <w:p w14:paraId="18C2EF11" w14:textId="77777777" w:rsidR="00EE52DF" w:rsidRPr="00EE52DF" w:rsidRDefault="00EE52DF" w:rsidP="00EE52DF">
      <w:pPr>
        <w:jc w:val="both"/>
        <w:rPr>
          <w:rFonts w:ascii="Times New Roman" w:hAnsi="Times New Roman" w:cs="Times New Roman"/>
          <w:sz w:val="22"/>
        </w:rPr>
      </w:pPr>
    </w:p>
    <w:p w14:paraId="095A2C48" w14:textId="77777777" w:rsidR="00EE52DF" w:rsidRPr="00EE52DF" w:rsidRDefault="00EE52DF" w:rsidP="00EE52DF">
      <w:pPr>
        <w:jc w:val="both"/>
        <w:rPr>
          <w:rFonts w:ascii="Times New Roman" w:hAnsi="Times New Roman" w:cs="Times New Roman"/>
          <w:sz w:val="22"/>
        </w:rPr>
      </w:pPr>
      <w:r w:rsidRPr="00EE52DF">
        <w:rPr>
          <w:rFonts w:ascii="Times New Roman" w:hAnsi="Times New Roman" w:cs="Times New Roman"/>
          <w:sz w:val="22"/>
        </w:rPr>
        <w:t xml:space="preserve">Por su parte, la entidad virtual, Servicio de la Deuda Pública mostró un grado de ejecución de 96.9% la cual sirvió para el pago de intereses, comisiones y amortizaciones de deuda pública.  Entidades como la PGN, MINEX, MINTRAB Y el MSPAS, mostraron grados de ejecución superior al 95% pero inferiores del 96%, en esta última fue importante el aumento salarial que obtuvo el personal médico y administrativo de este ministerio y la ejecución en los programas relacionados al Fomento de la Salud Preventiva y la Recuperación de la Salud. </w:t>
      </w:r>
    </w:p>
    <w:p w14:paraId="6361761C" w14:textId="77777777" w:rsidR="00EE52DF" w:rsidRDefault="00EE52DF" w:rsidP="00EE52DF">
      <w:pPr>
        <w:jc w:val="both"/>
        <w:rPr>
          <w:rFonts w:ascii="Times New Roman" w:hAnsi="Times New Roman" w:cs="Times New Roman"/>
          <w:sz w:val="22"/>
        </w:rPr>
      </w:pPr>
    </w:p>
    <w:p w14:paraId="2CFCF39A" w14:textId="77777777" w:rsidR="00EE52DF" w:rsidRPr="00EE52DF" w:rsidRDefault="00EE52DF" w:rsidP="00EE52DF">
      <w:pPr>
        <w:jc w:val="both"/>
        <w:rPr>
          <w:rFonts w:ascii="Times New Roman" w:hAnsi="Times New Roman" w:cs="Times New Roman"/>
          <w:sz w:val="22"/>
        </w:rPr>
      </w:pPr>
      <w:r w:rsidRPr="00EE52DF">
        <w:rPr>
          <w:rFonts w:ascii="Times New Roman" w:hAnsi="Times New Roman" w:cs="Times New Roman"/>
          <w:sz w:val="22"/>
        </w:rPr>
        <w:t>El Ministerio de Educación mostró un grado de ejecución de 94.4% en donde el efecto del incremento salarial al Magisterio Nac</w:t>
      </w:r>
      <w:r w:rsidR="00082E65">
        <w:rPr>
          <w:rFonts w:ascii="Times New Roman" w:hAnsi="Times New Roman" w:cs="Times New Roman"/>
          <w:sz w:val="22"/>
        </w:rPr>
        <w:t>ional, el aumento al aporte per</w:t>
      </w:r>
      <w:r w:rsidR="00082E65" w:rsidRPr="00EE52DF">
        <w:rPr>
          <w:rFonts w:ascii="Times New Roman" w:hAnsi="Times New Roman" w:cs="Times New Roman"/>
          <w:sz w:val="22"/>
        </w:rPr>
        <w:t xml:space="preserve"> cápita</w:t>
      </w:r>
      <w:r w:rsidRPr="00EE52DF">
        <w:rPr>
          <w:rFonts w:ascii="Times New Roman" w:hAnsi="Times New Roman" w:cs="Times New Roman"/>
          <w:sz w:val="22"/>
        </w:rPr>
        <w:t xml:space="preserve"> a la alimentación escolar fueron las razones de esta mayor ejecución.</w:t>
      </w:r>
    </w:p>
    <w:p w14:paraId="7F1A3634" w14:textId="77777777" w:rsidR="00EE52DF" w:rsidRDefault="00EE52DF" w:rsidP="00EE52DF">
      <w:pPr>
        <w:jc w:val="both"/>
        <w:rPr>
          <w:rFonts w:ascii="Times New Roman" w:hAnsi="Times New Roman" w:cs="Times New Roman"/>
          <w:sz w:val="22"/>
        </w:rPr>
      </w:pPr>
    </w:p>
    <w:p w14:paraId="2B9E723C" w14:textId="77777777" w:rsidR="00EE52DF" w:rsidRDefault="00EE52DF" w:rsidP="00EE52DF">
      <w:pPr>
        <w:jc w:val="both"/>
        <w:rPr>
          <w:rFonts w:ascii="Times New Roman" w:hAnsi="Times New Roman" w:cs="Times New Roman"/>
          <w:sz w:val="22"/>
        </w:rPr>
      </w:pPr>
      <w:r w:rsidRPr="00EE52DF">
        <w:rPr>
          <w:rFonts w:ascii="Times New Roman" w:hAnsi="Times New Roman" w:cs="Times New Roman"/>
          <w:sz w:val="22"/>
        </w:rPr>
        <w:t>Por otro lado, las entidades como Cultura y Deportes, Desarrollo Social y Economía (80.3%, 83.9% y 87.7% respectivamente)</w:t>
      </w:r>
      <w:r w:rsidR="009B072A">
        <w:rPr>
          <w:rFonts w:ascii="Times New Roman" w:hAnsi="Times New Roman" w:cs="Times New Roman"/>
          <w:sz w:val="22"/>
        </w:rPr>
        <w:t>,</w:t>
      </w:r>
      <w:r w:rsidRPr="00EE52DF">
        <w:rPr>
          <w:rFonts w:ascii="Times New Roman" w:hAnsi="Times New Roman" w:cs="Times New Roman"/>
          <w:sz w:val="22"/>
        </w:rPr>
        <w:t xml:space="preserve"> mostraron los niveles más bajos de ejecución, lo cual es una constante en los últimos años.  Quizá la entidad que elevó considerablemente su ejecución fue el Ministerio de Comunicaciones cuyo grado se ubicó en 91.6% asociado principalmente al desarrollo de la infraestructura vial.</w:t>
      </w:r>
    </w:p>
    <w:p w14:paraId="7836AD59" w14:textId="543B88AA" w:rsidR="00FA17E4" w:rsidRPr="00EE52DF" w:rsidRDefault="00FA17E4" w:rsidP="00EE52DF">
      <w:pPr>
        <w:jc w:val="both"/>
        <w:rPr>
          <w:rFonts w:ascii="Times New Roman" w:hAnsi="Times New Roman" w:cs="Times New Roman"/>
          <w:sz w:val="22"/>
        </w:rPr>
      </w:pPr>
    </w:p>
    <w:p w14:paraId="64A52425" w14:textId="77777777" w:rsidR="00EE52DF" w:rsidRPr="00776B26" w:rsidRDefault="00EE52DF" w:rsidP="00EE52DF">
      <w:pPr>
        <w:pStyle w:val="Sinespaciado"/>
        <w:jc w:val="center"/>
        <w:rPr>
          <w:rFonts w:ascii="Times New Roman" w:hAnsi="Times New Roman" w:cs="Times New Roman"/>
          <w:b/>
          <w:sz w:val="24"/>
        </w:rPr>
      </w:pPr>
      <w:r w:rsidRPr="00776B26">
        <w:rPr>
          <w:rFonts w:ascii="Times New Roman" w:hAnsi="Times New Roman" w:cs="Times New Roman"/>
          <w:b/>
          <w:sz w:val="24"/>
        </w:rPr>
        <w:t>Ejecución Institucional 2019</w:t>
      </w:r>
    </w:p>
    <w:p w14:paraId="2E68802D" w14:textId="77777777" w:rsidR="00EE52DF" w:rsidRPr="00EE52DF" w:rsidRDefault="00EE52DF" w:rsidP="00EE52DF">
      <w:pPr>
        <w:pStyle w:val="Sinespaciado"/>
        <w:jc w:val="center"/>
        <w:rPr>
          <w:rFonts w:ascii="Times New Roman" w:hAnsi="Times New Roman" w:cs="Times New Roman"/>
          <w:sz w:val="20"/>
        </w:rPr>
      </w:pPr>
      <w:r w:rsidRPr="00EE52DF">
        <w:rPr>
          <w:rFonts w:ascii="Times New Roman" w:hAnsi="Times New Roman" w:cs="Times New Roman"/>
          <w:sz w:val="20"/>
        </w:rPr>
        <w:t>Millones de quetzales y Porcentajes de Ejecución</w:t>
      </w:r>
    </w:p>
    <w:p w14:paraId="7A0A04ED" w14:textId="77777777" w:rsidR="00EE52DF" w:rsidRDefault="00EE52DF" w:rsidP="00621318">
      <w:pPr>
        <w:jc w:val="center"/>
        <w:rPr>
          <w:rFonts w:ascii="Times New Roman" w:hAnsi="Times New Roman" w:cs="Times New Roman"/>
        </w:rPr>
      </w:pPr>
      <w:r>
        <w:rPr>
          <w:rFonts w:ascii="Times New Roman" w:hAnsi="Times New Roman" w:cs="Times New Roman"/>
          <w:noProof/>
          <w:lang w:val="es-ES"/>
        </w:rPr>
        <w:lastRenderedPageBreak/>
        <w:drawing>
          <wp:inline distT="0" distB="0" distL="0" distR="0" wp14:anchorId="1A074967" wp14:editId="6625C1F5">
            <wp:extent cx="5303520" cy="2910178"/>
            <wp:effectExtent l="0" t="0" r="0" b="508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6BFC58" w14:textId="77777777" w:rsidR="00EE52DF" w:rsidRPr="00EE52DF" w:rsidRDefault="00EE52DF" w:rsidP="00EE52DF">
      <w:pPr>
        <w:ind w:firstLine="708"/>
        <w:rPr>
          <w:rFonts w:ascii="Times New Roman" w:hAnsi="Times New Roman" w:cs="Times New Roman"/>
          <w:sz w:val="16"/>
        </w:rPr>
      </w:pPr>
      <w:r w:rsidRPr="00EE52DF">
        <w:rPr>
          <w:rFonts w:ascii="Times New Roman" w:hAnsi="Times New Roman" w:cs="Times New Roman"/>
          <w:sz w:val="16"/>
        </w:rPr>
        <w:t>Fuente: D</w:t>
      </w:r>
      <w:r w:rsidR="009B072A">
        <w:rPr>
          <w:rFonts w:ascii="Times New Roman" w:hAnsi="Times New Roman" w:cs="Times New Roman"/>
          <w:sz w:val="16"/>
        </w:rPr>
        <w:t xml:space="preserve">irección </w:t>
      </w:r>
      <w:r w:rsidRPr="00EE52DF">
        <w:rPr>
          <w:rFonts w:ascii="Times New Roman" w:hAnsi="Times New Roman" w:cs="Times New Roman"/>
          <w:sz w:val="16"/>
        </w:rPr>
        <w:t>A</w:t>
      </w:r>
      <w:r w:rsidR="009B072A">
        <w:rPr>
          <w:rFonts w:ascii="Times New Roman" w:hAnsi="Times New Roman" w:cs="Times New Roman"/>
          <w:sz w:val="16"/>
        </w:rPr>
        <w:t xml:space="preserve">nálisis y </w:t>
      </w:r>
      <w:r w:rsidRPr="00EE52DF">
        <w:rPr>
          <w:rFonts w:ascii="Times New Roman" w:hAnsi="Times New Roman" w:cs="Times New Roman"/>
          <w:sz w:val="16"/>
        </w:rPr>
        <w:t>P</w:t>
      </w:r>
      <w:r w:rsidR="009B072A">
        <w:rPr>
          <w:rFonts w:ascii="Times New Roman" w:hAnsi="Times New Roman" w:cs="Times New Roman"/>
          <w:sz w:val="16"/>
        </w:rPr>
        <w:t xml:space="preserve">olítica </w:t>
      </w:r>
      <w:r w:rsidRPr="00EE52DF">
        <w:rPr>
          <w:rFonts w:ascii="Times New Roman" w:hAnsi="Times New Roman" w:cs="Times New Roman"/>
          <w:sz w:val="16"/>
        </w:rPr>
        <w:t>F</w:t>
      </w:r>
      <w:r w:rsidR="009B072A">
        <w:rPr>
          <w:rFonts w:ascii="Times New Roman" w:hAnsi="Times New Roman" w:cs="Times New Roman"/>
          <w:sz w:val="16"/>
        </w:rPr>
        <w:t>iscal</w:t>
      </w:r>
    </w:p>
    <w:p w14:paraId="62BCACBC" w14:textId="77777777" w:rsidR="00F973BC" w:rsidRDefault="00F973BC" w:rsidP="00EE52DF">
      <w:pPr>
        <w:pStyle w:val="Sinespaciado"/>
        <w:jc w:val="both"/>
        <w:rPr>
          <w:rFonts w:ascii="Times New Roman" w:hAnsi="Times New Roman" w:cs="Times New Roman"/>
        </w:rPr>
      </w:pPr>
    </w:p>
    <w:p w14:paraId="7B3B905E" w14:textId="77777777" w:rsidR="00364844" w:rsidRPr="00113A1E" w:rsidRDefault="00EE52DF" w:rsidP="00EE52DF">
      <w:pPr>
        <w:pStyle w:val="Sinespaciado"/>
        <w:jc w:val="both"/>
        <w:rPr>
          <w:rFonts w:ascii="Times New Roman" w:hAnsi="Times New Roman" w:cs="Times New Roman"/>
          <w:color w:val="FF0000"/>
          <w:lang w:val="es-MX"/>
        </w:rPr>
      </w:pPr>
      <w:r>
        <w:rPr>
          <w:rFonts w:ascii="Times New Roman" w:hAnsi="Times New Roman" w:cs="Times New Roman"/>
        </w:rPr>
        <w:t>Al finalizar 2019, el grado de ejecución institucional se situó en 93.8%, la cual fue inferior a la que se obtuvo en 2018 (96.7%) derivado en parte porque el año anterior no contó con un presupuesto propio lo que hace que el porcentaje de ejecución sea más alto.</w:t>
      </w:r>
    </w:p>
    <w:p w14:paraId="371E71D1" w14:textId="77777777" w:rsidR="00364844" w:rsidRPr="00EE52DF" w:rsidRDefault="00EE52DF" w:rsidP="009B072A">
      <w:pPr>
        <w:pStyle w:val="Ttulo2"/>
        <w:numPr>
          <w:ilvl w:val="1"/>
          <w:numId w:val="12"/>
        </w:numPr>
        <w:ind w:left="567"/>
        <w:jc w:val="both"/>
        <w:rPr>
          <w:rFonts w:ascii="Times New Roman" w:hAnsi="Times New Roman" w:cs="Times New Roman"/>
          <w:color w:val="auto"/>
          <w:sz w:val="24"/>
        </w:rPr>
      </w:pPr>
      <w:bookmarkStart w:id="136" w:name="_Toc32230899"/>
      <w:r w:rsidRPr="00EE52DF">
        <w:rPr>
          <w:rFonts w:ascii="Times New Roman" w:hAnsi="Times New Roman" w:cs="Times New Roman"/>
          <w:color w:val="auto"/>
          <w:sz w:val="24"/>
        </w:rPr>
        <w:t>Plan de la Alianza para la Prosperidad del Triángulo Norte –PAPTN- pierde protagonismo en 2019</w:t>
      </w:r>
      <w:bookmarkEnd w:id="136"/>
    </w:p>
    <w:p w14:paraId="26012895" w14:textId="77777777" w:rsidR="00465802" w:rsidRPr="00E96044" w:rsidRDefault="00465802" w:rsidP="00E96044">
      <w:pPr>
        <w:pStyle w:val="BodyText2Sgl"/>
        <w:spacing w:after="0"/>
        <w:ind w:firstLine="0"/>
        <w:jc w:val="both"/>
        <w:rPr>
          <w:sz w:val="22"/>
          <w:szCs w:val="22"/>
          <w:lang w:val="es-GT"/>
        </w:rPr>
      </w:pPr>
    </w:p>
    <w:p w14:paraId="157EA4D0" w14:textId="77777777" w:rsidR="00465802" w:rsidRPr="00E96044" w:rsidRDefault="00465802" w:rsidP="00E96044">
      <w:pPr>
        <w:pStyle w:val="BodyText2Sgl"/>
        <w:spacing w:after="0"/>
        <w:ind w:firstLine="0"/>
        <w:jc w:val="both"/>
        <w:rPr>
          <w:sz w:val="22"/>
          <w:szCs w:val="22"/>
          <w:lang w:val="es-GT"/>
        </w:rPr>
      </w:pPr>
      <w:r w:rsidRPr="00E96044">
        <w:rPr>
          <w:sz w:val="22"/>
          <w:szCs w:val="22"/>
          <w:lang w:val="es-GT"/>
        </w:rPr>
        <w:t>A finales del año 2014, los países del Triángulo Norte de Centroamérica (El Salvador, Guatemala y Honduras)</w:t>
      </w:r>
      <w:r w:rsidR="009B072A">
        <w:rPr>
          <w:sz w:val="22"/>
          <w:szCs w:val="22"/>
          <w:lang w:val="es-GT"/>
        </w:rPr>
        <w:t>,</w:t>
      </w:r>
      <w:r w:rsidRPr="00E96044">
        <w:rPr>
          <w:sz w:val="22"/>
          <w:szCs w:val="22"/>
          <w:lang w:val="es-GT"/>
        </w:rPr>
        <w:t xml:space="preserve"> enfrentaron un flujo constante y creciente de migración irregular, significando una gran pérdida de capital humano. Esta salida se asoció en su gran mayoría a la falta de oportunidades económicas y laborales, la creciente violencia y la reunificación familiar.</w:t>
      </w:r>
    </w:p>
    <w:p w14:paraId="36857A62" w14:textId="77777777" w:rsidR="00465802" w:rsidRPr="00E96044" w:rsidRDefault="00465802" w:rsidP="00E96044">
      <w:pPr>
        <w:pStyle w:val="BodyText2Sgl"/>
        <w:spacing w:after="0"/>
        <w:ind w:firstLine="0"/>
        <w:jc w:val="both"/>
        <w:rPr>
          <w:sz w:val="22"/>
          <w:szCs w:val="22"/>
          <w:lang w:val="es-GT"/>
        </w:rPr>
      </w:pPr>
    </w:p>
    <w:p w14:paraId="39B4CBA2" w14:textId="77777777" w:rsidR="00465802" w:rsidRPr="00E96044" w:rsidRDefault="00465802" w:rsidP="00E96044">
      <w:pPr>
        <w:pStyle w:val="BodyText2Sgl"/>
        <w:spacing w:after="0"/>
        <w:ind w:firstLine="0"/>
        <w:jc w:val="both"/>
        <w:rPr>
          <w:sz w:val="22"/>
          <w:szCs w:val="22"/>
          <w:lang w:val="es-GT"/>
        </w:rPr>
      </w:pPr>
      <w:r w:rsidRPr="00E96044">
        <w:rPr>
          <w:sz w:val="22"/>
          <w:szCs w:val="22"/>
          <w:lang w:val="es-GT"/>
        </w:rPr>
        <w:t>Esta situación desat</w:t>
      </w:r>
      <w:r w:rsidR="006E7C12">
        <w:rPr>
          <w:sz w:val="22"/>
          <w:szCs w:val="22"/>
          <w:lang w:val="es-GT"/>
        </w:rPr>
        <w:t>ó</w:t>
      </w:r>
      <w:r w:rsidRPr="00E96044">
        <w:rPr>
          <w:sz w:val="22"/>
          <w:szCs w:val="22"/>
          <w:lang w:val="es-GT"/>
        </w:rPr>
        <w:t xml:space="preserve"> una crisis migratoria y por ello se iniciaron las acciones para mitigar la migración ilegal hacia los EEUU a través de un plan denominado “Plan Alianza para la Prosperidad del Triángulo Norte (PAPTN)” Esta iniciativa buscaba dar una respuesta estructural, con acciones en el corto y mediano plazo, al acelerado crecimiento en el flujo de migrantes y menores no acompañados hacia los EEUU. </w:t>
      </w:r>
    </w:p>
    <w:p w14:paraId="67F4CB02" w14:textId="77777777" w:rsidR="00E96044" w:rsidRPr="00E96044" w:rsidRDefault="00E96044" w:rsidP="00E96044">
      <w:pPr>
        <w:pStyle w:val="BodyText2Sgl"/>
        <w:spacing w:after="0"/>
        <w:ind w:firstLine="0"/>
        <w:jc w:val="both"/>
        <w:rPr>
          <w:sz w:val="22"/>
          <w:szCs w:val="22"/>
          <w:lang w:val="es-GT"/>
        </w:rPr>
      </w:pPr>
    </w:p>
    <w:p w14:paraId="351CFEAB" w14:textId="77777777" w:rsidR="00465802" w:rsidRDefault="00465802" w:rsidP="00E96044">
      <w:pPr>
        <w:pStyle w:val="BodyText2Sgl"/>
        <w:spacing w:after="0"/>
        <w:ind w:firstLine="0"/>
        <w:jc w:val="both"/>
        <w:rPr>
          <w:sz w:val="22"/>
          <w:szCs w:val="22"/>
          <w:lang w:val="es-GT"/>
        </w:rPr>
      </w:pPr>
      <w:r w:rsidRPr="00E96044">
        <w:rPr>
          <w:sz w:val="22"/>
          <w:szCs w:val="22"/>
          <w:lang w:val="es-GT"/>
        </w:rPr>
        <w:t>El PAPTN priorizó sus acciones en cuatro ejes estratégicos:</w:t>
      </w:r>
    </w:p>
    <w:p w14:paraId="3462B206" w14:textId="77777777" w:rsidR="00E96044" w:rsidRPr="00E96044" w:rsidRDefault="00E96044" w:rsidP="00E96044">
      <w:pPr>
        <w:pStyle w:val="BodyText2Sgl"/>
        <w:spacing w:after="0"/>
        <w:ind w:firstLine="0"/>
        <w:jc w:val="both"/>
        <w:rPr>
          <w:sz w:val="22"/>
          <w:szCs w:val="22"/>
          <w:lang w:val="es-GT"/>
        </w:rPr>
      </w:pPr>
    </w:p>
    <w:p w14:paraId="49546A18" w14:textId="77777777" w:rsidR="00465802" w:rsidRPr="00E96044" w:rsidRDefault="00465802" w:rsidP="00E96044">
      <w:pPr>
        <w:pStyle w:val="BodyText2Sgl"/>
        <w:numPr>
          <w:ilvl w:val="0"/>
          <w:numId w:val="34"/>
        </w:numPr>
        <w:spacing w:after="0"/>
        <w:jc w:val="both"/>
        <w:rPr>
          <w:sz w:val="22"/>
          <w:szCs w:val="22"/>
          <w:lang w:val="es-GT"/>
        </w:rPr>
      </w:pPr>
      <w:r w:rsidRPr="00E96044">
        <w:rPr>
          <w:sz w:val="22"/>
          <w:szCs w:val="22"/>
          <w:lang w:val="es-GT"/>
        </w:rPr>
        <w:t>Dinamizar el Sector Productivo</w:t>
      </w:r>
    </w:p>
    <w:p w14:paraId="4676F35C" w14:textId="77777777" w:rsidR="00465802" w:rsidRPr="00E96044" w:rsidRDefault="00465802" w:rsidP="00E96044">
      <w:pPr>
        <w:pStyle w:val="BodyText2Sgl"/>
        <w:numPr>
          <w:ilvl w:val="0"/>
          <w:numId w:val="34"/>
        </w:numPr>
        <w:spacing w:after="0"/>
        <w:jc w:val="both"/>
        <w:rPr>
          <w:sz w:val="22"/>
          <w:szCs w:val="22"/>
          <w:lang w:val="es-GT"/>
        </w:rPr>
      </w:pPr>
      <w:r w:rsidRPr="00E96044">
        <w:rPr>
          <w:sz w:val="22"/>
          <w:szCs w:val="22"/>
          <w:lang w:val="es-GT"/>
        </w:rPr>
        <w:t>Desarrollar el Capital Humano</w:t>
      </w:r>
    </w:p>
    <w:p w14:paraId="5C62E5B0" w14:textId="77777777" w:rsidR="00465802" w:rsidRPr="00E96044" w:rsidRDefault="00465802" w:rsidP="00E96044">
      <w:pPr>
        <w:pStyle w:val="BodyText2Sgl"/>
        <w:numPr>
          <w:ilvl w:val="0"/>
          <w:numId w:val="34"/>
        </w:numPr>
        <w:spacing w:after="0"/>
        <w:jc w:val="both"/>
        <w:rPr>
          <w:sz w:val="22"/>
          <w:szCs w:val="22"/>
          <w:lang w:val="es-GT"/>
        </w:rPr>
      </w:pPr>
      <w:r w:rsidRPr="00E96044">
        <w:rPr>
          <w:sz w:val="22"/>
          <w:szCs w:val="22"/>
          <w:lang w:val="es-GT"/>
        </w:rPr>
        <w:t>Mejorar la Seguridad Ciudadana y Justicia</w:t>
      </w:r>
    </w:p>
    <w:p w14:paraId="591285E6" w14:textId="77777777" w:rsidR="00621318" w:rsidRDefault="00465802" w:rsidP="00621318">
      <w:pPr>
        <w:pStyle w:val="BodyText2Sgl"/>
        <w:numPr>
          <w:ilvl w:val="0"/>
          <w:numId w:val="34"/>
        </w:numPr>
        <w:spacing w:after="0"/>
        <w:jc w:val="both"/>
        <w:rPr>
          <w:sz w:val="22"/>
          <w:szCs w:val="22"/>
          <w:lang w:val="es-GT"/>
        </w:rPr>
      </w:pPr>
      <w:r w:rsidRPr="00E96044">
        <w:rPr>
          <w:sz w:val="22"/>
          <w:szCs w:val="22"/>
          <w:lang w:val="es-GT"/>
        </w:rPr>
        <w:t>Fortalecimiento Institucional y Mejorar la Transparencia</w:t>
      </w:r>
    </w:p>
    <w:p w14:paraId="36A7B726" w14:textId="77777777" w:rsidR="00621318" w:rsidRPr="00621318" w:rsidRDefault="00621318" w:rsidP="00621318">
      <w:pPr>
        <w:pStyle w:val="BodyText2Sgl"/>
        <w:spacing w:after="0"/>
        <w:ind w:left="720" w:firstLine="0"/>
        <w:jc w:val="both"/>
        <w:rPr>
          <w:sz w:val="22"/>
          <w:szCs w:val="22"/>
          <w:lang w:val="es-GT"/>
        </w:rPr>
      </w:pPr>
    </w:p>
    <w:p w14:paraId="5B2A0A8A" w14:textId="77777777" w:rsidR="00465802" w:rsidRDefault="00465802" w:rsidP="00E96044">
      <w:pPr>
        <w:pStyle w:val="BodyText2Sgl"/>
        <w:spacing w:after="0"/>
        <w:ind w:firstLine="0"/>
        <w:jc w:val="both"/>
        <w:rPr>
          <w:sz w:val="22"/>
          <w:szCs w:val="22"/>
          <w:lang w:val="es-GT"/>
        </w:rPr>
      </w:pPr>
      <w:r w:rsidRPr="00E96044">
        <w:rPr>
          <w:sz w:val="22"/>
          <w:szCs w:val="22"/>
          <w:lang w:val="es-GT"/>
        </w:rPr>
        <w:t>Este Plan fue respaldado por el compromiso financiero de los respectivos gobiernos a través de los presupuestos nacionales y por subvenciones de los Estados Unidos (a través de asignación de recursos a sus agencias, como USAID o INL).</w:t>
      </w:r>
    </w:p>
    <w:p w14:paraId="76E332E3" w14:textId="77777777" w:rsidR="00E96044" w:rsidRPr="00E96044" w:rsidRDefault="00E96044" w:rsidP="00E96044">
      <w:pPr>
        <w:pStyle w:val="BodyText2Sgl"/>
        <w:spacing w:after="0"/>
        <w:ind w:firstLine="0"/>
        <w:jc w:val="both"/>
        <w:rPr>
          <w:sz w:val="22"/>
          <w:szCs w:val="22"/>
          <w:lang w:val="es-GT"/>
        </w:rPr>
      </w:pPr>
    </w:p>
    <w:p w14:paraId="052417BE" w14:textId="77777777" w:rsidR="00465802" w:rsidRPr="00E96044" w:rsidRDefault="00465802" w:rsidP="00E96044">
      <w:pPr>
        <w:pStyle w:val="BodyText2Sgl"/>
        <w:spacing w:after="0"/>
        <w:ind w:firstLine="0"/>
        <w:jc w:val="both"/>
        <w:rPr>
          <w:sz w:val="22"/>
          <w:szCs w:val="22"/>
          <w:lang w:val="es-GT"/>
        </w:rPr>
      </w:pPr>
      <w:r w:rsidRPr="00E96044">
        <w:rPr>
          <w:sz w:val="22"/>
          <w:szCs w:val="22"/>
          <w:lang w:val="es-GT"/>
        </w:rPr>
        <w:t>Durante el período</w:t>
      </w:r>
      <w:r w:rsidR="001057E4">
        <w:rPr>
          <w:sz w:val="22"/>
          <w:szCs w:val="22"/>
          <w:lang w:val="es-GT"/>
        </w:rPr>
        <w:t xml:space="preserve"> 2016-2019, Guatemala identificó</w:t>
      </w:r>
      <w:r w:rsidRPr="00E96044">
        <w:rPr>
          <w:sz w:val="22"/>
          <w:szCs w:val="22"/>
          <w:lang w:val="es-GT"/>
        </w:rPr>
        <w:t xml:space="preserve"> dentro del Presupuesto Nacional para cada ejercicio fiscal, una serie de programas, actividades u obras que las diferentes entidades públicas relacionaron a los </w:t>
      </w:r>
      <w:r w:rsidRPr="00E96044">
        <w:rPr>
          <w:sz w:val="22"/>
          <w:szCs w:val="22"/>
          <w:lang w:val="es-GT"/>
        </w:rPr>
        <w:lastRenderedPageBreak/>
        <w:t>objetivos de los ejes estratégicos del PAPTN. De esa cuenta, durante los cuatro años de ejecución del PAPTN, Guatemala ejecut</w:t>
      </w:r>
      <w:r w:rsidR="001057E4">
        <w:rPr>
          <w:sz w:val="22"/>
          <w:szCs w:val="22"/>
          <w:lang w:val="es-GT"/>
        </w:rPr>
        <w:t>ó</w:t>
      </w:r>
      <w:r w:rsidRPr="00E96044">
        <w:rPr>
          <w:sz w:val="22"/>
          <w:szCs w:val="22"/>
          <w:lang w:val="es-GT"/>
        </w:rPr>
        <w:t xml:space="preserve"> Q26,386.8 millones en programas, actividades y obras. </w:t>
      </w:r>
    </w:p>
    <w:p w14:paraId="54AF8F71" w14:textId="77777777" w:rsidR="00465802" w:rsidRPr="00E96044" w:rsidRDefault="00E96044" w:rsidP="00E96044">
      <w:pPr>
        <w:pStyle w:val="BodyText2Sgl"/>
        <w:spacing w:after="0"/>
        <w:ind w:firstLine="0"/>
        <w:jc w:val="both"/>
        <w:rPr>
          <w:sz w:val="22"/>
          <w:szCs w:val="22"/>
          <w:lang w:val="es-GT"/>
        </w:rPr>
      </w:pPr>
      <w:r w:rsidRPr="00E96044">
        <w:rPr>
          <w:noProof/>
          <w:sz w:val="22"/>
          <w:szCs w:val="22"/>
          <w:lang w:val="es-ES" w:eastAsia="es-ES"/>
        </w:rPr>
        <w:drawing>
          <wp:anchor distT="0" distB="0" distL="114300" distR="114300" simplePos="0" relativeHeight="251658752" behindDoc="0" locked="0" layoutInCell="1" allowOverlap="1" wp14:anchorId="699AC7A7" wp14:editId="0FB99ECD">
            <wp:simplePos x="0" y="0"/>
            <wp:positionH relativeFrom="column">
              <wp:posOffset>594360</wp:posOffset>
            </wp:positionH>
            <wp:positionV relativeFrom="paragraph">
              <wp:posOffset>20955</wp:posOffset>
            </wp:positionV>
            <wp:extent cx="4635500" cy="265557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6E1EBD76" w14:textId="77777777" w:rsidR="00465802" w:rsidRPr="00E96044" w:rsidRDefault="00465802" w:rsidP="00E96044">
      <w:pPr>
        <w:pStyle w:val="BodyText2Sgl"/>
        <w:spacing w:after="0"/>
        <w:ind w:firstLine="0"/>
        <w:jc w:val="both"/>
        <w:rPr>
          <w:sz w:val="22"/>
          <w:szCs w:val="22"/>
          <w:lang w:val="es-GT"/>
        </w:rPr>
      </w:pPr>
    </w:p>
    <w:p w14:paraId="2C5748C9" w14:textId="77777777" w:rsidR="00465802" w:rsidRPr="00E96044" w:rsidRDefault="00465802" w:rsidP="00E96044">
      <w:pPr>
        <w:pStyle w:val="BodyText2Sgl"/>
        <w:spacing w:after="0"/>
        <w:ind w:firstLine="0"/>
        <w:jc w:val="both"/>
        <w:rPr>
          <w:sz w:val="22"/>
          <w:szCs w:val="22"/>
          <w:lang w:val="es-GT"/>
        </w:rPr>
      </w:pPr>
    </w:p>
    <w:p w14:paraId="2B9016AB" w14:textId="77777777" w:rsidR="00465802" w:rsidRPr="00E96044" w:rsidRDefault="00465802" w:rsidP="00E96044">
      <w:pPr>
        <w:pStyle w:val="BodyText2Sgl"/>
        <w:spacing w:after="0"/>
        <w:ind w:firstLine="0"/>
        <w:jc w:val="both"/>
        <w:rPr>
          <w:sz w:val="22"/>
          <w:szCs w:val="22"/>
          <w:lang w:val="es-GT"/>
        </w:rPr>
      </w:pPr>
    </w:p>
    <w:p w14:paraId="51C27B2E" w14:textId="77777777" w:rsidR="00465802" w:rsidRPr="00E96044" w:rsidRDefault="00465802" w:rsidP="00E96044">
      <w:pPr>
        <w:pStyle w:val="BodyText2Sgl"/>
        <w:spacing w:after="0"/>
        <w:ind w:firstLine="0"/>
        <w:jc w:val="both"/>
        <w:rPr>
          <w:sz w:val="22"/>
          <w:szCs w:val="22"/>
          <w:lang w:val="es-GT"/>
        </w:rPr>
      </w:pPr>
    </w:p>
    <w:p w14:paraId="2CFC847B" w14:textId="77777777" w:rsidR="00465802" w:rsidRPr="00E96044" w:rsidRDefault="00465802" w:rsidP="00E96044">
      <w:pPr>
        <w:pStyle w:val="BodyText2Sgl"/>
        <w:spacing w:after="0"/>
        <w:ind w:firstLine="0"/>
        <w:jc w:val="both"/>
        <w:rPr>
          <w:sz w:val="22"/>
          <w:szCs w:val="22"/>
          <w:lang w:val="es-GT"/>
        </w:rPr>
      </w:pPr>
    </w:p>
    <w:p w14:paraId="6E732451" w14:textId="77777777" w:rsidR="00465802" w:rsidRPr="00E96044" w:rsidRDefault="00465802" w:rsidP="00E96044">
      <w:pPr>
        <w:pStyle w:val="BodyText2Sgl"/>
        <w:spacing w:after="0"/>
        <w:ind w:firstLine="0"/>
        <w:jc w:val="both"/>
        <w:rPr>
          <w:sz w:val="22"/>
          <w:szCs w:val="22"/>
          <w:lang w:val="es-GT"/>
        </w:rPr>
      </w:pPr>
    </w:p>
    <w:p w14:paraId="52453C1F" w14:textId="77777777" w:rsidR="00465802" w:rsidRPr="00E96044" w:rsidRDefault="00465802" w:rsidP="00E96044">
      <w:pPr>
        <w:pStyle w:val="BodyText2Sgl"/>
        <w:spacing w:after="0"/>
        <w:ind w:firstLine="0"/>
        <w:jc w:val="both"/>
        <w:rPr>
          <w:sz w:val="22"/>
          <w:szCs w:val="22"/>
          <w:lang w:val="es-GT"/>
        </w:rPr>
      </w:pPr>
    </w:p>
    <w:p w14:paraId="4520657A" w14:textId="77777777" w:rsidR="00465802" w:rsidRPr="00E96044" w:rsidRDefault="00465802" w:rsidP="00E96044">
      <w:pPr>
        <w:pStyle w:val="BodyText2Sgl"/>
        <w:spacing w:after="0"/>
        <w:ind w:firstLine="0"/>
        <w:jc w:val="both"/>
        <w:rPr>
          <w:sz w:val="22"/>
          <w:szCs w:val="22"/>
          <w:lang w:val="es-GT"/>
        </w:rPr>
      </w:pPr>
    </w:p>
    <w:p w14:paraId="06E1C899" w14:textId="77777777" w:rsidR="00465802" w:rsidRPr="00E96044" w:rsidRDefault="00465802" w:rsidP="00E96044">
      <w:pPr>
        <w:pStyle w:val="BodyText2Sgl"/>
        <w:spacing w:after="0"/>
        <w:ind w:firstLine="0"/>
        <w:jc w:val="both"/>
        <w:rPr>
          <w:sz w:val="22"/>
          <w:szCs w:val="22"/>
          <w:lang w:val="es-GT"/>
        </w:rPr>
      </w:pPr>
    </w:p>
    <w:p w14:paraId="1ED94FCE" w14:textId="77777777" w:rsidR="00465802" w:rsidRPr="00E96044" w:rsidRDefault="00465802" w:rsidP="00E96044">
      <w:pPr>
        <w:pStyle w:val="BodyText2Sgl"/>
        <w:spacing w:after="0"/>
        <w:ind w:firstLine="0"/>
        <w:jc w:val="both"/>
        <w:rPr>
          <w:sz w:val="22"/>
          <w:szCs w:val="22"/>
          <w:lang w:val="es-GT"/>
        </w:rPr>
      </w:pPr>
    </w:p>
    <w:p w14:paraId="11D74A7C" w14:textId="77777777" w:rsidR="00465802" w:rsidRPr="00621318" w:rsidRDefault="00E96044" w:rsidP="00E96044">
      <w:pPr>
        <w:ind w:left="708" w:firstLine="708"/>
        <w:rPr>
          <w:rFonts w:ascii="Times New Roman" w:hAnsi="Times New Roman" w:cs="Times New Roman"/>
          <w:sz w:val="16"/>
          <w:szCs w:val="16"/>
        </w:rPr>
      </w:pPr>
      <w:r w:rsidRPr="00621318">
        <w:rPr>
          <w:rFonts w:ascii="Times New Roman" w:hAnsi="Times New Roman" w:cs="Times New Roman"/>
          <w:sz w:val="16"/>
          <w:szCs w:val="16"/>
        </w:rPr>
        <w:t>Fuente: D</w:t>
      </w:r>
      <w:r w:rsidR="00FA17E4">
        <w:rPr>
          <w:rFonts w:ascii="Times New Roman" w:hAnsi="Times New Roman" w:cs="Times New Roman"/>
          <w:sz w:val="16"/>
          <w:szCs w:val="16"/>
        </w:rPr>
        <w:t xml:space="preserve">irección de </w:t>
      </w:r>
      <w:r w:rsidRPr="00621318">
        <w:rPr>
          <w:rFonts w:ascii="Times New Roman" w:hAnsi="Times New Roman" w:cs="Times New Roman"/>
          <w:sz w:val="16"/>
          <w:szCs w:val="16"/>
        </w:rPr>
        <w:t>A</w:t>
      </w:r>
      <w:r w:rsidR="00FA17E4">
        <w:rPr>
          <w:rFonts w:ascii="Times New Roman" w:hAnsi="Times New Roman" w:cs="Times New Roman"/>
          <w:sz w:val="16"/>
          <w:szCs w:val="16"/>
        </w:rPr>
        <w:t xml:space="preserve">nálisis y </w:t>
      </w:r>
      <w:r w:rsidRPr="00621318">
        <w:rPr>
          <w:rFonts w:ascii="Times New Roman" w:hAnsi="Times New Roman" w:cs="Times New Roman"/>
          <w:sz w:val="16"/>
          <w:szCs w:val="16"/>
        </w:rPr>
        <w:t>P</w:t>
      </w:r>
      <w:r w:rsidR="00FA17E4">
        <w:rPr>
          <w:rFonts w:ascii="Times New Roman" w:hAnsi="Times New Roman" w:cs="Times New Roman"/>
          <w:sz w:val="16"/>
          <w:szCs w:val="16"/>
        </w:rPr>
        <w:t xml:space="preserve">olítica </w:t>
      </w:r>
      <w:r w:rsidRPr="00621318">
        <w:rPr>
          <w:rFonts w:ascii="Times New Roman" w:hAnsi="Times New Roman" w:cs="Times New Roman"/>
          <w:sz w:val="16"/>
          <w:szCs w:val="16"/>
        </w:rPr>
        <w:t>F</w:t>
      </w:r>
      <w:r w:rsidR="00FA17E4">
        <w:rPr>
          <w:rFonts w:ascii="Times New Roman" w:hAnsi="Times New Roman" w:cs="Times New Roman"/>
          <w:sz w:val="16"/>
          <w:szCs w:val="16"/>
        </w:rPr>
        <w:t>iscal</w:t>
      </w:r>
    </w:p>
    <w:p w14:paraId="0B5136D0" w14:textId="77777777" w:rsidR="00E96044" w:rsidRPr="00E96044" w:rsidRDefault="00E96044" w:rsidP="00E96044">
      <w:pPr>
        <w:rPr>
          <w:rFonts w:ascii="Times New Roman" w:hAnsi="Times New Roman" w:cs="Times New Roman"/>
          <w:sz w:val="22"/>
          <w:szCs w:val="22"/>
        </w:rPr>
      </w:pPr>
    </w:p>
    <w:p w14:paraId="45B09324" w14:textId="77777777" w:rsidR="00465802" w:rsidRPr="00E96044" w:rsidRDefault="00465802" w:rsidP="00E96044">
      <w:pPr>
        <w:pStyle w:val="BodyText2Sgl"/>
        <w:spacing w:after="0"/>
        <w:ind w:firstLine="0"/>
        <w:jc w:val="both"/>
        <w:rPr>
          <w:sz w:val="22"/>
          <w:szCs w:val="22"/>
          <w:lang w:val="es-GT"/>
        </w:rPr>
      </w:pPr>
      <w:r w:rsidRPr="00E96044">
        <w:rPr>
          <w:sz w:val="22"/>
          <w:szCs w:val="22"/>
          <w:lang w:val="es-GT"/>
        </w:rPr>
        <w:t xml:space="preserve">Paralelo a la ejecución del PAPTN, han surgido nuevas iniciativas que buscan atacar las causas de la migración, siendo las que </w:t>
      </w:r>
      <w:r w:rsidR="00C71D5C" w:rsidRPr="00E96044">
        <w:rPr>
          <w:sz w:val="22"/>
          <w:szCs w:val="22"/>
          <w:lang w:val="es-GT"/>
        </w:rPr>
        <w:t>dé</w:t>
      </w:r>
      <w:r w:rsidRPr="00E96044">
        <w:rPr>
          <w:sz w:val="22"/>
          <w:szCs w:val="22"/>
          <w:lang w:val="es-GT"/>
        </w:rPr>
        <w:t xml:space="preserve"> mayor impulso: El Plan de Desarrollo Integral para El Salvador, Guatemala, Honduras y el sur-sureste de México (PDI) y América Crece promovido por los EE.UU.</w:t>
      </w:r>
    </w:p>
    <w:p w14:paraId="2209B428" w14:textId="77777777" w:rsidR="00E96044" w:rsidRPr="00E96044" w:rsidRDefault="00E96044" w:rsidP="00E96044">
      <w:pPr>
        <w:pStyle w:val="BodyText2Sgl"/>
        <w:spacing w:after="0"/>
        <w:ind w:firstLine="0"/>
        <w:jc w:val="both"/>
        <w:rPr>
          <w:sz w:val="22"/>
          <w:szCs w:val="22"/>
          <w:lang w:val="es-GT"/>
        </w:rPr>
      </w:pPr>
    </w:p>
    <w:p w14:paraId="69512178" w14:textId="77777777" w:rsidR="00621318" w:rsidRPr="00621318" w:rsidRDefault="00621318" w:rsidP="00621318">
      <w:pPr>
        <w:pStyle w:val="Prrafodelista"/>
        <w:numPr>
          <w:ilvl w:val="0"/>
          <w:numId w:val="32"/>
        </w:numPr>
        <w:jc w:val="both"/>
        <w:outlineLvl w:val="2"/>
        <w:rPr>
          <w:rFonts w:ascii="Times New Roman" w:hAnsi="Times New Roman" w:cs="Times New Roman"/>
          <w:b/>
          <w:vanish/>
          <w:lang w:val="es-MX"/>
        </w:rPr>
      </w:pPr>
      <w:bookmarkStart w:id="137" w:name="_Toc31811715"/>
      <w:bookmarkStart w:id="138" w:name="_Toc31971878"/>
      <w:bookmarkStart w:id="139" w:name="_Toc32230900"/>
      <w:bookmarkEnd w:id="137"/>
      <w:bookmarkEnd w:id="138"/>
      <w:bookmarkEnd w:id="139"/>
    </w:p>
    <w:p w14:paraId="687DE89C" w14:textId="77777777" w:rsidR="00621318" w:rsidRPr="00621318" w:rsidRDefault="00621318" w:rsidP="00621318">
      <w:pPr>
        <w:pStyle w:val="Prrafodelista"/>
        <w:numPr>
          <w:ilvl w:val="1"/>
          <w:numId w:val="32"/>
        </w:numPr>
        <w:jc w:val="both"/>
        <w:outlineLvl w:val="2"/>
        <w:rPr>
          <w:rFonts w:ascii="Times New Roman" w:hAnsi="Times New Roman" w:cs="Times New Roman"/>
          <w:b/>
          <w:vanish/>
          <w:lang w:val="es-MX"/>
        </w:rPr>
      </w:pPr>
      <w:bookmarkStart w:id="140" w:name="_Toc31811716"/>
      <w:bookmarkStart w:id="141" w:name="_Toc31971879"/>
      <w:bookmarkStart w:id="142" w:name="_Toc32230901"/>
      <w:bookmarkEnd w:id="140"/>
      <w:bookmarkEnd w:id="141"/>
      <w:bookmarkEnd w:id="142"/>
    </w:p>
    <w:p w14:paraId="415197B7" w14:textId="77777777" w:rsidR="00621318" w:rsidRPr="00621318" w:rsidRDefault="00621318" w:rsidP="00621318">
      <w:pPr>
        <w:pStyle w:val="Prrafodelista"/>
        <w:numPr>
          <w:ilvl w:val="1"/>
          <w:numId w:val="32"/>
        </w:numPr>
        <w:jc w:val="both"/>
        <w:outlineLvl w:val="2"/>
        <w:rPr>
          <w:rFonts w:ascii="Times New Roman" w:hAnsi="Times New Roman" w:cs="Times New Roman"/>
          <w:b/>
          <w:vanish/>
          <w:lang w:val="es-MX"/>
        </w:rPr>
      </w:pPr>
      <w:bookmarkStart w:id="143" w:name="_Toc31811717"/>
      <w:bookmarkStart w:id="144" w:name="_Toc31971880"/>
      <w:bookmarkStart w:id="145" w:name="_Toc32230902"/>
      <w:bookmarkEnd w:id="143"/>
      <w:bookmarkEnd w:id="144"/>
      <w:bookmarkEnd w:id="145"/>
    </w:p>
    <w:p w14:paraId="723628A9" w14:textId="77777777" w:rsidR="00621318" w:rsidRPr="00621318" w:rsidRDefault="00621318" w:rsidP="00621318">
      <w:pPr>
        <w:pStyle w:val="Prrafodelista"/>
        <w:numPr>
          <w:ilvl w:val="1"/>
          <w:numId w:val="32"/>
        </w:numPr>
        <w:jc w:val="both"/>
        <w:outlineLvl w:val="2"/>
        <w:rPr>
          <w:rFonts w:ascii="Times New Roman" w:hAnsi="Times New Roman" w:cs="Times New Roman"/>
          <w:b/>
          <w:vanish/>
          <w:lang w:val="es-MX"/>
        </w:rPr>
      </w:pPr>
      <w:bookmarkStart w:id="146" w:name="_Toc31811718"/>
      <w:bookmarkStart w:id="147" w:name="_Toc31971881"/>
      <w:bookmarkStart w:id="148" w:name="_Toc32230903"/>
      <w:bookmarkEnd w:id="146"/>
      <w:bookmarkEnd w:id="147"/>
      <w:bookmarkEnd w:id="148"/>
    </w:p>
    <w:p w14:paraId="22C2CBCA" w14:textId="77777777" w:rsidR="00621318" w:rsidRPr="00621318" w:rsidRDefault="00621318" w:rsidP="00621318">
      <w:pPr>
        <w:pStyle w:val="Prrafodelista"/>
        <w:numPr>
          <w:ilvl w:val="1"/>
          <w:numId w:val="32"/>
        </w:numPr>
        <w:jc w:val="both"/>
        <w:outlineLvl w:val="2"/>
        <w:rPr>
          <w:rFonts w:ascii="Times New Roman" w:hAnsi="Times New Roman" w:cs="Times New Roman"/>
          <w:b/>
          <w:vanish/>
          <w:lang w:val="es-MX"/>
        </w:rPr>
      </w:pPr>
      <w:bookmarkStart w:id="149" w:name="_Toc31811719"/>
      <w:bookmarkStart w:id="150" w:name="_Toc31971882"/>
      <w:bookmarkStart w:id="151" w:name="_Toc32230904"/>
      <w:bookmarkEnd w:id="149"/>
      <w:bookmarkEnd w:id="150"/>
      <w:bookmarkEnd w:id="151"/>
    </w:p>
    <w:p w14:paraId="2610C98B" w14:textId="77777777" w:rsidR="00621318" w:rsidRPr="00621318" w:rsidRDefault="00621318" w:rsidP="00621318">
      <w:pPr>
        <w:pStyle w:val="Prrafodelista"/>
        <w:numPr>
          <w:ilvl w:val="1"/>
          <w:numId w:val="32"/>
        </w:numPr>
        <w:jc w:val="both"/>
        <w:outlineLvl w:val="2"/>
        <w:rPr>
          <w:rFonts w:ascii="Times New Roman" w:hAnsi="Times New Roman" w:cs="Times New Roman"/>
          <w:b/>
          <w:vanish/>
          <w:lang w:val="es-MX"/>
        </w:rPr>
      </w:pPr>
      <w:bookmarkStart w:id="152" w:name="_Toc31811720"/>
      <w:bookmarkStart w:id="153" w:name="_Toc31971883"/>
      <w:bookmarkStart w:id="154" w:name="_Toc32230905"/>
      <w:bookmarkEnd w:id="152"/>
      <w:bookmarkEnd w:id="153"/>
      <w:bookmarkEnd w:id="154"/>
    </w:p>
    <w:p w14:paraId="6D10A612" w14:textId="77777777" w:rsidR="00621318" w:rsidRPr="00621318" w:rsidRDefault="00621318" w:rsidP="00621318">
      <w:pPr>
        <w:pStyle w:val="Prrafodelista"/>
        <w:numPr>
          <w:ilvl w:val="1"/>
          <w:numId w:val="32"/>
        </w:numPr>
        <w:jc w:val="both"/>
        <w:outlineLvl w:val="2"/>
        <w:rPr>
          <w:rFonts w:ascii="Times New Roman" w:hAnsi="Times New Roman" w:cs="Times New Roman"/>
          <w:b/>
          <w:vanish/>
          <w:lang w:val="es-MX"/>
        </w:rPr>
      </w:pPr>
      <w:bookmarkStart w:id="155" w:name="_Toc31811721"/>
      <w:bookmarkStart w:id="156" w:name="_Toc31971884"/>
      <w:bookmarkStart w:id="157" w:name="_Toc32230906"/>
      <w:bookmarkEnd w:id="155"/>
      <w:bookmarkEnd w:id="156"/>
      <w:bookmarkEnd w:id="157"/>
    </w:p>
    <w:p w14:paraId="32BFF2CE" w14:textId="77777777" w:rsidR="00465802" w:rsidRPr="00621318" w:rsidRDefault="00465802" w:rsidP="00621318">
      <w:pPr>
        <w:pStyle w:val="Prrafodelista"/>
        <w:numPr>
          <w:ilvl w:val="2"/>
          <w:numId w:val="32"/>
        </w:numPr>
        <w:ind w:left="862"/>
        <w:jc w:val="both"/>
        <w:outlineLvl w:val="2"/>
        <w:rPr>
          <w:rFonts w:ascii="Times New Roman" w:hAnsi="Times New Roman" w:cs="Times New Roman"/>
          <w:b/>
          <w:lang w:val="es-MX"/>
        </w:rPr>
      </w:pPr>
      <w:bookmarkStart w:id="158" w:name="_Toc32230907"/>
      <w:r w:rsidRPr="00621318">
        <w:rPr>
          <w:rFonts w:ascii="Times New Roman" w:hAnsi="Times New Roman" w:cs="Times New Roman"/>
          <w:b/>
          <w:lang w:val="es-MX"/>
        </w:rPr>
        <w:t>Plan de Desarrollo Integral para El Salvador, Guatemala, Honduras y el sur-sureste de México –PDI-</w:t>
      </w:r>
      <w:bookmarkEnd w:id="158"/>
    </w:p>
    <w:p w14:paraId="08D2A2D4" w14:textId="77777777" w:rsidR="00621318" w:rsidRPr="00E96044" w:rsidRDefault="00621318" w:rsidP="00E96044">
      <w:pPr>
        <w:pStyle w:val="Textoindependiente"/>
        <w:spacing w:after="0" w:line="240" w:lineRule="auto"/>
        <w:rPr>
          <w:rFonts w:ascii="Times New Roman" w:hAnsi="Times New Roman"/>
          <w:b/>
        </w:rPr>
      </w:pPr>
    </w:p>
    <w:p w14:paraId="13BD5844" w14:textId="77777777" w:rsidR="00465802" w:rsidRPr="00E96044" w:rsidRDefault="00465802" w:rsidP="00E96044">
      <w:pPr>
        <w:pStyle w:val="Textoindependiente"/>
        <w:spacing w:after="0" w:line="240" w:lineRule="auto"/>
        <w:jc w:val="both"/>
        <w:rPr>
          <w:rFonts w:ascii="Times New Roman" w:hAnsi="Times New Roman"/>
        </w:rPr>
      </w:pPr>
      <w:r w:rsidRPr="00E96044">
        <w:rPr>
          <w:rFonts w:ascii="Times New Roman" w:hAnsi="Times New Roman"/>
        </w:rPr>
        <w:t>El 1 de diciembre de 2018, los presidentes de El Salvador, Guatemala, Honduras y México, suscribieron una declaración en la que sentaron las bases de entendimiento para la elaboración de una nueva relación entre los países mediante un Plan de Desarrollo Integral –PDI-.  Los cuatro países expresaron su voluntad de profundizar la cooperación en materia de desarrollo y migración para hacer de la movilidad humana una opción y no una obligación.  También solicitaron el apoyo técnico de la Comisión Económica para América Latina y el Caribe –CEPAL-, para el diseño e implementación de esa iniciativa.</w:t>
      </w:r>
    </w:p>
    <w:p w14:paraId="61EFD37C" w14:textId="77777777" w:rsidR="00465802" w:rsidRPr="00E96044" w:rsidRDefault="00465802" w:rsidP="00E96044">
      <w:pPr>
        <w:pStyle w:val="Textoindependiente"/>
        <w:spacing w:after="0" w:line="240" w:lineRule="auto"/>
        <w:jc w:val="both"/>
        <w:rPr>
          <w:rFonts w:ascii="Times New Roman" w:hAnsi="Times New Roman"/>
        </w:rPr>
      </w:pPr>
    </w:p>
    <w:p w14:paraId="48913162" w14:textId="77777777" w:rsidR="00465802" w:rsidRDefault="00465802" w:rsidP="00E96044">
      <w:pPr>
        <w:pStyle w:val="Textoindependiente"/>
        <w:spacing w:after="0" w:line="240" w:lineRule="auto"/>
        <w:jc w:val="both"/>
        <w:rPr>
          <w:rFonts w:ascii="Times New Roman" w:hAnsi="Times New Roman"/>
        </w:rPr>
      </w:pPr>
      <w:r w:rsidRPr="00E96044">
        <w:rPr>
          <w:rFonts w:ascii="Times New Roman" w:hAnsi="Times New Roman"/>
        </w:rPr>
        <w:t>El portafolio de propuestas, elaboradas de manera colectiva, será el corazón de esta iniciativa, dándole el impulso y sentido de realidad que este Plan requiere. De esa cuenta se tiene claro que el tema migratorio es y ha sido fuente de beneficios para la población y los países de origen, tránsito y destino, por lo que es fundamental abordarlo con un enfoque integral, mediante una serie de decisiones e intervenciones en todos los niveles y ámbitos institucionales y territoriales, que en el caso específico de Guatemala, se enmarca en el Plan Nacional de Desarrollo, en la articulación de los Objetivos de Desarrollo Sostenible con el Plan y con ello en las prioridades nacionales de desarrollo, así como en la Política General de Gobierno.</w:t>
      </w:r>
    </w:p>
    <w:p w14:paraId="052067AE" w14:textId="77777777" w:rsidR="001057E4" w:rsidRDefault="001057E4" w:rsidP="00E96044">
      <w:pPr>
        <w:pStyle w:val="Textoindependiente"/>
        <w:spacing w:after="0" w:line="240" w:lineRule="auto"/>
        <w:jc w:val="both"/>
        <w:rPr>
          <w:rFonts w:ascii="Times New Roman" w:hAnsi="Times New Roman"/>
        </w:rPr>
      </w:pPr>
    </w:p>
    <w:p w14:paraId="473620FA" w14:textId="77777777" w:rsidR="00465802" w:rsidRDefault="00465802" w:rsidP="00621318">
      <w:pPr>
        <w:pStyle w:val="Textoindependiente"/>
        <w:spacing w:after="0" w:line="240" w:lineRule="auto"/>
        <w:jc w:val="both"/>
        <w:rPr>
          <w:rFonts w:ascii="Times New Roman" w:hAnsi="Times New Roman"/>
        </w:rPr>
      </w:pPr>
      <w:r w:rsidRPr="00E96044">
        <w:rPr>
          <w:rFonts w:ascii="Times New Roman" w:hAnsi="Times New Roman"/>
        </w:rPr>
        <w:t xml:space="preserve">El Plan Integral de Desarrollo se </w:t>
      </w:r>
      <w:r w:rsidR="00C71D5C" w:rsidRPr="00E96044">
        <w:rPr>
          <w:rFonts w:ascii="Times New Roman" w:hAnsi="Times New Roman"/>
        </w:rPr>
        <w:t>ordena</w:t>
      </w:r>
      <w:r w:rsidRPr="00E96044">
        <w:rPr>
          <w:rFonts w:ascii="Times New Roman" w:hAnsi="Times New Roman"/>
        </w:rPr>
        <w:t xml:space="preserve"> en cuatro pilares estratégicos acordados por los países: </w:t>
      </w:r>
    </w:p>
    <w:p w14:paraId="029BFB74" w14:textId="77777777" w:rsidR="00621318" w:rsidRPr="00E96044" w:rsidRDefault="00621318" w:rsidP="00E96044">
      <w:pPr>
        <w:pStyle w:val="Textoindependiente"/>
        <w:spacing w:after="0" w:line="240" w:lineRule="auto"/>
        <w:ind w:left="360"/>
        <w:jc w:val="both"/>
        <w:rPr>
          <w:rFonts w:ascii="Times New Roman" w:hAnsi="Times New Roman"/>
        </w:rPr>
      </w:pPr>
    </w:p>
    <w:p w14:paraId="350A4272" w14:textId="77777777" w:rsidR="00465802" w:rsidRPr="00E96044" w:rsidRDefault="00465802" w:rsidP="00621318">
      <w:pPr>
        <w:pStyle w:val="Textoindependiente"/>
        <w:numPr>
          <w:ilvl w:val="0"/>
          <w:numId w:val="38"/>
        </w:numPr>
        <w:spacing w:after="0" w:line="240" w:lineRule="auto"/>
        <w:ind w:left="993" w:hanging="426"/>
        <w:jc w:val="both"/>
        <w:rPr>
          <w:rFonts w:ascii="Times New Roman" w:hAnsi="Times New Roman"/>
        </w:rPr>
      </w:pPr>
      <w:r w:rsidRPr="00E96044">
        <w:rPr>
          <w:rFonts w:ascii="Times New Roman" w:hAnsi="Times New Roman"/>
        </w:rPr>
        <w:t xml:space="preserve">Desarrollo económico. </w:t>
      </w:r>
    </w:p>
    <w:p w14:paraId="65A3D6D2" w14:textId="77777777" w:rsidR="00465802" w:rsidRPr="00E96044" w:rsidRDefault="00465802" w:rsidP="00621318">
      <w:pPr>
        <w:pStyle w:val="Textoindependiente"/>
        <w:numPr>
          <w:ilvl w:val="0"/>
          <w:numId w:val="38"/>
        </w:numPr>
        <w:spacing w:after="0" w:line="240" w:lineRule="auto"/>
        <w:ind w:left="993" w:hanging="426"/>
        <w:jc w:val="both"/>
        <w:rPr>
          <w:rFonts w:ascii="Times New Roman" w:hAnsi="Times New Roman"/>
        </w:rPr>
      </w:pPr>
      <w:r w:rsidRPr="00E96044">
        <w:rPr>
          <w:rFonts w:ascii="Times New Roman" w:hAnsi="Times New Roman"/>
        </w:rPr>
        <w:t>Bienestar social.</w:t>
      </w:r>
    </w:p>
    <w:p w14:paraId="59752B1A" w14:textId="77777777" w:rsidR="00465802" w:rsidRPr="00E96044" w:rsidRDefault="00465802" w:rsidP="00621318">
      <w:pPr>
        <w:pStyle w:val="Textoindependiente"/>
        <w:numPr>
          <w:ilvl w:val="0"/>
          <w:numId w:val="38"/>
        </w:numPr>
        <w:spacing w:after="0" w:line="240" w:lineRule="auto"/>
        <w:ind w:left="993" w:hanging="426"/>
        <w:jc w:val="both"/>
        <w:rPr>
          <w:rFonts w:ascii="Times New Roman" w:hAnsi="Times New Roman"/>
        </w:rPr>
      </w:pPr>
      <w:r w:rsidRPr="00E96044">
        <w:rPr>
          <w:rFonts w:ascii="Times New Roman" w:hAnsi="Times New Roman"/>
        </w:rPr>
        <w:t xml:space="preserve">Sostenibilidad ambiental y adaptación al cambio climático. </w:t>
      </w:r>
    </w:p>
    <w:p w14:paraId="7F036519" w14:textId="77777777" w:rsidR="00465802" w:rsidRPr="00E96044" w:rsidRDefault="00465802" w:rsidP="00621318">
      <w:pPr>
        <w:pStyle w:val="Textoindependiente"/>
        <w:numPr>
          <w:ilvl w:val="0"/>
          <w:numId w:val="38"/>
        </w:numPr>
        <w:spacing w:after="0" w:line="240" w:lineRule="auto"/>
        <w:ind w:left="993" w:hanging="426"/>
        <w:jc w:val="both"/>
        <w:rPr>
          <w:rFonts w:ascii="Times New Roman" w:hAnsi="Times New Roman"/>
        </w:rPr>
      </w:pPr>
      <w:r w:rsidRPr="00E96044">
        <w:rPr>
          <w:rFonts w:ascii="Times New Roman" w:hAnsi="Times New Roman"/>
        </w:rPr>
        <w:t>Gestión integral del ciclo migratorio.</w:t>
      </w:r>
    </w:p>
    <w:p w14:paraId="404A7C6C" w14:textId="77777777" w:rsidR="00465802" w:rsidRPr="00E96044" w:rsidRDefault="00465802" w:rsidP="00E96044">
      <w:pPr>
        <w:pStyle w:val="Textoindependiente"/>
        <w:spacing w:after="0" w:line="240" w:lineRule="auto"/>
        <w:jc w:val="both"/>
        <w:rPr>
          <w:rFonts w:ascii="Times New Roman" w:hAnsi="Times New Roman"/>
        </w:rPr>
      </w:pPr>
    </w:p>
    <w:p w14:paraId="04941D52" w14:textId="77777777" w:rsidR="00465802" w:rsidRPr="00063CB5" w:rsidRDefault="00465802" w:rsidP="00621318">
      <w:pPr>
        <w:pStyle w:val="Prrafodelista"/>
        <w:numPr>
          <w:ilvl w:val="2"/>
          <w:numId w:val="32"/>
        </w:numPr>
        <w:ind w:left="862"/>
        <w:jc w:val="both"/>
        <w:outlineLvl w:val="2"/>
        <w:rPr>
          <w:rFonts w:ascii="Times New Roman" w:hAnsi="Times New Roman" w:cs="Times New Roman"/>
          <w:b/>
          <w:sz w:val="24"/>
          <w:lang w:val="es-MX"/>
        </w:rPr>
      </w:pPr>
      <w:bookmarkStart w:id="159" w:name="_Toc32230908"/>
      <w:r w:rsidRPr="00063CB5">
        <w:rPr>
          <w:rFonts w:ascii="Times New Roman" w:hAnsi="Times New Roman" w:cs="Times New Roman"/>
          <w:b/>
          <w:sz w:val="24"/>
          <w:lang w:val="es-MX"/>
        </w:rPr>
        <w:lastRenderedPageBreak/>
        <w:t>América Crece</w:t>
      </w:r>
      <w:bookmarkEnd w:id="159"/>
    </w:p>
    <w:p w14:paraId="41357D59" w14:textId="77777777" w:rsidR="00621318" w:rsidRPr="00E96044" w:rsidRDefault="00621318" w:rsidP="00E96044">
      <w:pPr>
        <w:pStyle w:val="Textoindependiente"/>
        <w:spacing w:after="0" w:line="240" w:lineRule="auto"/>
        <w:ind w:left="360"/>
        <w:jc w:val="both"/>
        <w:rPr>
          <w:rFonts w:ascii="Times New Roman" w:hAnsi="Times New Roman"/>
          <w:b/>
        </w:rPr>
      </w:pPr>
    </w:p>
    <w:p w14:paraId="3C169FC4" w14:textId="77777777" w:rsidR="00465802" w:rsidRDefault="00465802" w:rsidP="00621318">
      <w:pPr>
        <w:pStyle w:val="Textoindependiente"/>
        <w:spacing w:after="0" w:line="240" w:lineRule="auto"/>
        <w:jc w:val="both"/>
        <w:rPr>
          <w:rFonts w:ascii="Times New Roman" w:hAnsi="Times New Roman"/>
        </w:rPr>
      </w:pPr>
      <w:r w:rsidRPr="00E96044">
        <w:rPr>
          <w:rFonts w:ascii="Times New Roman" w:hAnsi="Times New Roman"/>
        </w:rPr>
        <w:t>El gobierno de los Estados Unidos lanzó oficialmente la iniciativa ampliada América Crece con la participación de funcionarios de alto rango del gobierno de EE.UU. pertenecientes a siete agencias que involucran a líderes empresariales clave, así como a funcionarios de alto nivel de Latinoamérica y el Caribe en la Casa Blanca y la Cámara de Comercio de EE.UU.</w:t>
      </w:r>
    </w:p>
    <w:p w14:paraId="4AFBF346" w14:textId="77777777" w:rsidR="00621318" w:rsidRPr="00E96044" w:rsidRDefault="00621318" w:rsidP="00621318">
      <w:pPr>
        <w:pStyle w:val="Textoindependiente"/>
        <w:spacing w:after="0" w:line="240" w:lineRule="auto"/>
        <w:jc w:val="both"/>
        <w:rPr>
          <w:rFonts w:ascii="Times New Roman" w:hAnsi="Times New Roman"/>
        </w:rPr>
      </w:pPr>
    </w:p>
    <w:p w14:paraId="3EB0B2CD" w14:textId="77777777" w:rsidR="00465802" w:rsidRPr="00E96044" w:rsidRDefault="00465802" w:rsidP="00621318">
      <w:pPr>
        <w:pStyle w:val="Textoindependiente"/>
        <w:spacing w:after="0" w:line="240" w:lineRule="auto"/>
        <w:jc w:val="both"/>
        <w:rPr>
          <w:rFonts w:ascii="Times New Roman" w:hAnsi="Times New Roman"/>
        </w:rPr>
      </w:pPr>
      <w:r w:rsidRPr="00E96044">
        <w:rPr>
          <w:rFonts w:ascii="Times New Roman" w:hAnsi="Times New Roman"/>
        </w:rPr>
        <w:t>Esta es una iniciativa del gobierno que fomentará la inversión en infraestructura del sector privado en Latinoamérica y el Caribe. La cooperación bilateral ampliada entre los Estados Unidos y los países de la región ayudará a reducir las excesivas barreras regulatorias, legales, de adquisiciones y de mercado para la inversión.  América Crece busca facilitar la creación de empleo y acelerar el crecimiento económico en las Américas al promover al sector privado como el principal motor de crecimiento para desarrollar infraestructura crítica de todo tipo: energía, aeropuertos, puertos, carreteras, telecomunicaciones y redes digitales, entre otros.</w:t>
      </w:r>
    </w:p>
    <w:p w14:paraId="1BC82B4E" w14:textId="77777777" w:rsidR="00C84436" w:rsidRDefault="00C84436" w:rsidP="00C84436">
      <w:pPr>
        <w:jc w:val="both"/>
        <w:rPr>
          <w:rFonts w:ascii="Times New Roman" w:hAnsi="Times New Roman" w:cs="Times New Roman"/>
          <w:color w:val="FF0000"/>
          <w:lang w:val="es-MX"/>
        </w:rPr>
      </w:pPr>
      <w:bookmarkStart w:id="160" w:name="_Toc411347499"/>
    </w:p>
    <w:p w14:paraId="69321817" w14:textId="77777777" w:rsidR="00C84436" w:rsidRPr="00C84436" w:rsidRDefault="00C84436" w:rsidP="00C84436">
      <w:pPr>
        <w:pStyle w:val="Prrafodelista"/>
        <w:numPr>
          <w:ilvl w:val="0"/>
          <w:numId w:val="1"/>
        </w:numPr>
        <w:ind w:left="426" w:hanging="426"/>
        <w:jc w:val="both"/>
        <w:outlineLvl w:val="0"/>
        <w:rPr>
          <w:rFonts w:ascii="Times New Roman" w:hAnsi="Times New Roman" w:cs="Times New Roman"/>
          <w:b/>
          <w:sz w:val="24"/>
          <w:lang w:val="es-MX"/>
        </w:rPr>
      </w:pPr>
      <w:bookmarkStart w:id="161" w:name="_Toc32230909"/>
      <w:r w:rsidRPr="00C84436">
        <w:rPr>
          <w:rFonts w:ascii="Times New Roman" w:hAnsi="Times New Roman" w:cs="Times New Roman"/>
          <w:b/>
          <w:sz w:val="24"/>
          <w:lang w:val="es-MX"/>
        </w:rPr>
        <w:t>Resultado Fiscal y Financiamiento</w:t>
      </w:r>
      <w:bookmarkEnd w:id="161"/>
    </w:p>
    <w:p w14:paraId="41D31282" w14:textId="77777777" w:rsidR="00C84436" w:rsidRPr="00113A1E" w:rsidRDefault="00C84436" w:rsidP="00C84436">
      <w:pPr>
        <w:pStyle w:val="Prrafodelista"/>
        <w:ind w:left="426"/>
        <w:jc w:val="both"/>
        <w:outlineLvl w:val="0"/>
        <w:rPr>
          <w:rFonts w:ascii="Times New Roman" w:hAnsi="Times New Roman" w:cs="Times New Roman"/>
          <w:color w:val="FF0000"/>
          <w:lang w:val="es-MX"/>
        </w:rPr>
      </w:pPr>
    </w:p>
    <w:p w14:paraId="5979CB22" w14:textId="77777777" w:rsidR="00C84436" w:rsidRPr="00C84436" w:rsidRDefault="00C84436" w:rsidP="00C84436">
      <w:pPr>
        <w:pStyle w:val="Prrafodelista"/>
        <w:keepNext/>
        <w:keepLines/>
        <w:numPr>
          <w:ilvl w:val="0"/>
          <w:numId w:val="12"/>
        </w:numPr>
        <w:contextualSpacing w:val="0"/>
        <w:outlineLvl w:val="1"/>
        <w:rPr>
          <w:rFonts w:ascii="Times New Roman" w:eastAsiaTheme="majorEastAsia" w:hAnsi="Times New Roman" w:cs="Times New Roman"/>
          <w:b/>
          <w:bCs/>
          <w:vanish/>
          <w:sz w:val="24"/>
          <w:szCs w:val="26"/>
          <w:lang w:val="es-ES_tradnl" w:eastAsia="es-ES"/>
        </w:rPr>
      </w:pPr>
      <w:bookmarkStart w:id="162" w:name="_Toc31624513"/>
      <w:bookmarkStart w:id="163" w:name="_Toc31625365"/>
      <w:bookmarkStart w:id="164" w:name="_Toc31626820"/>
      <w:bookmarkStart w:id="165" w:name="_Toc31811271"/>
      <w:bookmarkStart w:id="166" w:name="_Toc31811725"/>
      <w:bookmarkStart w:id="167" w:name="_Toc31971888"/>
      <w:bookmarkStart w:id="168" w:name="_Toc32230910"/>
      <w:bookmarkEnd w:id="162"/>
      <w:bookmarkEnd w:id="163"/>
      <w:bookmarkEnd w:id="164"/>
      <w:bookmarkEnd w:id="165"/>
      <w:bookmarkEnd w:id="166"/>
      <w:bookmarkEnd w:id="167"/>
      <w:bookmarkEnd w:id="168"/>
    </w:p>
    <w:p w14:paraId="3072C340" w14:textId="77777777" w:rsidR="00364844" w:rsidRPr="00EE52DF" w:rsidRDefault="00EE52DF" w:rsidP="00C84436">
      <w:pPr>
        <w:pStyle w:val="Ttulo2"/>
        <w:numPr>
          <w:ilvl w:val="1"/>
          <w:numId w:val="12"/>
        </w:numPr>
        <w:spacing w:before="0"/>
        <w:ind w:left="567"/>
        <w:rPr>
          <w:rFonts w:ascii="Times New Roman" w:hAnsi="Times New Roman" w:cs="Times New Roman"/>
          <w:color w:val="auto"/>
          <w:sz w:val="24"/>
        </w:rPr>
      </w:pPr>
      <w:bookmarkStart w:id="169" w:name="_Toc32230911"/>
      <w:r w:rsidRPr="00EE52DF">
        <w:rPr>
          <w:rFonts w:ascii="Times New Roman" w:hAnsi="Times New Roman" w:cs="Times New Roman"/>
          <w:color w:val="auto"/>
          <w:sz w:val="24"/>
        </w:rPr>
        <w:t xml:space="preserve">Aumento del déficit fiscal </w:t>
      </w:r>
      <w:bookmarkEnd w:id="160"/>
      <w:r w:rsidRPr="00EE52DF">
        <w:rPr>
          <w:rFonts w:ascii="Times New Roman" w:hAnsi="Times New Roman" w:cs="Times New Roman"/>
          <w:color w:val="auto"/>
          <w:sz w:val="24"/>
        </w:rPr>
        <w:t>financiado principalmente con Bonos del Tesoro</w:t>
      </w:r>
      <w:bookmarkEnd w:id="169"/>
    </w:p>
    <w:p w14:paraId="3DB9374E" w14:textId="77777777" w:rsidR="00BC01B9" w:rsidRPr="00113A1E" w:rsidRDefault="00BC01B9" w:rsidP="00BC01B9">
      <w:pPr>
        <w:rPr>
          <w:color w:val="FF0000"/>
        </w:rPr>
      </w:pPr>
    </w:p>
    <w:p w14:paraId="058B8900" w14:textId="77777777" w:rsidR="00EE52DF" w:rsidRPr="00516F7F" w:rsidRDefault="00EE52DF" w:rsidP="00EE52DF">
      <w:pPr>
        <w:pStyle w:val="Sinespaciado"/>
        <w:jc w:val="both"/>
        <w:rPr>
          <w:rFonts w:ascii="Times New Roman" w:hAnsi="Times New Roman" w:cs="Times New Roman"/>
        </w:rPr>
      </w:pPr>
      <w:r w:rsidRPr="00516F7F">
        <w:rPr>
          <w:rFonts w:ascii="Times New Roman" w:hAnsi="Times New Roman" w:cs="Times New Roman"/>
        </w:rPr>
        <w:t xml:space="preserve">Derivado de un aumento en el gasto público, motivado principalmente por </w:t>
      </w:r>
      <w:r>
        <w:rPr>
          <w:rFonts w:ascii="Times New Roman" w:hAnsi="Times New Roman" w:cs="Times New Roman"/>
        </w:rPr>
        <w:t>un mayor nivel</w:t>
      </w:r>
      <w:r w:rsidRPr="00516F7F">
        <w:rPr>
          <w:rFonts w:ascii="Times New Roman" w:hAnsi="Times New Roman" w:cs="Times New Roman"/>
        </w:rPr>
        <w:t xml:space="preserve"> en la inversión pública, </w:t>
      </w:r>
      <w:r>
        <w:rPr>
          <w:rFonts w:ascii="Times New Roman" w:hAnsi="Times New Roman" w:cs="Times New Roman"/>
        </w:rPr>
        <w:t xml:space="preserve">un repunte </w:t>
      </w:r>
      <w:r w:rsidRPr="00516F7F">
        <w:rPr>
          <w:rFonts w:ascii="Times New Roman" w:hAnsi="Times New Roman" w:cs="Times New Roman"/>
        </w:rPr>
        <w:t>en el gasto social y un alza en el gasto no esencial; aunado a un estancamiento en términos del PIB de la recaudación tributaria (10.7%), dio como resultado un deterioro en la posición fiscal situándose en un déficit, al cierre de 2019</w:t>
      </w:r>
      <w:r>
        <w:rPr>
          <w:rFonts w:ascii="Times New Roman" w:hAnsi="Times New Roman" w:cs="Times New Roman"/>
        </w:rPr>
        <w:t>,</w:t>
      </w:r>
      <w:r w:rsidRPr="00516F7F">
        <w:rPr>
          <w:rFonts w:ascii="Times New Roman" w:hAnsi="Times New Roman" w:cs="Times New Roman"/>
        </w:rPr>
        <w:t xml:space="preserve"> de </w:t>
      </w:r>
      <w:r>
        <w:rPr>
          <w:rFonts w:ascii="Times New Roman" w:hAnsi="Times New Roman" w:cs="Times New Roman"/>
        </w:rPr>
        <w:t xml:space="preserve">Q13,293.6 millones, equivalente al </w:t>
      </w:r>
      <w:r w:rsidRPr="00516F7F">
        <w:rPr>
          <w:rFonts w:ascii="Times New Roman" w:hAnsi="Times New Roman" w:cs="Times New Roman"/>
        </w:rPr>
        <w:t>2.3% del PIB.</w:t>
      </w:r>
    </w:p>
    <w:p w14:paraId="55137A6C" w14:textId="77777777" w:rsidR="00EE52DF" w:rsidRDefault="00EE52DF" w:rsidP="00EE52DF">
      <w:pPr>
        <w:pStyle w:val="Sinespaciado"/>
        <w:jc w:val="both"/>
        <w:rPr>
          <w:rFonts w:ascii="Times New Roman" w:hAnsi="Times New Roman" w:cs="Times New Roman"/>
        </w:rPr>
      </w:pPr>
    </w:p>
    <w:p w14:paraId="674C6EA1" w14:textId="77777777" w:rsidR="00EE52DF" w:rsidRPr="00516F7F" w:rsidRDefault="00EE52DF" w:rsidP="00EE52DF">
      <w:pPr>
        <w:pStyle w:val="Sinespaciado"/>
        <w:jc w:val="both"/>
        <w:rPr>
          <w:rFonts w:ascii="Times New Roman" w:hAnsi="Times New Roman" w:cs="Times New Roman"/>
        </w:rPr>
      </w:pPr>
      <w:r>
        <w:rPr>
          <w:rFonts w:ascii="Times New Roman" w:hAnsi="Times New Roman" w:cs="Times New Roman"/>
        </w:rPr>
        <w:t>Este déficit fiscal es mayor que el observado en 2018, el cual se ubicó en 1.9% del PIB, y ha mantenido una tendencia creciente desde 2016, en donde este indicador mostró un nivel de 1.1% PIB, siendo este el más bajo desde 2004 (1.0% del PIB).</w:t>
      </w:r>
    </w:p>
    <w:p w14:paraId="7A3CF7D1" w14:textId="77777777" w:rsidR="00EE52DF" w:rsidRDefault="00EE52DF" w:rsidP="00EE52DF">
      <w:pPr>
        <w:pStyle w:val="Sinespaciado"/>
        <w:jc w:val="both"/>
        <w:rPr>
          <w:rFonts w:ascii="Times New Roman" w:hAnsi="Times New Roman" w:cs="Times New Roman"/>
        </w:rPr>
      </w:pPr>
    </w:p>
    <w:p w14:paraId="0FFC0B42" w14:textId="77777777" w:rsidR="00EE52DF" w:rsidRDefault="00EE52DF" w:rsidP="00EE52DF">
      <w:pPr>
        <w:pStyle w:val="Sinespaciado"/>
        <w:jc w:val="both"/>
        <w:rPr>
          <w:rFonts w:ascii="Times New Roman" w:hAnsi="Times New Roman" w:cs="Times New Roman"/>
        </w:rPr>
      </w:pPr>
      <w:r>
        <w:rPr>
          <w:rFonts w:ascii="Times New Roman" w:hAnsi="Times New Roman" w:cs="Times New Roman"/>
        </w:rPr>
        <w:t>No obstante, el nivel déficit observado en 2019 estuvo por debajo de lo programado en presupuesto para dicho año, el cual se estimaba en 2.5% del PIB.</w:t>
      </w:r>
    </w:p>
    <w:p w14:paraId="5348A00B" w14:textId="3A49B797" w:rsidR="00F973BC" w:rsidRDefault="00F973BC" w:rsidP="00EE52DF">
      <w:pPr>
        <w:pStyle w:val="Sinespaciado"/>
        <w:jc w:val="both"/>
        <w:rPr>
          <w:rFonts w:ascii="Times New Roman" w:hAnsi="Times New Roman" w:cs="Times New Roman"/>
        </w:rPr>
      </w:pPr>
    </w:p>
    <w:p w14:paraId="3914FBFD" w14:textId="03D13A3F" w:rsidR="003A2B85" w:rsidRDefault="003A2B85" w:rsidP="00EE52DF">
      <w:pPr>
        <w:pStyle w:val="Sinespaciado"/>
        <w:jc w:val="both"/>
        <w:rPr>
          <w:rFonts w:ascii="Times New Roman" w:hAnsi="Times New Roman" w:cs="Times New Roman"/>
        </w:rPr>
      </w:pPr>
    </w:p>
    <w:p w14:paraId="0CB438FD" w14:textId="0A6D44C9" w:rsidR="003A2B85" w:rsidRDefault="003A2B85" w:rsidP="00EE52DF">
      <w:pPr>
        <w:pStyle w:val="Sinespaciado"/>
        <w:jc w:val="both"/>
        <w:rPr>
          <w:rFonts w:ascii="Times New Roman" w:hAnsi="Times New Roman" w:cs="Times New Roman"/>
        </w:rPr>
      </w:pPr>
    </w:p>
    <w:p w14:paraId="1CF48C31" w14:textId="77777777" w:rsidR="003A2B85" w:rsidRDefault="003A2B85" w:rsidP="00EE52DF">
      <w:pPr>
        <w:pStyle w:val="Sinespaciado"/>
        <w:jc w:val="both"/>
        <w:rPr>
          <w:rFonts w:ascii="Times New Roman" w:hAnsi="Times New Roman" w:cs="Times New Roman"/>
        </w:rPr>
      </w:pPr>
    </w:p>
    <w:p w14:paraId="2430A143" w14:textId="77777777" w:rsidR="00EE52DF" w:rsidRPr="00EE52DF" w:rsidRDefault="00EE52DF" w:rsidP="00EE52DF">
      <w:pPr>
        <w:pStyle w:val="Sinespaciado"/>
        <w:jc w:val="center"/>
        <w:rPr>
          <w:rFonts w:ascii="Times New Roman" w:hAnsi="Times New Roman" w:cs="Times New Roman"/>
          <w:b/>
          <w:sz w:val="24"/>
        </w:rPr>
      </w:pPr>
      <w:r w:rsidRPr="00EE52DF">
        <w:rPr>
          <w:rFonts w:ascii="Times New Roman" w:hAnsi="Times New Roman" w:cs="Times New Roman"/>
          <w:b/>
          <w:sz w:val="24"/>
        </w:rPr>
        <w:t>Situación Financiera</w:t>
      </w:r>
    </w:p>
    <w:p w14:paraId="78A743F4" w14:textId="77777777" w:rsidR="00EE52DF" w:rsidRPr="00EE52DF" w:rsidRDefault="00EE52DF" w:rsidP="00EE52DF">
      <w:pPr>
        <w:pStyle w:val="Sinespaciado"/>
        <w:jc w:val="center"/>
        <w:rPr>
          <w:rFonts w:ascii="Times New Roman" w:hAnsi="Times New Roman" w:cs="Times New Roman"/>
          <w:sz w:val="20"/>
        </w:rPr>
      </w:pPr>
      <w:r w:rsidRPr="00EE52DF">
        <w:rPr>
          <w:rFonts w:ascii="Times New Roman" w:hAnsi="Times New Roman" w:cs="Times New Roman"/>
          <w:sz w:val="20"/>
        </w:rPr>
        <w:t>Observado 2018, presupuesto y ejecución preliminar 2019</w:t>
      </w:r>
    </w:p>
    <w:p w14:paraId="43E6E5D2" w14:textId="77777777" w:rsidR="00EE52DF" w:rsidRPr="00EE52DF" w:rsidRDefault="00EE52DF" w:rsidP="00EE52DF">
      <w:pPr>
        <w:pStyle w:val="Sinespaciado"/>
        <w:jc w:val="center"/>
        <w:rPr>
          <w:sz w:val="20"/>
        </w:rPr>
      </w:pPr>
      <w:r w:rsidRPr="00EE52DF">
        <w:rPr>
          <w:rFonts w:ascii="Times New Roman" w:hAnsi="Times New Roman" w:cs="Times New Roman"/>
          <w:sz w:val="20"/>
        </w:rPr>
        <w:t>Millones de quetzales y porcentajes</w:t>
      </w:r>
    </w:p>
    <w:tbl>
      <w:tblPr>
        <w:tblW w:w="8495" w:type="dxa"/>
        <w:tblCellMar>
          <w:left w:w="70" w:type="dxa"/>
          <w:right w:w="70" w:type="dxa"/>
        </w:tblCellMar>
        <w:tblLook w:val="04A0" w:firstRow="1" w:lastRow="0" w:firstColumn="1" w:lastColumn="0" w:noHBand="0" w:noVBand="1"/>
      </w:tblPr>
      <w:tblGrid>
        <w:gridCol w:w="3424"/>
        <w:gridCol w:w="1268"/>
        <w:gridCol w:w="1460"/>
        <w:gridCol w:w="1241"/>
        <w:gridCol w:w="1102"/>
      </w:tblGrid>
      <w:tr w:rsidR="00EE52DF" w:rsidRPr="00AE3C17" w14:paraId="01C6E83F" w14:textId="77777777" w:rsidTr="003A2B85">
        <w:trPr>
          <w:trHeight w:val="382"/>
        </w:trPr>
        <w:tc>
          <w:tcPr>
            <w:tcW w:w="3424" w:type="dxa"/>
            <w:tcBorders>
              <w:top w:val="nil"/>
              <w:left w:val="nil"/>
              <w:bottom w:val="nil"/>
              <w:right w:val="nil"/>
            </w:tcBorders>
            <w:shd w:val="clear" w:color="000000" w:fill="FFFFFF"/>
            <w:noWrap/>
            <w:vAlign w:val="center"/>
            <w:hideMark/>
          </w:tcPr>
          <w:p w14:paraId="0C0B7EA3" w14:textId="77777777" w:rsidR="00EE52DF" w:rsidRPr="00AE3C17" w:rsidRDefault="00EE52DF" w:rsidP="00EE52DF">
            <w:pPr>
              <w:jc w:val="center"/>
              <w:rPr>
                <w:rFonts w:ascii="Times New Roman" w:eastAsia="Times New Roman" w:hAnsi="Times New Roman" w:cs="Times New Roman"/>
                <w:b/>
                <w:bCs/>
                <w:color w:val="FFFFFF"/>
                <w:sz w:val="20"/>
                <w:lang w:eastAsia="es-GT"/>
              </w:rPr>
            </w:pPr>
            <w:r w:rsidRPr="00AE3C17">
              <w:rPr>
                <w:rFonts w:ascii="Times New Roman" w:eastAsia="Times New Roman" w:hAnsi="Times New Roman" w:cs="Times New Roman"/>
                <w:b/>
                <w:bCs/>
                <w:color w:val="FFFFFF"/>
                <w:sz w:val="20"/>
                <w:lang w:eastAsia="es-GT"/>
              </w:rPr>
              <w:t> </w:t>
            </w:r>
          </w:p>
        </w:tc>
        <w:tc>
          <w:tcPr>
            <w:tcW w:w="1268" w:type="dxa"/>
            <w:tcBorders>
              <w:top w:val="single" w:sz="8" w:space="0" w:color="auto"/>
              <w:left w:val="single" w:sz="8" w:space="0" w:color="auto"/>
              <w:bottom w:val="nil"/>
              <w:right w:val="single" w:sz="4" w:space="0" w:color="auto"/>
            </w:tcBorders>
            <w:shd w:val="clear" w:color="auto" w:fill="4F81BD" w:themeFill="accent1"/>
            <w:vAlign w:val="center"/>
            <w:hideMark/>
          </w:tcPr>
          <w:p w14:paraId="3005E26C" w14:textId="77777777" w:rsidR="00EE52DF" w:rsidRPr="003A2B85" w:rsidRDefault="00EE52DF" w:rsidP="00EE52DF">
            <w:pPr>
              <w:jc w:val="center"/>
              <w:rPr>
                <w:rFonts w:ascii="Times New Roman" w:eastAsia="Times New Roman" w:hAnsi="Times New Roman" w:cs="Times New Roman"/>
                <w:b/>
                <w:bCs/>
                <w:color w:val="FFFFFF" w:themeColor="background1"/>
                <w:sz w:val="19"/>
                <w:szCs w:val="19"/>
                <w:lang w:eastAsia="es-GT"/>
              </w:rPr>
            </w:pPr>
            <w:r w:rsidRPr="003A2B85">
              <w:rPr>
                <w:rFonts w:ascii="Times New Roman" w:eastAsia="Times New Roman" w:hAnsi="Times New Roman" w:cs="Times New Roman"/>
                <w:b/>
                <w:bCs/>
                <w:color w:val="FFFFFF" w:themeColor="background1"/>
                <w:sz w:val="19"/>
                <w:szCs w:val="19"/>
                <w:lang w:eastAsia="es-GT"/>
              </w:rPr>
              <w:t>31/12/2018</w:t>
            </w:r>
          </w:p>
        </w:tc>
        <w:tc>
          <w:tcPr>
            <w:tcW w:w="1460" w:type="dxa"/>
            <w:tcBorders>
              <w:top w:val="single" w:sz="8" w:space="0" w:color="auto"/>
              <w:left w:val="nil"/>
              <w:bottom w:val="nil"/>
              <w:right w:val="nil"/>
            </w:tcBorders>
            <w:shd w:val="clear" w:color="auto" w:fill="4F81BD" w:themeFill="accent1"/>
            <w:vAlign w:val="center"/>
            <w:hideMark/>
          </w:tcPr>
          <w:p w14:paraId="6CCC0D57" w14:textId="77777777" w:rsidR="00EE52DF" w:rsidRPr="003A2B85" w:rsidRDefault="00EE52DF" w:rsidP="00EE52DF">
            <w:pPr>
              <w:jc w:val="center"/>
              <w:rPr>
                <w:rFonts w:ascii="Times New Roman" w:eastAsia="Times New Roman" w:hAnsi="Times New Roman" w:cs="Times New Roman"/>
                <w:b/>
                <w:bCs/>
                <w:color w:val="FFFFFF" w:themeColor="background1"/>
                <w:sz w:val="19"/>
                <w:szCs w:val="19"/>
                <w:lang w:eastAsia="es-GT"/>
              </w:rPr>
            </w:pPr>
            <w:r w:rsidRPr="003A2B85">
              <w:rPr>
                <w:rFonts w:ascii="Times New Roman" w:eastAsia="Times New Roman" w:hAnsi="Times New Roman" w:cs="Times New Roman"/>
                <w:b/>
                <w:bCs/>
                <w:color w:val="FFFFFF" w:themeColor="background1"/>
                <w:sz w:val="19"/>
                <w:szCs w:val="19"/>
                <w:lang w:eastAsia="es-GT"/>
              </w:rPr>
              <w:t>Presupuesto Vigente</w:t>
            </w:r>
          </w:p>
        </w:tc>
        <w:tc>
          <w:tcPr>
            <w:tcW w:w="1241" w:type="dxa"/>
            <w:tcBorders>
              <w:top w:val="single" w:sz="8" w:space="0" w:color="auto"/>
              <w:left w:val="nil"/>
              <w:bottom w:val="single" w:sz="8" w:space="0" w:color="auto"/>
              <w:right w:val="nil"/>
            </w:tcBorders>
            <w:shd w:val="clear" w:color="auto" w:fill="4F81BD" w:themeFill="accent1"/>
            <w:vAlign w:val="center"/>
            <w:hideMark/>
          </w:tcPr>
          <w:p w14:paraId="6B28C714" w14:textId="77777777" w:rsidR="00EE52DF" w:rsidRPr="003A2B85" w:rsidRDefault="00EE52DF" w:rsidP="00EE52DF">
            <w:pPr>
              <w:jc w:val="center"/>
              <w:rPr>
                <w:rFonts w:ascii="Times New Roman" w:eastAsia="Times New Roman" w:hAnsi="Times New Roman" w:cs="Times New Roman"/>
                <w:b/>
                <w:bCs/>
                <w:color w:val="FFFFFF" w:themeColor="background1"/>
                <w:sz w:val="19"/>
                <w:szCs w:val="19"/>
                <w:lang w:eastAsia="es-GT"/>
              </w:rPr>
            </w:pPr>
            <w:r w:rsidRPr="003A2B85">
              <w:rPr>
                <w:rFonts w:ascii="Times New Roman" w:eastAsia="Times New Roman" w:hAnsi="Times New Roman" w:cs="Times New Roman"/>
                <w:b/>
                <w:bCs/>
                <w:color w:val="FFFFFF" w:themeColor="background1"/>
                <w:sz w:val="19"/>
                <w:szCs w:val="19"/>
                <w:lang w:eastAsia="es-GT"/>
              </w:rPr>
              <w:t>31/12/19</w:t>
            </w:r>
          </w:p>
        </w:tc>
        <w:tc>
          <w:tcPr>
            <w:tcW w:w="1102" w:type="dxa"/>
            <w:tcBorders>
              <w:top w:val="single" w:sz="8" w:space="0" w:color="auto"/>
              <w:left w:val="nil"/>
              <w:bottom w:val="nil"/>
              <w:right w:val="single" w:sz="8" w:space="0" w:color="auto"/>
            </w:tcBorders>
            <w:shd w:val="clear" w:color="auto" w:fill="4F81BD" w:themeFill="accent1"/>
            <w:vAlign w:val="center"/>
            <w:hideMark/>
          </w:tcPr>
          <w:p w14:paraId="166A2981" w14:textId="77777777" w:rsidR="00EE52DF" w:rsidRPr="003A2B85" w:rsidRDefault="00EE52DF" w:rsidP="00EE52DF">
            <w:pPr>
              <w:jc w:val="center"/>
              <w:rPr>
                <w:rFonts w:ascii="Times New Roman" w:eastAsia="Times New Roman" w:hAnsi="Times New Roman" w:cs="Times New Roman"/>
                <w:b/>
                <w:bCs/>
                <w:color w:val="FFFFFF" w:themeColor="background1"/>
                <w:sz w:val="19"/>
                <w:szCs w:val="19"/>
                <w:lang w:eastAsia="es-GT"/>
              </w:rPr>
            </w:pPr>
            <w:r w:rsidRPr="003A2B85">
              <w:rPr>
                <w:rFonts w:ascii="Times New Roman" w:eastAsia="Times New Roman" w:hAnsi="Times New Roman" w:cs="Times New Roman"/>
                <w:b/>
                <w:bCs/>
                <w:color w:val="FFFFFF" w:themeColor="background1"/>
                <w:sz w:val="19"/>
                <w:szCs w:val="19"/>
                <w:lang w:eastAsia="es-GT"/>
              </w:rPr>
              <w:t xml:space="preserve">% del PIB </w:t>
            </w:r>
          </w:p>
        </w:tc>
      </w:tr>
      <w:tr w:rsidR="00EE52DF" w:rsidRPr="00AE3C17" w14:paraId="5E4B097D" w14:textId="77777777" w:rsidTr="003A2B85">
        <w:trPr>
          <w:trHeight w:val="240"/>
        </w:trPr>
        <w:tc>
          <w:tcPr>
            <w:tcW w:w="3424" w:type="dxa"/>
            <w:tcBorders>
              <w:top w:val="single" w:sz="8" w:space="0" w:color="auto"/>
              <w:left w:val="single" w:sz="8" w:space="0" w:color="auto"/>
              <w:bottom w:val="nil"/>
              <w:right w:val="nil"/>
            </w:tcBorders>
            <w:shd w:val="clear" w:color="000000" w:fill="FFFFFF"/>
            <w:noWrap/>
            <w:vAlign w:val="center"/>
            <w:hideMark/>
          </w:tcPr>
          <w:p w14:paraId="46C87D12" w14:textId="77777777" w:rsidR="00EE52DF" w:rsidRPr="003A2B85" w:rsidRDefault="00EE52DF" w:rsidP="00EE52DF">
            <w:pP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Ingresos Totales</w:t>
            </w:r>
          </w:p>
        </w:tc>
        <w:tc>
          <w:tcPr>
            <w:tcW w:w="1268" w:type="dxa"/>
            <w:tcBorders>
              <w:top w:val="single" w:sz="8" w:space="0" w:color="auto"/>
              <w:left w:val="single" w:sz="8" w:space="0" w:color="auto"/>
              <w:bottom w:val="nil"/>
              <w:right w:val="single" w:sz="4" w:space="0" w:color="auto"/>
            </w:tcBorders>
            <w:shd w:val="clear" w:color="000000" w:fill="FFFFFF"/>
            <w:noWrap/>
            <w:vAlign w:val="center"/>
            <w:hideMark/>
          </w:tcPr>
          <w:p w14:paraId="1473009F"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62,342.0</w:t>
            </w:r>
          </w:p>
        </w:tc>
        <w:tc>
          <w:tcPr>
            <w:tcW w:w="1460" w:type="dxa"/>
            <w:tcBorders>
              <w:top w:val="single" w:sz="8" w:space="0" w:color="auto"/>
              <w:left w:val="nil"/>
              <w:bottom w:val="nil"/>
              <w:right w:val="nil"/>
            </w:tcBorders>
            <w:shd w:val="clear" w:color="000000" w:fill="FFFFFF"/>
            <w:noWrap/>
            <w:vAlign w:val="center"/>
            <w:hideMark/>
          </w:tcPr>
          <w:p w14:paraId="1AEB9F84"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68,662.2</w:t>
            </w:r>
          </w:p>
        </w:tc>
        <w:tc>
          <w:tcPr>
            <w:tcW w:w="1241" w:type="dxa"/>
            <w:tcBorders>
              <w:top w:val="single" w:sz="8" w:space="0" w:color="auto"/>
              <w:left w:val="nil"/>
              <w:bottom w:val="nil"/>
              <w:right w:val="nil"/>
            </w:tcBorders>
            <w:shd w:val="clear" w:color="000000" w:fill="FFFFFF"/>
            <w:noWrap/>
            <w:vAlign w:val="center"/>
            <w:hideMark/>
          </w:tcPr>
          <w:p w14:paraId="5C5356EE"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66,542.7</w:t>
            </w:r>
          </w:p>
        </w:tc>
        <w:tc>
          <w:tcPr>
            <w:tcW w:w="1102" w:type="dxa"/>
            <w:tcBorders>
              <w:top w:val="single" w:sz="8" w:space="0" w:color="auto"/>
              <w:left w:val="nil"/>
              <w:bottom w:val="nil"/>
              <w:right w:val="single" w:sz="8" w:space="0" w:color="auto"/>
            </w:tcBorders>
            <w:shd w:val="clear" w:color="000000" w:fill="FFFFFF"/>
            <w:noWrap/>
            <w:vAlign w:val="center"/>
            <w:hideMark/>
          </w:tcPr>
          <w:p w14:paraId="043AC959"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11.4%</w:t>
            </w:r>
          </w:p>
        </w:tc>
      </w:tr>
      <w:tr w:rsidR="00EE52DF" w:rsidRPr="00AE3C17" w14:paraId="6691FFE6" w14:textId="77777777" w:rsidTr="003A2B85">
        <w:trPr>
          <w:trHeight w:val="150"/>
        </w:trPr>
        <w:tc>
          <w:tcPr>
            <w:tcW w:w="3424" w:type="dxa"/>
            <w:tcBorders>
              <w:top w:val="nil"/>
              <w:left w:val="single" w:sz="8" w:space="0" w:color="auto"/>
              <w:bottom w:val="nil"/>
              <w:right w:val="nil"/>
            </w:tcBorders>
            <w:shd w:val="clear" w:color="000000" w:fill="FFFFFF"/>
            <w:noWrap/>
            <w:vAlign w:val="bottom"/>
            <w:hideMark/>
          </w:tcPr>
          <w:p w14:paraId="7FB7D60D" w14:textId="77777777" w:rsidR="00EE52DF" w:rsidRPr="003A2B85" w:rsidRDefault="00EE52DF" w:rsidP="00EE52DF">
            <w:pPr>
              <w:ind w:firstLineChars="200" w:firstLine="380"/>
              <w:rPr>
                <w:rFonts w:ascii="Times New Roman" w:eastAsia="Times New Roman" w:hAnsi="Times New Roman" w:cs="Times New Roman"/>
                <w:color w:val="1F497D"/>
                <w:sz w:val="19"/>
                <w:szCs w:val="19"/>
                <w:lang w:eastAsia="es-GT"/>
              </w:rPr>
            </w:pPr>
            <w:r w:rsidRPr="003A2B85">
              <w:rPr>
                <w:rFonts w:ascii="Times New Roman" w:eastAsia="Times New Roman" w:hAnsi="Times New Roman" w:cs="Times New Roman"/>
                <w:color w:val="1F497D"/>
                <w:sz w:val="19"/>
                <w:szCs w:val="19"/>
                <w:lang w:eastAsia="es-GT"/>
              </w:rPr>
              <w:t>Tributarios</w:t>
            </w:r>
          </w:p>
        </w:tc>
        <w:tc>
          <w:tcPr>
            <w:tcW w:w="1268" w:type="dxa"/>
            <w:tcBorders>
              <w:top w:val="nil"/>
              <w:left w:val="single" w:sz="8" w:space="0" w:color="auto"/>
              <w:bottom w:val="nil"/>
              <w:right w:val="single" w:sz="4" w:space="0" w:color="auto"/>
            </w:tcBorders>
            <w:shd w:val="clear" w:color="000000" w:fill="FFFFFF"/>
            <w:noWrap/>
            <w:vAlign w:val="bottom"/>
            <w:hideMark/>
          </w:tcPr>
          <w:p w14:paraId="4A9BA22A" w14:textId="77777777" w:rsidR="00EE52DF" w:rsidRPr="003A2B85" w:rsidRDefault="00EE52DF" w:rsidP="00EE52DF">
            <w:pPr>
              <w:jc w:val="center"/>
              <w:rPr>
                <w:rFonts w:ascii="Times New Roman" w:eastAsia="Times New Roman" w:hAnsi="Times New Roman" w:cs="Times New Roman"/>
                <w:color w:val="1F497D"/>
                <w:sz w:val="19"/>
                <w:szCs w:val="19"/>
                <w:lang w:eastAsia="es-GT"/>
              </w:rPr>
            </w:pPr>
            <w:r w:rsidRPr="003A2B85">
              <w:rPr>
                <w:rFonts w:ascii="Times New Roman" w:eastAsia="Times New Roman" w:hAnsi="Times New Roman" w:cs="Times New Roman"/>
                <w:color w:val="1F497D"/>
                <w:sz w:val="19"/>
                <w:szCs w:val="19"/>
                <w:lang w:eastAsia="es-GT"/>
              </w:rPr>
              <w:t>58,835.6</w:t>
            </w:r>
          </w:p>
        </w:tc>
        <w:tc>
          <w:tcPr>
            <w:tcW w:w="1460" w:type="dxa"/>
            <w:tcBorders>
              <w:top w:val="nil"/>
              <w:left w:val="nil"/>
              <w:bottom w:val="nil"/>
              <w:right w:val="nil"/>
            </w:tcBorders>
            <w:shd w:val="clear" w:color="000000" w:fill="FFFFFF"/>
            <w:noWrap/>
            <w:vAlign w:val="bottom"/>
            <w:hideMark/>
          </w:tcPr>
          <w:p w14:paraId="4FA8FF65" w14:textId="77777777" w:rsidR="00EE52DF" w:rsidRPr="003A2B85" w:rsidRDefault="00EE52DF" w:rsidP="00EE52DF">
            <w:pPr>
              <w:jc w:val="center"/>
              <w:rPr>
                <w:rFonts w:ascii="Times New Roman" w:eastAsia="Times New Roman" w:hAnsi="Times New Roman" w:cs="Times New Roman"/>
                <w:color w:val="1F497D"/>
                <w:sz w:val="19"/>
                <w:szCs w:val="19"/>
                <w:lang w:eastAsia="es-GT"/>
              </w:rPr>
            </w:pPr>
            <w:r w:rsidRPr="003A2B85">
              <w:rPr>
                <w:rFonts w:ascii="Times New Roman" w:eastAsia="Times New Roman" w:hAnsi="Times New Roman" w:cs="Times New Roman"/>
                <w:color w:val="1F497D"/>
                <w:sz w:val="19"/>
                <w:szCs w:val="19"/>
                <w:lang w:eastAsia="es-GT"/>
              </w:rPr>
              <w:t>64,027.7</w:t>
            </w:r>
          </w:p>
        </w:tc>
        <w:tc>
          <w:tcPr>
            <w:tcW w:w="1241" w:type="dxa"/>
            <w:tcBorders>
              <w:top w:val="nil"/>
              <w:left w:val="nil"/>
              <w:bottom w:val="nil"/>
              <w:right w:val="nil"/>
            </w:tcBorders>
            <w:shd w:val="clear" w:color="000000" w:fill="FFFFFF"/>
            <w:noWrap/>
            <w:vAlign w:val="bottom"/>
            <w:hideMark/>
          </w:tcPr>
          <w:p w14:paraId="215AB33D" w14:textId="77777777" w:rsidR="00EE52DF" w:rsidRPr="003A2B85" w:rsidRDefault="00EE52DF" w:rsidP="00EE52DF">
            <w:pPr>
              <w:jc w:val="center"/>
              <w:rPr>
                <w:rFonts w:ascii="Times New Roman" w:eastAsia="Times New Roman" w:hAnsi="Times New Roman" w:cs="Times New Roman"/>
                <w:color w:val="1F497D"/>
                <w:sz w:val="19"/>
                <w:szCs w:val="19"/>
                <w:lang w:eastAsia="es-GT"/>
              </w:rPr>
            </w:pPr>
            <w:r w:rsidRPr="003A2B85">
              <w:rPr>
                <w:rFonts w:ascii="Times New Roman" w:eastAsia="Times New Roman" w:hAnsi="Times New Roman" w:cs="Times New Roman"/>
                <w:color w:val="1F497D"/>
                <w:sz w:val="19"/>
                <w:szCs w:val="19"/>
                <w:lang w:eastAsia="es-GT"/>
              </w:rPr>
              <w:t>62,593.6</w:t>
            </w:r>
          </w:p>
        </w:tc>
        <w:tc>
          <w:tcPr>
            <w:tcW w:w="1102" w:type="dxa"/>
            <w:tcBorders>
              <w:top w:val="nil"/>
              <w:left w:val="nil"/>
              <w:bottom w:val="nil"/>
              <w:right w:val="single" w:sz="8" w:space="0" w:color="auto"/>
            </w:tcBorders>
            <w:shd w:val="clear" w:color="000000" w:fill="FFFFFF"/>
            <w:noWrap/>
            <w:vAlign w:val="bottom"/>
            <w:hideMark/>
          </w:tcPr>
          <w:p w14:paraId="2F9AF411" w14:textId="77777777" w:rsidR="00EE52DF" w:rsidRPr="003A2B85" w:rsidRDefault="00EE52DF" w:rsidP="00EE52DF">
            <w:pPr>
              <w:jc w:val="center"/>
              <w:rPr>
                <w:rFonts w:ascii="Times New Roman" w:eastAsia="Times New Roman" w:hAnsi="Times New Roman" w:cs="Times New Roman"/>
                <w:color w:val="1F497D"/>
                <w:sz w:val="19"/>
                <w:szCs w:val="19"/>
                <w:lang w:eastAsia="es-GT"/>
              </w:rPr>
            </w:pPr>
            <w:r w:rsidRPr="003A2B85">
              <w:rPr>
                <w:rFonts w:ascii="Times New Roman" w:eastAsia="Times New Roman" w:hAnsi="Times New Roman" w:cs="Times New Roman"/>
                <w:color w:val="1F497D"/>
                <w:sz w:val="19"/>
                <w:szCs w:val="19"/>
                <w:lang w:eastAsia="es-GT"/>
              </w:rPr>
              <w:t>10.7%</w:t>
            </w:r>
          </w:p>
        </w:tc>
      </w:tr>
      <w:tr w:rsidR="00EE52DF" w:rsidRPr="00AE3C17" w14:paraId="545BEDC9" w14:textId="77777777" w:rsidTr="003A2B85">
        <w:trPr>
          <w:trHeight w:val="240"/>
        </w:trPr>
        <w:tc>
          <w:tcPr>
            <w:tcW w:w="3424" w:type="dxa"/>
            <w:tcBorders>
              <w:top w:val="nil"/>
              <w:left w:val="single" w:sz="8" w:space="0" w:color="auto"/>
              <w:bottom w:val="nil"/>
              <w:right w:val="nil"/>
            </w:tcBorders>
            <w:shd w:val="clear" w:color="000000" w:fill="FFFFFF"/>
            <w:noWrap/>
            <w:vAlign w:val="center"/>
            <w:hideMark/>
          </w:tcPr>
          <w:p w14:paraId="0A12FE96" w14:textId="77777777" w:rsidR="00EE52DF" w:rsidRPr="003A2B85" w:rsidRDefault="00EE52DF" w:rsidP="00EE52DF">
            <w:pP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Gasto Total</w:t>
            </w:r>
          </w:p>
        </w:tc>
        <w:tc>
          <w:tcPr>
            <w:tcW w:w="1268" w:type="dxa"/>
            <w:tcBorders>
              <w:top w:val="nil"/>
              <w:left w:val="single" w:sz="8" w:space="0" w:color="auto"/>
              <w:bottom w:val="nil"/>
              <w:right w:val="single" w:sz="4" w:space="0" w:color="auto"/>
            </w:tcBorders>
            <w:shd w:val="clear" w:color="000000" w:fill="FFFFFF"/>
            <w:noWrap/>
            <w:vAlign w:val="center"/>
            <w:hideMark/>
          </w:tcPr>
          <w:p w14:paraId="15BD86C7"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72,710.6</w:t>
            </w:r>
          </w:p>
        </w:tc>
        <w:tc>
          <w:tcPr>
            <w:tcW w:w="1460" w:type="dxa"/>
            <w:tcBorders>
              <w:top w:val="nil"/>
              <w:left w:val="nil"/>
              <w:bottom w:val="nil"/>
              <w:right w:val="nil"/>
            </w:tcBorders>
            <w:shd w:val="clear" w:color="000000" w:fill="FFFFFF"/>
            <w:noWrap/>
            <w:vAlign w:val="center"/>
            <w:hideMark/>
          </w:tcPr>
          <w:p w14:paraId="22E8424F"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84,955.3</w:t>
            </w:r>
          </w:p>
        </w:tc>
        <w:tc>
          <w:tcPr>
            <w:tcW w:w="1241" w:type="dxa"/>
            <w:tcBorders>
              <w:top w:val="nil"/>
              <w:left w:val="nil"/>
              <w:bottom w:val="nil"/>
              <w:right w:val="nil"/>
            </w:tcBorders>
            <w:shd w:val="clear" w:color="000000" w:fill="FFFFFF"/>
            <w:noWrap/>
            <w:vAlign w:val="center"/>
            <w:hideMark/>
          </w:tcPr>
          <w:p w14:paraId="43448526"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79,836.2</w:t>
            </w:r>
          </w:p>
        </w:tc>
        <w:tc>
          <w:tcPr>
            <w:tcW w:w="1102" w:type="dxa"/>
            <w:tcBorders>
              <w:top w:val="nil"/>
              <w:left w:val="nil"/>
              <w:bottom w:val="nil"/>
              <w:right w:val="single" w:sz="8" w:space="0" w:color="auto"/>
            </w:tcBorders>
            <w:shd w:val="clear" w:color="000000" w:fill="FFFFFF"/>
            <w:noWrap/>
            <w:vAlign w:val="center"/>
            <w:hideMark/>
          </w:tcPr>
          <w:p w14:paraId="36B4E257"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13.7%</w:t>
            </w:r>
          </w:p>
        </w:tc>
      </w:tr>
      <w:tr w:rsidR="00EE52DF" w:rsidRPr="00AE3C17" w14:paraId="2F048819" w14:textId="77777777" w:rsidTr="003A2B85">
        <w:trPr>
          <w:trHeight w:val="240"/>
        </w:trPr>
        <w:tc>
          <w:tcPr>
            <w:tcW w:w="3424" w:type="dxa"/>
            <w:tcBorders>
              <w:top w:val="nil"/>
              <w:left w:val="single" w:sz="8" w:space="0" w:color="auto"/>
              <w:bottom w:val="nil"/>
              <w:right w:val="nil"/>
            </w:tcBorders>
            <w:shd w:val="clear" w:color="000000" w:fill="FFFFFF"/>
            <w:noWrap/>
            <w:vAlign w:val="center"/>
            <w:hideMark/>
          </w:tcPr>
          <w:p w14:paraId="65BE0B1D" w14:textId="77777777" w:rsidR="00EE52DF" w:rsidRPr="003A2B85" w:rsidRDefault="00EE52DF" w:rsidP="00EE52DF">
            <w:pPr>
              <w:ind w:firstLineChars="200" w:firstLine="380"/>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Corriente</w:t>
            </w:r>
          </w:p>
        </w:tc>
        <w:tc>
          <w:tcPr>
            <w:tcW w:w="1268" w:type="dxa"/>
            <w:tcBorders>
              <w:top w:val="nil"/>
              <w:left w:val="single" w:sz="8" w:space="0" w:color="auto"/>
              <w:bottom w:val="nil"/>
              <w:right w:val="single" w:sz="4" w:space="0" w:color="auto"/>
            </w:tcBorders>
            <w:shd w:val="clear" w:color="000000" w:fill="FFFFFF"/>
            <w:noWrap/>
            <w:vAlign w:val="center"/>
            <w:hideMark/>
          </w:tcPr>
          <w:p w14:paraId="46BD423C"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58,355.5</w:t>
            </w:r>
          </w:p>
        </w:tc>
        <w:tc>
          <w:tcPr>
            <w:tcW w:w="1460" w:type="dxa"/>
            <w:tcBorders>
              <w:top w:val="nil"/>
              <w:left w:val="nil"/>
              <w:bottom w:val="nil"/>
              <w:right w:val="nil"/>
            </w:tcBorders>
            <w:shd w:val="clear" w:color="000000" w:fill="FFFFFF"/>
            <w:noWrap/>
            <w:vAlign w:val="center"/>
            <w:hideMark/>
          </w:tcPr>
          <w:p w14:paraId="65A2C472"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66,798.2</w:t>
            </w:r>
          </w:p>
        </w:tc>
        <w:tc>
          <w:tcPr>
            <w:tcW w:w="1241" w:type="dxa"/>
            <w:tcBorders>
              <w:top w:val="nil"/>
              <w:left w:val="nil"/>
              <w:bottom w:val="nil"/>
              <w:right w:val="nil"/>
            </w:tcBorders>
            <w:shd w:val="clear" w:color="000000" w:fill="FFFFFF"/>
            <w:noWrap/>
            <w:vAlign w:val="center"/>
            <w:hideMark/>
          </w:tcPr>
          <w:p w14:paraId="305742A6"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63,550.5</w:t>
            </w:r>
          </w:p>
        </w:tc>
        <w:tc>
          <w:tcPr>
            <w:tcW w:w="1102" w:type="dxa"/>
            <w:tcBorders>
              <w:top w:val="nil"/>
              <w:left w:val="nil"/>
              <w:bottom w:val="nil"/>
              <w:right w:val="single" w:sz="8" w:space="0" w:color="auto"/>
            </w:tcBorders>
            <w:shd w:val="clear" w:color="000000" w:fill="FFFFFF"/>
            <w:noWrap/>
            <w:vAlign w:val="center"/>
            <w:hideMark/>
          </w:tcPr>
          <w:p w14:paraId="1EA4B01A"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10.9</w:t>
            </w:r>
          </w:p>
        </w:tc>
      </w:tr>
      <w:tr w:rsidR="00EE52DF" w:rsidRPr="00AE3C17" w14:paraId="5B3BE598" w14:textId="77777777" w:rsidTr="003A2B85">
        <w:trPr>
          <w:trHeight w:val="240"/>
        </w:trPr>
        <w:tc>
          <w:tcPr>
            <w:tcW w:w="3424" w:type="dxa"/>
            <w:tcBorders>
              <w:top w:val="nil"/>
              <w:left w:val="single" w:sz="8" w:space="0" w:color="auto"/>
              <w:bottom w:val="nil"/>
              <w:right w:val="nil"/>
            </w:tcBorders>
            <w:shd w:val="clear" w:color="000000" w:fill="FFFFFF"/>
            <w:noWrap/>
            <w:vAlign w:val="center"/>
            <w:hideMark/>
          </w:tcPr>
          <w:p w14:paraId="5BE5F8D4" w14:textId="77777777" w:rsidR="00EE52DF" w:rsidRPr="003A2B85" w:rsidRDefault="00EE52DF" w:rsidP="00EE52DF">
            <w:pPr>
              <w:ind w:firstLineChars="200" w:firstLine="380"/>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Capital</w:t>
            </w:r>
          </w:p>
        </w:tc>
        <w:tc>
          <w:tcPr>
            <w:tcW w:w="1268" w:type="dxa"/>
            <w:tcBorders>
              <w:top w:val="nil"/>
              <w:left w:val="single" w:sz="8" w:space="0" w:color="auto"/>
              <w:bottom w:val="nil"/>
              <w:right w:val="single" w:sz="4" w:space="0" w:color="auto"/>
            </w:tcBorders>
            <w:shd w:val="clear" w:color="000000" w:fill="FFFFFF"/>
            <w:noWrap/>
            <w:vAlign w:val="center"/>
            <w:hideMark/>
          </w:tcPr>
          <w:p w14:paraId="2087BD60"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14,355.0</w:t>
            </w:r>
          </w:p>
        </w:tc>
        <w:tc>
          <w:tcPr>
            <w:tcW w:w="1460" w:type="dxa"/>
            <w:tcBorders>
              <w:top w:val="nil"/>
              <w:left w:val="nil"/>
              <w:bottom w:val="nil"/>
              <w:right w:val="nil"/>
            </w:tcBorders>
            <w:shd w:val="clear" w:color="000000" w:fill="FFFFFF"/>
            <w:noWrap/>
            <w:vAlign w:val="center"/>
            <w:hideMark/>
          </w:tcPr>
          <w:p w14:paraId="1278D5FB"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18,157.0</w:t>
            </w:r>
          </w:p>
        </w:tc>
        <w:tc>
          <w:tcPr>
            <w:tcW w:w="1241" w:type="dxa"/>
            <w:tcBorders>
              <w:top w:val="nil"/>
              <w:left w:val="nil"/>
              <w:bottom w:val="nil"/>
              <w:right w:val="nil"/>
            </w:tcBorders>
            <w:shd w:val="clear" w:color="000000" w:fill="FFFFFF"/>
            <w:noWrap/>
            <w:vAlign w:val="center"/>
            <w:hideMark/>
          </w:tcPr>
          <w:p w14:paraId="40B5CA50"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16,285.7</w:t>
            </w:r>
          </w:p>
        </w:tc>
        <w:tc>
          <w:tcPr>
            <w:tcW w:w="1102" w:type="dxa"/>
            <w:tcBorders>
              <w:top w:val="nil"/>
              <w:left w:val="nil"/>
              <w:bottom w:val="nil"/>
              <w:right w:val="single" w:sz="8" w:space="0" w:color="auto"/>
            </w:tcBorders>
            <w:shd w:val="clear" w:color="000000" w:fill="FFFFFF"/>
            <w:noWrap/>
            <w:vAlign w:val="center"/>
            <w:hideMark/>
          </w:tcPr>
          <w:p w14:paraId="191F2785"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2.8</w:t>
            </w:r>
          </w:p>
        </w:tc>
      </w:tr>
      <w:tr w:rsidR="00EE52DF" w:rsidRPr="00AE3C17" w14:paraId="66A0D515" w14:textId="77777777" w:rsidTr="003A2B85">
        <w:trPr>
          <w:trHeight w:val="75"/>
        </w:trPr>
        <w:tc>
          <w:tcPr>
            <w:tcW w:w="3424" w:type="dxa"/>
            <w:tcBorders>
              <w:top w:val="single" w:sz="4" w:space="0" w:color="auto"/>
              <w:left w:val="single" w:sz="8" w:space="0" w:color="auto"/>
              <w:bottom w:val="single" w:sz="4" w:space="0" w:color="auto"/>
              <w:right w:val="nil"/>
            </w:tcBorders>
            <w:shd w:val="clear" w:color="auto" w:fill="B8CCE4" w:themeFill="accent1" w:themeFillTint="66"/>
            <w:noWrap/>
            <w:vAlign w:val="center"/>
            <w:hideMark/>
          </w:tcPr>
          <w:p w14:paraId="23E3CE9D" w14:textId="77777777" w:rsidR="00EE52DF" w:rsidRPr="003A2B85" w:rsidRDefault="00EE52DF" w:rsidP="00EE52DF">
            <w:pP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Resultado Presupuestario</w:t>
            </w:r>
          </w:p>
        </w:tc>
        <w:tc>
          <w:tcPr>
            <w:tcW w:w="1268" w:type="dxa"/>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hideMark/>
          </w:tcPr>
          <w:p w14:paraId="757A2111"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-10,368.6</w:t>
            </w:r>
          </w:p>
        </w:tc>
        <w:tc>
          <w:tcPr>
            <w:tcW w:w="1460" w:type="dxa"/>
            <w:tcBorders>
              <w:top w:val="single" w:sz="4" w:space="0" w:color="auto"/>
              <w:left w:val="nil"/>
              <w:bottom w:val="single" w:sz="4" w:space="0" w:color="auto"/>
              <w:right w:val="nil"/>
            </w:tcBorders>
            <w:shd w:val="clear" w:color="auto" w:fill="B8CCE4" w:themeFill="accent1" w:themeFillTint="66"/>
            <w:noWrap/>
            <w:vAlign w:val="center"/>
            <w:hideMark/>
          </w:tcPr>
          <w:p w14:paraId="695386AE"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-16,293.1</w:t>
            </w:r>
          </w:p>
        </w:tc>
        <w:tc>
          <w:tcPr>
            <w:tcW w:w="1241" w:type="dxa"/>
            <w:tcBorders>
              <w:top w:val="single" w:sz="4" w:space="0" w:color="auto"/>
              <w:left w:val="nil"/>
              <w:bottom w:val="single" w:sz="4" w:space="0" w:color="auto"/>
              <w:right w:val="nil"/>
            </w:tcBorders>
            <w:shd w:val="clear" w:color="auto" w:fill="B8CCE4" w:themeFill="accent1" w:themeFillTint="66"/>
            <w:noWrap/>
            <w:vAlign w:val="center"/>
            <w:hideMark/>
          </w:tcPr>
          <w:p w14:paraId="4462A4A4"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-13,293.6</w:t>
            </w:r>
          </w:p>
        </w:tc>
        <w:tc>
          <w:tcPr>
            <w:tcW w:w="1102" w:type="dxa"/>
            <w:tcBorders>
              <w:top w:val="single" w:sz="4" w:space="0" w:color="auto"/>
              <w:left w:val="nil"/>
              <w:bottom w:val="single" w:sz="4" w:space="0" w:color="auto"/>
              <w:right w:val="single" w:sz="8" w:space="0" w:color="auto"/>
            </w:tcBorders>
            <w:shd w:val="clear" w:color="auto" w:fill="B8CCE4" w:themeFill="accent1" w:themeFillTint="66"/>
            <w:noWrap/>
            <w:vAlign w:val="center"/>
            <w:hideMark/>
          </w:tcPr>
          <w:p w14:paraId="175302D8"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-2.3%</w:t>
            </w:r>
          </w:p>
        </w:tc>
      </w:tr>
      <w:tr w:rsidR="00EE52DF" w:rsidRPr="00AE3C17" w14:paraId="4BDC05AB" w14:textId="77777777" w:rsidTr="003A2B85">
        <w:trPr>
          <w:trHeight w:val="222"/>
        </w:trPr>
        <w:tc>
          <w:tcPr>
            <w:tcW w:w="3424" w:type="dxa"/>
            <w:tcBorders>
              <w:top w:val="nil"/>
              <w:left w:val="single" w:sz="8" w:space="0" w:color="auto"/>
              <w:bottom w:val="nil"/>
              <w:right w:val="nil"/>
            </w:tcBorders>
            <w:shd w:val="clear" w:color="000000" w:fill="FFFFFF"/>
            <w:noWrap/>
            <w:vAlign w:val="center"/>
            <w:hideMark/>
          </w:tcPr>
          <w:p w14:paraId="431B84CF" w14:textId="77777777" w:rsidR="00EE52DF" w:rsidRPr="003A2B85" w:rsidRDefault="00EE52DF" w:rsidP="00EE52DF">
            <w:pP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Financiamiento Externo Neto</w:t>
            </w:r>
          </w:p>
        </w:tc>
        <w:tc>
          <w:tcPr>
            <w:tcW w:w="1268" w:type="dxa"/>
            <w:tcBorders>
              <w:top w:val="nil"/>
              <w:left w:val="single" w:sz="8" w:space="0" w:color="auto"/>
              <w:bottom w:val="nil"/>
              <w:right w:val="single" w:sz="4" w:space="0" w:color="auto"/>
            </w:tcBorders>
            <w:shd w:val="clear" w:color="000000" w:fill="FFFFFF"/>
            <w:noWrap/>
            <w:vAlign w:val="center"/>
            <w:hideMark/>
          </w:tcPr>
          <w:p w14:paraId="11C2CE8C"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454.3</w:t>
            </w:r>
          </w:p>
        </w:tc>
        <w:tc>
          <w:tcPr>
            <w:tcW w:w="1460" w:type="dxa"/>
            <w:tcBorders>
              <w:top w:val="nil"/>
              <w:left w:val="nil"/>
              <w:bottom w:val="nil"/>
              <w:right w:val="nil"/>
            </w:tcBorders>
            <w:shd w:val="clear" w:color="000000" w:fill="FFFFFF"/>
            <w:noWrap/>
            <w:vAlign w:val="center"/>
            <w:hideMark/>
          </w:tcPr>
          <w:p w14:paraId="797A8010"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-951.0</w:t>
            </w:r>
          </w:p>
        </w:tc>
        <w:tc>
          <w:tcPr>
            <w:tcW w:w="1241" w:type="dxa"/>
            <w:tcBorders>
              <w:top w:val="nil"/>
              <w:left w:val="nil"/>
              <w:bottom w:val="nil"/>
              <w:right w:val="nil"/>
            </w:tcBorders>
            <w:shd w:val="clear" w:color="000000" w:fill="FFFFFF"/>
            <w:noWrap/>
            <w:vAlign w:val="center"/>
            <w:hideMark/>
          </w:tcPr>
          <w:p w14:paraId="6B8FD049"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6,913.3</w:t>
            </w:r>
          </w:p>
        </w:tc>
        <w:tc>
          <w:tcPr>
            <w:tcW w:w="1102" w:type="dxa"/>
            <w:tcBorders>
              <w:top w:val="nil"/>
              <w:left w:val="nil"/>
              <w:bottom w:val="nil"/>
              <w:right w:val="single" w:sz="8" w:space="0" w:color="auto"/>
            </w:tcBorders>
            <w:shd w:val="clear" w:color="000000" w:fill="FFFFFF"/>
            <w:noWrap/>
            <w:vAlign w:val="center"/>
            <w:hideMark/>
          </w:tcPr>
          <w:p w14:paraId="07365EB5"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1.2%</w:t>
            </w:r>
          </w:p>
        </w:tc>
      </w:tr>
      <w:tr w:rsidR="00EE52DF" w:rsidRPr="00AE3C17" w14:paraId="1DECC885" w14:textId="77777777" w:rsidTr="003A2B85">
        <w:trPr>
          <w:trHeight w:val="195"/>
        </w:trPr>
        <w:tc>
          <w:tcPr>
            <w:tcW w:w="3424" w:type="dxa"/>
            <w:tcBorders>
              <w:top w:val="nil"/>
              <w:left w:val="single" w:sz="8" w:space="0" w:color="auto"/>
              <w:bottom w:val="nil"/>
              <w:right w:val="nil"/>
            </w:tcBorders>
            <w:shd w:val="clear" w:color="000000" w:fill="FFFFFF"/>
            <w:noWrap/>
            <w:hideMark/>
          </w:tcPr>
          <w:p w14:paraId="52D248A3" w14:textId="77777777" w:rsidR="00EE52DF" w:rsidRPr="003A2B85" w:rsidRDefault="00EE52DF" w:rsidP="00EE52DF">
            <w:pPr>
              <w:rPr>
                <w:rFonts w:ascii="Times New Roman" w:eastAsia="Times New Roman" w:hAnsi="Times New Roman" w:cs="Times New Roman"/>
                <w:sz w:val="19"/>
                <w:szCs w:val="19"/>
                <w:lang w:eastAsia="es-GT"/>
              </w:rPr>
            </w:pPr>
            <w:r w:rsidRPr="003A2B85">
              <w:rPr>
                <w:rFonts w:ascii="Times New Roman" w:eastAsia="Times New Roman" w:hAnsi="Times New Roman" w:cs="Times New Roman"/>
                <w:sz w:val="19"/>
                <w:szCs w:val="19"/>
                <w:lang w:eastAsia="es-GT"/>
              </w:rPr>
              <w:t>Colocación Neta de Bonos Internos</w:t>
            </w:r>
          </w:p>
        </w:tc>
        <w:tc>
          <w:tcPr>
            <w:tcW w:w="1268" w:type="dxa"/>
            <w:tcBorders>
              <w:top w:val="nil"/>
              <w:left w:val="single" w:sz="8" w:space="0" w:color="auto"/>
              <w:bottom w:val="nil"/>
              <w:right w:val="single" w:sz="4" w:space="0" w:color="auto"/>
            </w:tcBorders>
            <w:shd w:val="clear" w:color="000000" w:fill="FFFFFF"/>
            <w:noWrap/>
            <w:vAlign w:val="center"/>
            <w:hideMark/>
          </w:tcPr>
          <w:p w14:paraId="6839750C"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9,710.0</w:t>
            </w:r>
          </w:p>
        </w:tc>
        <w:tc>
          <w:tcPr>
            <w:tcW w:w="1460" w:type="dxa"/>
            <w:tcBorders>
              <w:top w:val="nil"/>
              <w:left w:val="nil"/>
              <w:bottom w:val="nil"/>
              <w:right w:val="nil"/>
            </w:tcBorders>
            <w:shd w:val="clear" w:color="000000" w:fill="FFFFFF"/>
            <w:noWrap/>
            <w:vAlign w:val="center"/>
            <w:hideMark/>
          </w:tcPr>
          <w:p w14:paraId="7F4C3368"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14,207.6</w:t>
            </w:r>
          </w:p>
        </w:tc>
        <w:tc>
          <w:tcPr>
            <w:tcW w:w="1241" w:type="dxa"/>
            <w:tcBorders>
              <w:top w:val="nil"/>
              <w:left w:val="nil"/>
              <w:bottom w:val="nil"/>
              <w:right w:val="nil"/>
            </w:tcBorders>
            <w:shd w:val="clear" w:color="000000" w:fill="FFFFFF"/>
            <w:noWrap/>
            <w:vAlign w:val="center"/>
            <w:hideMark/>
          </w:tcPr>
          <w:p w14:paraId="295D2C1F"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4,866.2</w:t>
            </w:r>
          </w:p>
        </w:tc>
        <w:tc>
          <w:tcPr>
            <w:tcW w:w="1102" w:type="dxa"/>
            <w:tcBorders>
              <w:top w:val="nil"/>
              <w:left w:val="nil"/>
              <w:bottom w:val="nil"/>
              <w:right w:val="single" w:sz="8" w:space="0" w:color="auto"/>
            </w:tcBorders>
            <w:shd w:val="clear" w:color="000000" w:fill="FFFFFF"/>
            <w:noWrap/>
            <w:vAlign w:val="center"/>
            <w:hideMark/>
          </w:tcPr>
          <w:p w14:paraId="7672672B"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0.8%</w:t>
            </w:r>
          </w:p>
        </w:tc>
      </w:tr>
      <w:tr w:rsidR="00EE52DF" w:rsidRPr="00AE3C17" w14:paraId="1E079EFF" w14:textId="77777777" w:rsidTr="003A2B85">
        <w:trPr>
          <w:trHeight w:val="59"/>
        </w:trPr>
        <w:tc>
          <w:tcPr>
            <w:tcW w:w="3424" w:type="dxa"/>
            <w:tcBorders>
              <w:top w:val="nil"/>
              <w:left w:val="single" w:sz="8" w:space="0" w:color="auto"/>
              <w:bottom w:val="single" w:sz="8" w:space="0" w:color="auto"/>
              <w:right w:val="nil"/>
            </w:tcBorders>
            <w:shd w:val="clear" w:color="000000" w:fill="FFFFFF"/>
            <w:noWrap/>
            <w:vAlign w:val="center"/>
            <w:hideMark/>
          </w:tcPr>
          <w:p w14:paraId="1FD55F60" w14:textId="77777777" w:rsidR="00EE52DF" w:rsidRPr="003A2B85" w:rsidRDefault="00EE52DF" w:rsidP="00EE52DF">
            <w:pP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Variación de Caja</w:t>
            </w:r>
          </w:p>
        </w:tc>
        <w:tc>
          <w:tcPr>
            <w:tcW w:w="1268" w:type="dxa"/>
            <w:tcBorders>
              <w:top w:val="nil"/>
              <w:left w:val="single" w:sz="8" w:space="0" w:color="auto"/>
              <w:bottom w:val="single" w:sz="8" w:space="0" w:color="auto"/>
              <w:right w:val="single" w:sz="4" w:space="0" w:color="auto"/>
            </w:tcBorders>
            <w:shd w:val="clear" w:color="000000" w:fill="FFFFFF"/>
            <w:noWrap/>
            <w:vAlign w:val="center"/>
            <w:hideMark/>
          </w:tcPr>
          <w:p w14:paraId="57B89D2C"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-356.5</w:t>
            </w:r>
          </w:p>
        </w:tc>
        <w:tc>
          <w:tcPr>
            <w:tcW w:w="1460" w:type="dxa"/>
            <w:tcBorders>
              <w:top w:val="nil"/>
              <w:left w:val="nil"/>
              <w:bottom w:val="single" w:sz="8" w:space="0" w:color="auto"/>
              <w:right w:val="nil"/>
            </w:tcBorders>
            <w:shd w:val="clear" w:color="000000" w:fill="FFFFFF"/>
            <w:noWrap/>
            <w:vAlign w:val="center"/>
            <w:hideMark/>
          </w:tcPr>
          <w:p w14:paraId="60727CC5"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3,419.3</w:t>
            </w:r>
          </w:p>
        </w:tc>
        <w:tc>
          <w:tcPr>
            <w:tcW w:w="1241" w:type="dxa"/>
            <w:tcBorders>
              <w:top w:val="nil"/>
              <w:left w:val="nil"/>
              <w:bottom w:val="single" w:sz="8" w:space="0" w:color="auto"/>
              <w:right w:val="nil"/>
            </w:tcBorders>
            <w:shd w:val="clear" w:color="000000" w:fill="FFFFFF"/>
            <w:noWrap/>
            <w:vAlign w:val="center"/>
            <w:hideMark/>
          </w:tcPr>
          <w:p w14:paraId="23297EF7"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1,040.3</w:t>
            </w:r>
          </w:p>
        </w:tc>
        <w:tc>
          <w:tcPr>
            <w:tcW w:w="1102" w:type="dxa"/>
            <w:tcBorders>
              <w:top w:val="nil"/>
              <w:left w:val="nil"/>
              <w:bottom w:val="single" w:sz="8" w:space="0" w:color="auto"/>
              <w:right w:val="single" w:sz="8" w:space="0" w:color="auto"/>
            </w:tcBorders>
            <w:shd w:val="clear" w:color="000000" w:fill="FFFFFF"/>
            <w:noWrap/>
            <w:vAlign w:val="center"/>
            <w:hideMark/>
          </w:tcPr>
          <w:p w14:paraId="09F884B4"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0.2%</w:t>
            </w:r>
          </w:p>
        </w:tc>
      </w:tr>
    </w:tbl>
    <w:p w14:paraId="256B598E" w14:textId="77777777" w:rsidR="00EE52DF" w:rsidRDefault="00EE52DF" w:rsidP="00621318">
      <w:pPr>
        <w:pStyle w:val="Textoindependiente"/>
        <w:spacing w:after="0"/>
        <w:ind w:left="708"/>
        <w:rPr>
          <w:rFonts w:ascii="Times New Roman" w:hAnsi="Times New Roman"/>
          <w:sz w:val="16"/>
          <w:szCs w:val="24"/>
        </w:rPr>
      </w:pPr>
      <w:r w:rsidRPr="00EE52DF">
        <w:rPr>
          <w:rFonts w:ascii="Times New Roman" w:hAnsi="Times New Roman"/>
          <w:sz w:val="16"/>
          <w:szCs w:val="24"/>
        </w:rPr>
        <w:t>Fuente: D</w:t>
      </w:r>
      <w:r w:rsidR="001D41AC">
        <w:rPr>
          <w:rFonts w:ascii="Times New Roman" w:hAnsi="Times New Roman"/>
          <w:sz w:val="16"/>
          <w:szCs w:val="24"/>
        </w:rPr>
        <w:t xml:space="preserve">irección de </w:t>
      </w:r>
      <w:r w:rsidRPr="00EE52DF">
        <w:rPr>
          <w:rFonts w:ascii="Times New Roman" w:hAnsi="Times New Roman"/>
          <w:sz w:val="16"/>
          <w:szCs w:val="24"/>
        </w:rPr>
        <w:t>A</w:t>
      </w:r>
      <w:r w:rsidR="001D41AC">
        <w:rPr>
          <w:rFonts w:ascii="Times New Roman" w:hAnsi="Times New Roman"/>
          <w:sz w:val="16"/>
          <w:szCs w:val="24"/>
        </w:rPr>
        <w:t xml:space="preserve">nálisis y </w:t>
      </w:r>
      <w:r w:rsidRPr="00EE52DF">
        <w:rPr>
          <w:rFonts w:ascii="Times New Roman" w:hAnsi="Times New Roman"/>
          <w:sz w:val="16"/>
          <w:szCs w:val="24"/>
        </w:rPr>
        <w:t>P</w:t>
      </w:r>
      <w:r w:rsidR="001D41AC">
        <w:rPr>
          <w:rFonts w:ascii="Times New Roman" w:hAnsi="Times New Roman"/>
          <w:sz w:val="16"/>
          <w:szCs w:val="24"/>
        </w:rPr>
        <w:t xml:space="preserve">olítica </w:t>
      </w:r>
      <w:r w:rsidRPr="00EE52DF">
        <w:rPr>
          <w:rFonts w:ascii="Times New Roman" w:hAnsi="Times New Roman"/>
          <w:sz w:val="16"/>
          <w:szCs w:val="24"/>
        </w:rPr>
        <w:t>F</w:t>
      </w:r>
      <w:r w:rsidR="001D41AC">
        <w:rPr>
          <w:rFonts w:ascii="Times New Roman" w:hAnsi="Times New Roman"/>
          <w:sz w:val="16"/>
          <w:szCs w:val="24"/>
        </w:rPr>
        <w:t>iscal</w:t>
      </w:r>
    </w:p>
    <w:p w14:paraId="225769EA" w14:textId="77777777" w:rsidR="00621318" w:rsidRPr="00EE52DF" w:rsidRDefault="00621318" w:rsidP="00621318">
      <w:pPr>
        <w:pStyle w:val="Textoindependiente"/>
        <w:spacing w:after="0"/>
        <w:ind w:left="708"/>
        <w:rPr>
          <w:rFonts w:ascii="Times New Roman" w:hAnsi="Times New Roman"/>
          <w:sz w:val="16"/>
          <w:szCs w:val="24"/>
        </w:rPr>
      </w:pPr>
    </w:p>
    <w:p w14:paraId="0E86FADF" w14:textId="77777777" w:rsidR="00EE52DF" w:rsidRDefault="00EE52DF" w:rsidP="00EE52DF">
      <w:pPr>
        <w:jc w:val="both"/>
        <w:rPr>
          <w:rFonts w:ascii="Times New Roman" w:hAnsi="Times New Roman" w:cs="Times New Roman"/>
          <w:sz w:val="22"/>
        </w:rPr>
      </w:pPr>
      <w:r w:rsidRPr="00EE52DF">
        <w:rPr>
          <w:rFonts w:ascii="Times New Roman" w:hAnsi="Times New Roman" w:cs="Times New Roman"/>
          <w:sz w:val="22"/>
        </w:rPr>
        <w:lastRenderedPageBreak/>
        <w:t>En cuanto al financiamiento del déficit fiscal lo constituyó la emisión y colocación de Bonos del Tesoro para el ejercicio fiscal 2019, la cual se realizó una parte en el mercado interno y otro componente importante en el mercado internacional de capitales mediante la colocación de Eurobonos.</w:t>
      </w:r>
    </w:p>
    <w:p w14:paraId="6B52EDB6" w14:textId="77777777" w:rsidR="00EE52DF" w:rsidRPr="00EE52DF" w:rsidRDefault="00EE52DF" w:rsidP="00EE52DF">
      <w:pPr>
        <w:jc w:val="both"/>
        <w:rPr>
          <w:rFonts w:ascii="Times New Roman" w:hAnsi="Times New Roman" w:cs="Times New Roman"/>
          <w:sz w:val="22"/>
        </w:rPr>
      </w:pPr>
    </w:p>
    <w:p w14:paraId="677661DD" w14:textId="77777777" w:rsidR="00EE52DF" w:rsidRDefault="00EE52DF" w:rsidP="00EE52DF">
      <w:pPr>
        <w:jc w:val="both"/>
        <w:rPr>
          <w:rFonts w:ascii="Times New Roman" w:hAnsi="Times New Roman" w:cs="Times New Roman"/>
          <w:sz w:val="22"/>
        </w:rPr>
      </w:pPr>
      <w:r w:rsidRPr="00EE52DF">
        <w:rPr>
          <w:rFonts w:ascii="Times New Roman" w:hAnsi="Times New Roman" w:cs="Times New Roman"/>
          <w:sz w:val="22"/>
        </w:rPr>
        <w:t xml:space="preserve">En lo que respecta a las colocaciones internas, es importante indicar que el monto demandado por los inversionistas en estas operaciones en 2019, se ubicó en Q30,811.2 millones y lo que adjudicado fueron Q9,077.5 millones.  Esta adjudicación se colocó a un rendimiento promedio ponderada de 6.6% y un plazo promedio de 16.4 años.   Es decir, la preferencia de los inversionistas y del gobierno fue colocar a plazos largos 15 y 20 años. </w:t>
      </w:r>
    </w:p>
    <w:p w14:paraId="43955A24" w14:textId="77777777" w:rsidR="00EE52DF" w:rsidRPr="00063CB5" w:rsidRDefault="00EE52DF" w:rsidP="00EE52DF">
      <w:pPr>
        <w:jc w:val="both"/>
        <w:rPr>
          <w:rFonts w:ascii="Times New Roman" w:hAnsi="Times New Roman" w:cs="Times New Roman"/>
          <w:sz w:val="14"/>
        </w:rPr>
      </w:pPr>
    </w:p>
    <w:p w14:paraId="53AFDE69" w14:textId="77777777" w:rsidR="00EE52DF" w:rsidRPr="00EE52DF" w:rsidRDefault="00EE52DF" w:rsidP="00EE52DF">
      <w:pPr>
        <w:pStyle w:val="Sinespaciado"/>
        <w:jc w:val="center"/>
        <w:rPr>
          <w:rFonts w:ascii="Times New Roman" w:hAnsi="Times New Roman" w:cs="Times New Roman"/>
          <w:b/>
          <w:sz w:val="24"/>
        </w:rPr>
      </w:pPr>
      <w:r w:rsidRPr="00EE52DF">
        <w:rPr>
          <w:rFonts w:ascii="Times New Roman" w:hAnsi="Times New Roman" w:cs="Times New Roman"/>
          <w:b/>
          <w:sz w:val="24"/>
        </w:rPr>
        <w:t>Colocación de Bonos del Tesoro en el Mercado Interno en 2019</w:t>
      </w:r>
    </w:p>
    <w:p w14:paraId="1CF438FD" w14:textId="77777777" w:rsidR="00EE52DF" w:rsidRPr="00EE52DF" w:rsidRDefault="00EE52DF" w:rsidP="00EE52DF">
      <w:pPr>
        <w:pStyle w:val="Sinespaciado"/>
        <w:jc w:val="center"/>
        <w:rPr>
          <w:rFonts w:ascii="Times New Roman" w:hAnsi="Times New Roman" w:cs="Times New Roman"/>
          <w:sz w:val="20"/>
        </w:rPr>
      </w:pPr>
      <w:r w:rsidRPr="00EE52DF">
        <w:rPr>
          <w:rFonts w:ascii="Times New Roman" w:hAnsi="Times New Roman" w:cs="Times New Roman"/>
          <w:sz w:val="20"/>
        </w:rPr>
        <w:t>Millones de quetzales, Porcentajes y Años</w:t>
      </w:r>
    </w:p>
    <w:tbl>
      <w:tblPr>
        <w:tblW w:w="8424" w:type="dxa"/>
        <w:jc w:val="center"/>
        <w:tblCellMar>
          <w:left w:w="70" w:type="dxa"/>
          <w:right w:w="70" w:type="dxa"/>
        </w:tblCellMar>
        <w:tblLook w:val="04A0" w:firstRow="1" w:lastRow="0" w:firstColumn="1" w:lastColumn="0" w:noHBand="0" w:noVBand="1"/>
      </w:tblPr>
      <w:tblGrid>
        <w:gridCol w:w="1467"/>
        <w:gridCol w:w="1494"/>
        <w:gridCol w:w="1494"/>
        <w:gridCol w:w="1683"/>
        <w:gridCol w:w="2286"/>
      </w:tblGrid>
      <w:tr w:rsidR="00EE52DF" w:rsidRPr="00B63678" w14:paraId="264F4232" w14:textId="77777777" w:rsidTr="003A2B85">
        <w:trPr>
          <w:trHeight w:val="291"/>
          <w:jc w:val="center"/>
        </w:trPr>
        <w:tc>
          <w:tcPr>
            <w:tcW w:w="1467" w:type="dxa"/>
            <w:tcBorders>
              <w:top w:val="single" w:sz="4" w:space="0" w:color="95B3D7"/>
              <w:left w:val="single" w:sz="4" w:space="0" w:color="95B3D7"/>
              <w:bottom w:val="single" w:sz="4" w:space="0" w:color="95B3D7"/>
              <w:right w:val="nil"/>
            </w:tcBorders>
            <w:shd w:val="clear" w:color="4F81BD" w:fill="4F81BD"/>
            <w:noWrap/>
            <w:vAlign w:val="center"/>
            <w:hideMark/>
          </w:tcPr>
          <w:p w14:paraId="603B0964" w14:textId="77777777" w:rsidR="00EE52DF" w:rsidRPr="003A2B85" w:rsidRDefault="00EE52DF" w:rsidP="00EE52DF">
            <w:pPr>
              <w:jc w:val="center"/>
              <w:rPr>
                <w:rFonts w:ascii="Times New Roman" w:eastAsia="Times New Roman" w:hAnsi="Times New Roman" w:cs="Times New Roman"/>
                <w:b/>
                <w:bCs/>
                <w:color w:val="4F81BD"/>
                <w:sz w:val="19"/>
                <w:szCs w:val="19"/>
                <w:lang w:eastAsia="es-GT"/>
              </w:rPr>
            </w:pPr>
            <w:r w:rsidRPr="003A2B85">
              <w:rPr>
                <w:rFonts w:ascii="Times New Roman" w:eastAsia="Times New Roman" w:hAnsi="Times New Roman" w:cs="Times New Roman"/>
                <w:b/>
                <w:bCs/>
                <w:color w:val="FFFFFF" w:themeColor="background1"/>
                <w:sz w:val="19"/>
                <w:szCs w:val="19"/>
                <w:lang w:eastAsia="es-GT"/>
              </w:rPr>
              <w:t>Vencimiento</w:t>
            </w:r>
            <w:r w:rsidRPr="003A2B85">
              <w:rPr>
                <w:rFonts w:ascii="Times New Roman" w:eastAsia="Times New Roman" w:hAnsi="Times New Roman" w:cs="Times New Roman"/>
                <w:b/>
                <w:bCs/>
                <w:color w:val="4F81BD"/>
                <w:sz w:val="19"/>
                <w:szCs w:val="19"/>
                <w:lang w:eastAsia="es-GT"/>
              </w:rPr>
              <w:t>a1</w:t>
            </w:r>
          </w:p>
        </w:tc>
        <w:tc>
          <w:tcPr>
            <w:tcW w:w="1494" w:type="dxa"/>
            <w:tcBorders>
              <w:top w:val="single" w:sz="4" w:space="0" w:color="95B3D7"/>
              <w:left w:val="nil"/>
              <w:bottom w:val="single" w:sz="4" w:space="0" w:color="95B3D7"/>
              <w:right w:val="nil"/>
            </w:tcBorders>
            <w:shd w:val="clear" w:color="4F81BD" w:fill="4F81BD"/>
            <w:vAlign w:val="center"/>
            <w:hideMark/>
          </w:tcPr>
          <w:p w14:paraId="53E4261B" w14:textId="77777777" w:rsidR="00EE52DF" w:rsidRPr="003A2B85" w:rsidRDefault="00EE52DF" w:rsidP="00EE52DF">
            <w:pPr>
              <w:jc w:val="center"/>
              <w:rPr>
                <w:rFonts w:ascii="Times New Roman" w:eastAsia="Times New Roman" w:hAnsi="Times New Roman" w:cs="Times New Roman"/>
                <w:b/>
                <w:bCs/>
                <w:color w:val="FFFFFF"/>
                <w:sz w:val="19"/>
                <w:szCs w:val="19"/>
                <w:lang w:eastAsia="es-GT"/>
              </w:rPr>
            </w:pPr>
            <w:r w:rsidRPr="003A2B85">
              <w:rPr>
                <w:rFonts w:ascii="Times New Roman" w:eastAsia="Times New Roman" w:hAnsi="Times New Roman" w:cs="Times New Roman"/>
                <w:b/>
                <w:bCs/>
                <w:color w:val="FFFFFF"/>
                <w:sz w:val="19"/>
                <w:szCs w:val="19"/>
                <w:lang w:eastAsia="es-GT"/>
              </w:rPr>
              <w:t>Demandado (Mill. de Q.)</w:t>
            </w:r>
          </w:p>
        </w:tc>
        <w:tc>
          <w:tcPr>
            <w:tcW w:w="1494" w:type="dxa"/>
            <w:tcBorders>
              <w:top w:val="single" w:sz="4" w:space="0" w:color="95B3D7"/>
              <w:left w:val="nil"/>
              <w:bottom w:val="single" w:sz="4" w:space="0" w:color="95B3D7"/>
              <w:right w:val="nil"/>
            </w:tcBorders>
            <w:shd w:val="clear" w:color="4F81BD" w:fill="4F81BD"/>
            <w:vAlign w:val="center"/>
            <w:hideMark/>
          </w:tcPr>
          <w:p w14:paraId="7296BF69" w14:textId="77777777" w:rsidR="00EE52DF" w:rsidRPr="003A2B85" w:rsidRDefault="00EE52DF" w:rsidP="00EE52DF">
            <w:pPr>
              <w:jc w:val="center"/>
              <w:rPr>
                <w:rFonts w:ascii="Times New Roman" w:eastAsia="Times New Roman" w:hAnsi="Times New Roman" w:cs="Times New Roman"/>
                <w:b/>
                <w:bCs/>
                <w:color w:val="FFFFFF"/>
                <w:sz w:val="19"/>
                <w:szCs w:val="19"/>
                <w:lang w:eastAsia="es-GT"/>
              </w:rPr>
            </w:pPr>
            <w:r w:rsidRPr="003A2B85">
              <w:rPr>
                <w:rFonts w:ascii="Times New Roman" w:eastAsia="Times New Roman" w:hAnsi="Times New Roman" w:cs="Times New Roman"/>
                <w:b/>
                <w:bCs/>
                <w:color w:val="FFFFFF"/>
                <w:sz w:val="19"/>
                <w:szCs w:val="19"/>
                <w:lang w:eastAsia="es-GT"/>
              </w:rPr>
              <w:t>Adjudicado</w:t>
            </w:r>
          </w:p>
          <w:p w14:paraId="1C3A04AD" w14:textId="77777777" w:rsidR="00EE52DF" w:rsidRPr="003A2B85" w:rsidRDefault="00EE52DF" w:rsidP="00EE52DF">
            <w:pPr>
              <w:jc w:val="center"/>
              <w:rPr>
                <w:rFonts w:ascii="Times New Roman" w:eastAsia="Times New Roman" w:hAnsi="Times New Roman" w:cs="Times New Roman"/>
                <w:b/>
                <w:bCs/>
                <w:color w:val="FFFFFF"/>
                <w:sz w:val="19"/>
                <w:szCs w:val="19"/>
                <w:lang w:eastAsia="es-GT"/>
              </w:rPr>
            </w:pPr>
            <w:r w:rsidRPr="003A2B85">
              <w:rPr>
                <w:rFonts w:ascii="Times New Roman" w:eastAsia="Times New Roman" w:hAnsi="Times New Roman" w:cs="Times New Roman"/>
                <w:b/>
                <w:bCs/>
                <w:color w:val="FFFFFF"/>
                <w:sz w:val="19"/>
                <w:szCs w:val="19"/>
                <w:lang w:eastAsia="es-GT"/>
              </w:rPr>
              <w:t>(Mill. de Q.)</w:t>
            </w:r>
          </w:p>
        </w:tc>
        <w:tc>
          <w:tcPr>
            <w:tcW w:w="1683" w:type="dxa"/>
            <w:tcBorders>
              <w:top w:val="single" w:sz="4" w:space="0" w:color="95B3D7"/>
              <w:left w:val="nil"/>
              <w:bottom w:val="single" w:sz="4" w:space="0" w:color="95B3D7"/>
              <w:right w:val="nil"/>
            </w:tcBorders>
            <w:shd w:val="clear" w:color="4F81BD" w:fill="4F81BD"/>
            <w:vAlign w:val="center"/>
            <w:hideMark/>
          </w:tcPr>
          <w:p w14:paraId="78D2191E" w14:textId="77777777" w:rsidR="00EE52DF" w:rsidRPr="003A2B85" w:rsidRDefault="00EE52DF" w:rsidP="00EE52DF">
            <w:pPr>
              <w:jc w:val="center"/>
              <w:rPr>
                <w:rFonts w:ascii="Times New Roman" w:eastAsia="Times New Roman" w:hAnsi="Times New Roman" w:cs="Times New Roman"/>
                <w:b/>
                <w:bCs/>
                <w:color w:val="FFFFFF"/>
                <w:sz w:val="19"/>
                <w:szCs w:val="19"/>
                <w:lang w:eastAsia="es-GT"/>
              </w:rPr>
            </w:pPr>
            <w:r w:rsidRPr="003A2B85">
              <w:rPr>
                <w:rFonts w:ascii="Times New Roman" w:eastAsia="Times New Roman" w:hAnsi="Times New Roman" w:cs="Times New Roman"/>
                <w:b/>
                <w:bCs/>
                <w:color w:val="FFFFFF"/>
                <w:sz w:val="19"/>
                <w:szCs w:val="19"/>
                <w:lang w:eastAsia="es-GT"/>
              </w:rPr>
              <w:t>Tasa Promedio Ponderada (%)</w:t>
            </w:r>
          </w:p>
        </w:tc>
        <w:tc>
          <w:tcPr>
            <w:tcW w:w="2286" w:type="dxa"/>
            <w:tcBorders>
              <w:top w:val="single" w:sz="4" w:space="0" w:color="95B3D7"/>
              <w:left w:val="nil"/>
              <w:bottom w:val="single" w:sz="4" w:space="0" w:color="95B3D7"/>
              <w:right w:val="single" w:sz="4" w:space="0" w:color="95B3D7"/>
            </w:tcBorders>
            <w:shd w:val="clear" w:color="4F81BD" w:fill="4F81BD"/>
            <w:vAlign w:val="center"/>
            <w:hideMark/>
          </w:tcPr>
          <w:p w14:paraId="2F1A7D8C" w14:textId="77777777" w:rsidR="00EE52DF" w:rsidRPr="003A2B85" w:rsidRDefault="00EE52DF" w:rsidP="00EE52DF">
            <w:pPr>
              <w:jc w:val="center"/>
              <w:rPr>
                <w:rFonts w:ascii="Times New Roman" w:eastAsia="Times New Roman" w:hAnsi="Times New Roman" w:cs="Times New Roman"/>
                <w:b/>
                <w:bCs/>
                <w:color w:val="FFFFFF"/>
                <w:sz w:val="19"/>
                <w:szCs w:val="19"/>
                <w:lang w:eastAsia="es-GT"/>
              </w:rPr>
            </w:pPr>
            <w:r w:rsidRPr="003A2B85">
              <w:rPr>
                <w:rFonts w:ascii="Times New Roman" w:eastAsia="Times New Roman" w:hAnsi="Times New Roman" w:cs="Times New Roman"/>
                <w:b/>
                <w:bCs/>
                <w:color w:val="FFFFFF"/>
                <w:sz w:val="19"/>
                <w:szCs w:val="19"/>
                <w:lang w:eastAsia="es-GT"/>
              </w:rPr>
              <w:t>Plazo Promedio Ponderado (años)</w:t>
            </w:r>
          </w:p>
        </w:tc>
      </w:tr>
      <w:tr w:rsidR="00EE52DF" w:rsidRPr="00B63678" w14:paraId="568D9EFF" w14:textId="77777777" w:rsidTr="003A2B85">
        <w:trPr>
          <w:trHeight w:val="158"/>
          <w:jc w:val="center"/>
        </w:trPr>
        <w:tc>
          <w:tcPr>
            <w:tcW w:w="1467" w:type="dxa"/>
            <w:tcBorders>
              <w:top w:val="single" w:sz="4" w:space="0" w:color="95B3D7"/>
              <w:left w:val="single" w:sz="4" w:space="0" w:color="95B3D7"/>
              <w:bottom w:val="single" w:sz="4" w:space="0" w:color="95B3D7"/>
              <w:right w:val="nil"/>
            </w:tcBorders>
            <w:shd w:val="clear" w:color="DCE6F1" w:fill="DCE6F1"/>
            <w:noWrap/>
            <w:vAlign w:val="bottom"/>
            <w:hideMark/>
          </w:tcPr>
          <w:p w14:paraId="49AB45F0"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Total</w:t>
            </w:r>
          </w:p>
        </w:tc>
        <w:tc>
          <w:tcPr>
            <w:tcW w:w="1494" w:type="dxa"/>
            <w:tcBorders>
              <w:top w:val="single" w:sz="4" w:space="0" w:color="95B3D7"/>
              <w:left w:val="nil"/>
              <w:bottom w:val="single" w:sz="4" w:space="0" w:color="95B3D7"/>
              <w:right w:val="nil"/>
            </w:tcBorders>
            <w:shd w:val="clear" w:color="DCE6F1" w:fill="DCE6F1"/>
            <w:noWrap/>
            <w:vAlign w:val="bottom"/>
            <w:hideMark/>
          </w:tcPr>
          <w:p w14:paraId="4AA6F6DB" w14:textId="77777777" w:rsidR="00EE52DF" w:rsidRPr="003A2B85" w:rsidRDefault="00EE52DF" w:rsidP="00EE52DF">
            <w:pPr>
              <w:jc w:val="right"/>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30,811.2</w:t>
            </w:r>
          </w:p>
        </w:tc>
        <w:tc>
          <w:tcPr>
            <w:tcW w:w="1494" w:type="dxa"/>
            <w:tcBorders>
              <w:top w:val="single" w:sz="4" w:space="0" w:color="95B3D7"/>
              <w:left w:val="nil"/>
              <w:bottom w:val="single" w:sz="4" w:space="0" w:color="95B3D7"/>
              <w:right w:val="nil"/>
            </w:tcBorders>
            <w:shd w:val="clear" w:color="DCE6F1" w:fill="DCE6F1"/>
            <w:noWrap/>
            <w:vAlign w:val="bottom"/>
            <w:hideMark/>
          </w:tcPr>
          <w:p w14:paraId="02591444" w14:textId="77777777" w:rsidR="00EE52DF" w:rsidRPr="003A2B85" w:rsidRDefault="00EE52DF" w:rsidP="00EE52DF">
            <w:pPr>
              <w:jc w:val="right"/>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9,077.5</w:t>
            </w:r>
          </w:p>
        </w:tc>
        <w:tc>
          <w:tcPr>
            <w:tcW w:w="1683" w:type="dxa"/>
            <w:tcBorders>
              <w:top w:val="single" w:sz="4" w:space="0" w:color="95B3D7"/>
              <w:left w:val="nil"/>
              <w:bottom w:val="single" w:sz="4" w:space="0" w:color="95B3D7"/>
              <w:right w:val="nil"/>
            </w:tcBorders>
            <w:shd w:val="clear" w:color="DCE6F1" w:fill="DCE6F1"/>
            <w:noWrap/>
            <w:vAlign w:val="bottom"/>
            <w:hideMark/>
          </w:tcPr>
          <w:p w14:paraId="2E6B2CFA"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6.6</w:t>
            </w:r>
          </w:p>
        </w:tc>
        <w:tc>
          <w:tcPr>
            <w:tcW w:w="2286" w:type="dxa"/>
            <w:tcBorders>
              <w:top w:val="single" w:sz="4" w:space="0" w:color="95B3D7"/>
              <w:left w:val="nil"/>
              <w:bottom w:val="single" w:sz="4" w:space="0" w:color="95B3D7"/>
              <w:right w:val="single" w:sz="4" w:space="0" w:color="95B3D7"/>
            </w:tcBorders>
            <w:shd w:val="clear" w:color="DCE6F1" w:fill="DCE6F1"/>
            <w:noWrap/>
            <w:vAlign w:val="bottom"/>
            <w:hideMark/>
          </w:tcPr>
          <w:p w14:paraId="60A9361B"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16.4</w:t>
            </w:r>
          </w:p>
        </w:tc>
      </w:tr>
      <w:tr w:rsidR="00EE52DF" w:rsidRPr="00B63678" w14:paraId="32B625BA" w14:textId="77777777" w:rsidTr="003A2B85">
        <w:trPr>
          <w:trHeight w:val="217"/>
          <w:jc w:val="center"/>
        </w:trPr>
        <w:tc>
          <w:tcPr>
            <w:tcW w:w="1467" w:type="dxa"/>
            <w:tcBorders>
              <w:top w:val="single" w:sz="4" w:space="0" w:color="95B3D7"/>
              <w:left w:val="single" w:sz="4" w:space="0" w:color="95B3D7"/>
              <w:bottom w:val="single" w:sz="4" w:space="0" w:color="95B3D7"/>
              <w:right w:val="nil"/>
            </w:tcBorders>
            <w:shd w:val="clear" w:color="auto" w:fill="auto"/>
            <w:noWrap/>
            <w:vAlign w:val="bottom"/>
            <w:hideMark/>
          </w:tcPr>
          <w:p w14:paraId="121979C7"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2020</w:t>
            </w:r>
          </w:p>
        </w:tc>
        <w:tc>
          <w:tcPr>
            <w:tcW w:w="1494" w:type="dxa"/>
            <w:tcBorders>
              <w:top w:val="single" w:sz="4" w:space="0" w:color="95B3D7"/>
              <w:left w:val="nil"/>
              <w:bottom w:val="single" w:sz="4" w:space="0" w:color="95B3D7"/>
              <w:right w:val="nil"/>
            </w:tcBorders>
            <w:shd w:val="clear" w:color="auto" w:fill="auto"/>
            <w:noWrap/>
            <w:vAlign w:val="bottom"/>
            <w:hideMark/>
          </w:tcPr>
          <w:p w14:paraId="7661724C"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13.4</w:t>
            </w:r>
          </w:p>
        </w:tc>
        <w:tc>
          <w:tcPr>
            <w:tcW w:w="1494" w:type="dxa"/>
            <w:tcBorders>
              <w:top w:val="single" w:sz="4" w:space="0" w:color="95B3D7"/>
              <w:left w:val="nil"/>
              <w:bottom w:val="single" w:sz="4" w:space="0" w:color="95B3D7"/>
              <w:right w:val="nil"/>
            </w:tcBorders>
            <w:shd w:val="clear" w:color="auto" w:fill="auto"/>
            <w:noWrap/>
            <w:vAlign w:val="bottom"/>
            <w:hideMark/>
          </w:tcPr>
          <w:p w14:paraId="136AD7DB"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13.2</w:t>
            </w:r>
          </w:p>
        </w:tc>
        <w:tc>
          <w:tcPr>
            <w:tcW w:w="1683" w:type="dxa"/>
            <w:tcBorders>
              <w:top w:val="single" w:sz="4" w:space="0" w:color="95B3D7"/>
              <w:left w:val="nil"/>
              <w:bottom w:val="single" w:sz="4" w:space="0" w:color="95B3D7"/>
              <w:right w:val="nil"/>
            </w:tcBorders>
            <w:shd w:val="clear" w:color="auto" w:fill="auto"/>
            <w:noWrap/>
            <w:vAlign w:val="bottom"/>
            <w:hideMark/>
          </w:tcPr>
          <w:p w14:paraId="04E7A4FC"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6.0</w:t>
            </w:r>
          </w:p>
        </w:tc>
        <w:tc>
          <w:tcPr>
            <w:tcW w:w="2286" w:type="dxa"/>
            <w:tcBorders>
              <w:top w:val="single" w:sz="4" w:space="0" w:color="95B3D7"/>
              <w:left w:val="nil"/>
              <w:bottom w:val="single" w:sz="4" w:space="0" w:color="95B3D7"/>
              <w:right w:val="single" w:sz="4" w:space="0" w:color="95B3D7"/>
            </w:tcBorders>
            <w:shd w:val="clear" w:color="auto" w:fill="auto"/>
            <w:noWrap/>
            <w:vAlign w:val="bottom"/>
            <w:hideMark/>
          </w:tcPr>
          <w:p w14:paraId="45B10268"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1.2</w:t>
            </w:r>
          </w:p>
        </w:tc>
      </w:tr>
      <w:tr w:rsidR="00EE52DF" w:rsidRPr="00B63678" w14:paraId="74D240BD" w14:textId="77777777" w:rsidTr="003A2B85">
        <w:trPr>
          <w:trHeight w:val="135"/>
          <w:jc w:val="center"/>
        </w:trPr>
        <w:tc>
          <w:tcPr>
            <w:tcW w:w="1467" w:type="dxa"/>
            <w:tcBorders>
              <w:top w:val="single" w:sz="4" w:space="0" w:color="95B3D7"/>
              <w:left w:val="single" w:sz="4" w:space="0" w:color="95B3D7"/>
              <w:bottom w:val="single" w:sz="4" w:space="0" w:color="95B3D7"/>
              <w:right w:val="nil"/>
            </w:tcBorders>
            <w:shd w:val="clear" w:color="DCE6F1" w:fill="DCE6F1"/>
            <w:noWrap/>
            <w:vAlign w:val="bottom"/>
            <w:hideMark/>
          </w:tcPr>
          <w:p w14:paraId="10D21129"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2021</w:t>
            </w:r>
          </w:p>
        </w:tc>
        <w:tc>
          <w:tcPr>
            <w:tcW w:w="1494" w:type="dxa"/>
            <w:tcBorders>
              <w:top w:val="single" w:sz="4" w:space="0" w:color="95B3D7"/>
              <w:left w:val="nil"/>
              <w:bottom w:val="single" w:sz="4" w:space="0" w:color="95B3D7"/>
              <w:right w:val="nil"/>
            </w:tcBorders>
            <w:shd w:val="clear" w:color="DCE6F1" w:fill="DCE6F1"/>
            <w:noWrap/>
            <w:vAlign w:val="bottom"/>
            <w:hideMark/>
          </w:tcPr>
          <w:p w14:paraId="65E91B66"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3.7</w:t>
            </w:r>
          </w:p>
        </w:tc>
        <w:tc>
          <w:tcPr>
            <w:tcW w:w="1494" w:type="dxa"/>
            <w:tcBorders>
              <w:top w:val="single" w:sz="4" w:space="0" w:color="95B3D7"/>
              <w:left w:val="nil"/>
              <w:bottom w:val="single" w:sz="4" w:space="0" w:color="95B3D7"/>
              <w:right w:val="nil"/>
            </w:tcBorders>
            <w:shd w:val="clear" w:color="DCE6F1" w:fill="DCE6F1"/>
            <w:noWrap/>
            <w:vAlign w:val="bottom"/>
            <w:hideMark/>
          </w:tcPr>
          <w:p w14:paraId="3ACCF92A"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3.7</w:t>
            </w:r>
          </w:p>
        </w:tc>
        <w:tc>
          <w:tcPr>
            <w:tcW w:w="1683" w:type="dxa"/>
            <w:tcBorders>
              <w:top w:val="single" w:sz="4" w:space="0" w:color="95B3D7"/>
              <w:left w:val="nil"/>
              <w:bottom w:val="single" w:sz="4" w:space="0" w:color="95B3D7"/>
              <w:right w:val="nil"/>
            </w:tcBorders>
            <w:shd w:val="clear" w:color="DCE6F1" w:fill="DCE6F1"/>
            <w:noWrap/>
            <w:vAlign w:val="bottom"/>
            <w:hideMark/>
          </w:tcPr>
          <w:p w14:paraId="647F8351"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6.1</w:t>
            </w:r>
          </w:p>
        </w:tc>
        <w:tc>
          <w:tcPr>
            <w:tcW w:w="2286" w:type="dxa"/>
            <w:tcBorders>
              <w:top w:val="single" w:sz="4" w:space="0" w:color="95B3D7"/>
              <w:left w:val="nil"/>
              <w:bottom w:val="single" w:sz="4" w:space="0" w:color="95B3D7"/>
              <w:right w:val="single" w:sz="4" w:space="0" w:color="95B3D7"/>
            </w:tcBorders>
            <w:shd w:val="clear" w:color="DCE6F1" w:fill="DCE6F1"/>
            <w:noWrap/>
            <w:vAlign w:val="bottom"/>
            <w:hideMark/>
          </w:tcPr>
          <w:p w14:paraId="0ADDAA13"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w:t>
            </w:r>
          </w:p>
        </w:tc>
      </w:tr>
      <w:tr w:rsidR="00EE52DF" w:rsidRPr="00B63678" w14:paraId="77AFE39B" w14:textId="77777777" w:rsidTr="003A2B85">
        <w:trPr>
          <w:trHeight w:val="195"/>
          <w:jc w:val="center"/>
        </w:trPr>
        <w:tc>
          <w:tcPr>
            <w:tcW w:w="1467" w:type="dxa"/>
            <w:tcBorders>
              <w:top w:val="single" w:sz="4" w:space="0" w:color="95B3D7"/>
              <w:left w:val="single" w:sz="4" w:space="0" w:color="95B3D7"/>
              <w:bottom w:val="single" w:sz="4" w:space="0" w:color="95B3D7"/>
              <w:right w:val="nil"/>
            </w:tcBorders>
            <w:shd w:val="clear" w:color="auto" w:fill="auto"/>
            <w:noWrap/>
            <w:vAlign w:val="bottom"/>
            <w:hideMark/>
          </w:tcPr>
          <w:p w14:paraId="410A8873"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2022</w:t>
            </w:r>
          </w:p>
        </w:tc>
        <w:tc>
          <w:tcPr>
            <w:tcW w:w="1494" w:type="dxa"/>
            <w:tcBorders>
              <w:top w:val="single" w:sz="4" w:space="0" w:color="95B3D7"/>
              <w:left w:val="nil"/>
              <w:bottom w:val="single" w:sz="4" w:space="0" w:color="95B3D7"/>
              <w:right w:val="nil"/>
            </w:tcBorders>
            <w:shd w:val="clear" w:color="auto" w:fill="auto"/>
            <w:noWrap/>
            <w:vAlign w:val="bottom"/>
            <w:hideMark/>
          </w:tcPr>
          <w:p w14:paraId="4C216BEF"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8.8</w:t>
            </w:r>
          </w:p>
        </w:tc>
        <w:tc>
          <w:tcPr>
            <w:tcW w:w="1494" w:type="dxa"/>
            <w:tcBorders>
              <w:top w:val="single" w:sz="4" w:space="0" w:color="95B3D7"/>
              <w:left w:val="nil"/>
              <w:bottom w:val="single" w:sz="4" w:space="0" w:color="95B3D7"/>
              <w:right w:val="nil"/>
            </w:tcBorders>
            <w:shd w:val="clear" w:color="auto" w:fill="auto"/>
            <w:noWrap/>
            <w:vAlign w:val="bottom"/>
            <w:hideMark/>
          </w:tcPr>
          <w:p w14:paraId="39368698"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8.8</w:t>
            </w:r>
          </w:p>
        </w:tc>
        <w:tc>
          <w:tcPr>
            <w:tcW w:w="1683" w:type="dxa"/>
            <w:tcBorders>
              <w:top w:val="single" w:sz="4" w:space="0" w:color="95B3D7"/>
              <w:left w:val="nil"/>
              <w:bottom w:val="single" w:sz="4" w:space="0" w:color="95B3D7"/>
              <w:right w:val="nil"/>
            </w:tcBorders>
            <w:shd w:val="clear" w:color="auto" w:fill="auto"/>
            <w:noWrap/>
            <w:vAlign w:val="bottom"/>
            <w:hideMark/>
          </w:tcPr>
          <w:p w14:paraId="7BD635BB"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6.3</w:t>
            </w:r>
          </w:p>
        </w:tc>
        <w:tc>
          <w:tcPr>
            <w:tcW w:w="2286" w:type="dxa"/>
            <w:tcBorders>
              <w:top w:val="single" w:sz="4" w:space="0" w:color="95B3D7"/>
              <w:left w:val="nil"/>
              <w:bottom w:val="single" w:sz="4" w:space="0" w:color="95B3D7"/>
              <w:right w:val="single" w:sz="4" w:space="0" w:color="95B3D7"/>
            </w:tcBorders>
            <w:shd w:val="clear" w:color="auto" w:fill="auto"/>
            <w:noWrap/>
            <w:vAlign w:val="bottom"/>
            <w:hideMark/>
          </w:tcPr>
          <w:p w14:paraId="63D82FD5"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3.0</w:t>
            </w:r>
          </w:p>
        </w:tc>
      </w:tr>
      <w:tr w:rsidR="00EE52DF" w:rsidRPr="00B63678" w14:paraId="52586BEE" w14:textId="77777777" w:rsidTr="003A2B85">
        <w:trPr>
          <w:trHeight w:val="99"/>
          <w:jc w:val="center"/>
        </w:trPr>
        <w:tc>
          <w:tcPr>
            <w:tcW w:w="1467" w:type="dxa"/>
            <w:tcBorders>
              <w:top w:val="single" w:sz="4" w:space="0" w:color="95B3D7"/>
              <w:left w:val="single" w:sz="4" w:space="0" w:color="95B3D7"/>
              <w:bottom w:val="single" w:sz="4" w:space="0" w:color="95B3D7"/>
              <w:right w:val="nil"/>
            </w:tcBorders>
            <w:shd w:val="clear" w:color="DCE6F1" w:fill="DCE6F1"/>
            <w:noWrap/>
            <w:vAlign w:val="bottom"/>
            <w:hideMark/>
          </w:tcPr>
          <w:p w14:paraId="31BB9A5C"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2028</w:t>
            </w:r>
          </w:p>
        </w:tc>
        <w:tc>
          <w:tcPr>
            <w:tcW w:w="1494" w:type="dxa"/>
            <w:tcBorders>
              <w:top w:val="single" w:sz="4" w:space="0" w:color="95B3D7"/>
              <w:left w:val="nil"/>
              <w:bottom w:val="single" w:sz="4" w:space="0" w:color="95B3D7"/>
              <w:right w:val="nil"/>
            </w:tcBorders>
            <w:shd w:val="clear" w:color="DCE6F1" w:fill="DCE6F1"/>
            <w:noWrap/>
            <w:vAlign w:val="bottom"/>
            <w:hideMark/>
          </w:tcPr>
          <w:p w14:paraId="051D8861"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3,157.1</w:t>
            </w:r>
          </w:p>
        </w:tc>
        <w:tc>
          <w:tcPr>
            <w:tcW w:w="1494" w:type="dxa"/>
            <w:tcBorders>
              <w:top w:val="single" w:sz="4" w:space="0" w:color="95B3D7"/>
              <w:left w:val="nil"/>
              <w:bottom w:val="single" w:sz="4" w:space="0" w:color="95B3D7"/>
              <w:right w:val="nil"/>
            </w:tcBorders>
            <w:shd w:val="clear" w:color="DCE6F1" w:fill="DCE6F1"/>
            <w:noWrap/>
            <w:vAlign w:val="bottom"/>
            <w:hideMark/>
          </w:tcPr>
          <w:p w14:paraId="59059341"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920.1</w:t>
            </w:r>
          </w:p>
        </w:tc>
        <w:tc>
          <w:tcPr>
            <w:tcW w:w="1683" w:type="dxa"/>
            <w:tcBorders>
              <w:top w:val="single" w:sz="4" w:space="0" w:color="95B3D7"/>
              <w:left w:val="nil"/>
              <w:bottom w:val="single" w:sz="4" w:space="0" w:color="95B3D7"/>
              <w:right w:val="nil"/>
            </w:tcBorders>
            <w:shd w:val="clear" w:color="DCE6F1" w:fill="DCE6F1"/>
            <w:noWrap/>
            <w:vAlign w:val="bottom"/>
            <w:hideMark/>
          </w:tcPr>
          <w:p w14:paraId="45EF1049"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6.0</w:t>
            </w:r>
          </w:p>
        </w:tc>
        <w:tc>
          <w:tcPr>
            <w:tcW w:w="2286" w:type="dxa"/>
            <w:tcBorders>
              <w:top w:val="single" w:sz="4" w:space="0" w:color="95B3D7"/>
              <w:left w:val="nil"/>
              <w:bottom w:val="single" w:sz="4" w:space="0" w:color="95B3D7"/>
              <w:right w:val="single" w:sz="4" w:space="0" w:color="95B3D7"/>
            </w:tcBorders>
            <w:shd w:val="clear" w:color="DCE6F1" w:fill="DCE6F1"/>
            <w:noWrap/>
            <w:vAlign w:val="bottom"/>
            <w:hideMark/>
          </w:tcPr>
          <w:p w14:paraId="7F509B08"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9.0</w:t>
            </w:r>
          </w:p>
        </w:tc>
      </w:tr>
      <w:tr w:rsidR="00EE52DF" w:rsidRPr="00B63678" w14:paraId="6F68FC0E" w14:textId="77777777" w:rsidTr="003A2B85">
        <w:trPr>
          <w:trHeight w:val="160"/>
          <w:jc w:val="center"/>
        </w:trPr>
        <w:tc>
          <w:tcPr>
            <w:tcW w:w="1467" w:type="dxa"/>
            <w:tcBorders>
              <w:top w:val="single" w:sz="4" w:space="0" w:color="95B3D7"/>
              <w:left w:val="single" w:sz="4" w:space="0" w:color="95B3D7"/>
              <w:bottom w:val="single" w:sz="4" w:space="0" w:color="95B3D7"/>
              <w:right w:val="nil"/>
            </w:tcBorders>
            <w:shd w:val="clear" w:color="auto" w:fill="auto"/>
            <w:noWrap/>
            <w:vAlign w:val="bottom"/>
            <w:hideMark/>
          </w:tcPr>
          <w:p w14:paraId="25316433"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2031</w:t>
            </w:r>
          </w:p>
        </w:tc>
        <w:tc>
          <w:tcPr>
            <w:tcW w:w="1494" w:type="dxa"/>
            <w:tcBorders>
              <w:top w:val="single" w:sz="4" w:space="0" w:color="95B3D7"/>
              <w:left w:val="nil"/>
              <w:bottom w:val="single" w:sz="4" w:space="0" w:color="95B3D7"/>
              <w:right w:val="nil"/>
            </w:tcBorders>
            <w:shd w:val="clear" w:color="auto" w:fill="auto"/>
            <w:noWrap/>
            <w:vAlign w:val="bottom"/>
            <w:hideMark/>
          </w:tcPr>
          <w:p w14:paraId="72DDD117"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2,876.1</w:t>
            </w:r>
          </w:p>
        </w:tc>
        <w:tc>
          <w:tcPr>
            <w:tcW w:w="1494" w:type="dxa"/>
            <w:tcBorders>
              <w:top w:val="single" w:sz="4" w:space="0" w:color="95B3D7"/>
              <w:left w:val="nil"/>
              <w:bottom w:val="single" w:sz="4" w:space="0" w:color="95B3D7"/>
              <w:right w:val="nil"/>
            </w:tcBorders>
            <w:shd w:val="clear" w:color="auto" w:fill="auto"/>
            <w:noWrap/>
            <w:vAlign w:val="bottom"/>
            <w:hideMark/>
          </w:tcPr>
          <w:p w14:paraId="42AB5405"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411.1</w:t>
            </w:r>
          </w:p>
        </w:tc>
        <w:tc>
          <w:tcPr>
            <w:tcW w:w="1683" w:type="dxa"/>
            <w:tcBorders>
              <w:top w:val="single" w:sz="4" w:space="0" w:color="95B3D7"/>
              <w:left w:val="nil"/>
              <w:bottom w:val="single" w:sz="4" w:space="0" w:color="95B3D7"/>
              <w:right w:val="nil"/>
            </w:tcBorders>
            <w:shd w:val="clear" w:color="auto" w:fill="auto"/>
            <w:noWrap/>
            <w:vAlign w:val="bottom"/>
            <w:hideMark/>
          </w:tcPr>
          <w:p w14:paraId="41C3169D"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6.0</w:t>
            </w:r>
          </w:p>
        </w:tc>
        <w:tc>
          <w:tcPr>
            <w:tcW w:w="2286" w:type="dxa"/>
            <w:tcBorders>
              <w:top w:val="single" w:sz="4" w:space="0" w:color="95B3D7"/>
              <w:left w:val="nil"/>
              <w:bottom w:val="single" w:sz="4" w:space="0" w:color="95B3D7"/>
              <w:right w:val="single" w:sz="4" w:space="0" w:color="95B3D7"/>
            </w:tcBorders>
            <w:shd w:val="clear" w:color="auto" w:fill="auto"/>
            <w:noWrap/>
            <w:vAlign w:val="bottom"/>
            <w:hideMark/>
          </w:tcPr>
          <w:p w14:paraId="744753DB"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12.0</w:t>
            </w:r>
          </w:p>
        </w:tc>
      </w:tr>
      <w:tr w:rsidR="00EE52DF" w:rsidRPr="00B63678" w14:paraId="6F18E45C" w14:textId="77777777" w:rsidTr="003A2B85">
        <w:trPr>
          <w:trHeight w:val="219"/>
          <w:jc w:val="center"/>
        </w:trPr>
        <w:tc>
          <w:tcPr>
            <w:tcW w:w="1467" w:type="dxa"/>
            <w:tcBorders>
              <w:top w:val="single" w:sz="4" w:space="0" w:color="95B3D7"/>
              <w:left w:val="single" w:sz="4" w:space="0" w:color="95B3D7"/>
              <w:bottom w:val="single" w:sz="4" w:space="0" w:color="95B3D7"/>
              <w:right w:val="nil"/>
            </w:tcBorders>
            <w:shd w:val="clear" w:color="DCE6F1" w:fill="DCE6F1"/>
            <w:noWrap/>
            <w:vAlign w:val="bottom"/>
            <w:hideMark/>
          </w:tcPr>
          <w:p w14:paraId="299A9CE6"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2034</w:t>
            </w:r>
          </w:p>
        </w:tc>
        <w:tc>
          <w:tcPr>
            <w:tcW w:w="1494" w:type="dxa"/>
            <w:tcBorders>
              <w:top w:val="single" w:sz="4" w:space="0" w:color="95B3D7"/>
              <w:left w:val="nil"/>
              <w:bottom w:val="single" w:sz="4" w:space="0" w:color="95B3D7"/>
              <w:right w:val="nil"/>
            </w:tcBorders>
            <w:shd w:val="clear" w:color="DCE6F1" w:fill="DCE6F1"/>
            <w:noWrap/>
            <w:vAlign w:val="bottom"/>
            <w:hideMark/>
          </w:tcPr>
          <w:p w14:paraId="2B81E81E"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10,272.9</w:t>
            </w:r>
          </w:p>
        </w:tc>
        <w:tc>
          <w:tcPr>
            <w:tcW w:w="1494" w:type="dxa"/>
            <w:tcBorders>
              <w:top w:val="single" w:sz="4" w:space="0" w:color="95B3D7"/>
              <w:left w:val="nil"/>
              <w:bottom w:val="single" w:sz="4" w:space="0" w:color="95B3D7"/>
              <w:right w:val="nil"/>
            </w:tcBorders>
            <w:shd w:val="clear" w:color="DCE6F1" w:fill="DCE6F1"/>
            <w:noWrap/>
            <w:vAlign w:val="bottom"/>
            <w:hideMark/>
          </w:tcPr>
          <w:p w14:paraId="31B28218"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3,760.5</w:t>
            </w:r>
          </w:p>
        </w:tc>
        <w:tc>
          <w:tcPr>
            <w:tcW w:w="1683" w:type="dxa"/>
            <w:tcBorders>
              <w:top w:val="single" w:sz="4" w:space="0" w:color="95B3D7"/>
              <w:left w:val="nil"/>
              <w:bottom w:val="single" w:sz="4" w:space="0" w:color="95B3D7"/>
              <w:right w:val="nil"/>
            </w:tcBorders>
            <w:shd w:val="clear" w:color="DCE6F1" w:fill="DCE6F1"/>
            <w:noWrap/>
            <w:vAlign w:val="bottom"/>
            <w:hideMark/>
          </w:tcPr>
          <w:p w14:paraId="2835993A"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6.5</w:t>
            </w:r>
          </w:p>
        </w:tc>
        <w:tc>
          <w:tcPr>
            <w:tcW w:w="2286" w:type="dxa"/>
            <w:tcBorders>
              <w:top w:val="single" w:sz="4" w:space="0" w:color="95B3D7"/>
              <w:left w:val="nil"/>
              <w:bottom w:val="single" w:sz="4" w:space="0" w:color="95B3D7"/>
              <w:right w:val="single" w:sz="4" w:space="0" w:color="95B3D7"/>
            </w:tcBorders>
            <w:shd w:val="clear" w:color="DCE6F1" w:fill="DCE6F1"/>
            <w:noWrap/>
            <w:vAlign w:val="bottom"/>
            <w:hideMark/>
          </w:tcPr>
          <w:p w14:paraId="2B441CFD"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15.0</w:t>
            </w:r>
          </w:p>
        </w:tc>
      </w:tr>
      <w:tr w:rsidR="00EE52DF" w:rsidRPr="00B63678" w14:paraId="4FBE0941" w14:textId="77777777" w:rsidTr="003A2B85">
        <w:trPr>
          <w:trHeight w:val="137"/>
          <w:jc w:val="center"/>
        </w:trPr>
        <w:tc>
          <w:tcPr>
            <w:tcW w:w="1467" w:type="dxa"/>
            <w:tcBorders>
              <w:top w:val="single" w:sz="4" w:space="0" w:color="95B3D7"/>
              <w:left w:val="single" w:sz="4" w:space="0" w:color="95B3D7"/>
              <w:bottom w:val="single" w:sz="4" w:space="0" w:color="95B3D7"/>
              <w:right w:val="nil"/>
            </w:tcBorders>
            <w:shd w:val="clear" w:color="auto" w:fill="auto"/>
            <w:noWrap/>
            <w:vAlign w:val="bottom"/>
            <w:hideMark/>
          </w:tcPr>
          <w:p w14:paraId="28FD7E15"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2039</w:t>
            </w:r>
          </w:p>
        </w:tc>
        <w:tc>
          <w:tcPr>
            <w:tcW w:w="1494" w:type="dxa"/>
            <w:tcBorders>
              <w:top w:val="single" w:sz="4" w:space="0" w:color="95B3D7"/>
              <w:left w:val="nil"/>
              <w:bottom w:val="single" w:sz="4" w:space="0" w:color="95B3D7"/>
              <w:right w:val="nil"/>
            </w:tcBorders>
            <w:shd w:val="clear" w:color="auto" w:fill="auto"/>
            <w:noWrap/>
            <w:vAlign w:val="bottom"/>
            <w:hideMark/>
          </w:tcPr>
          <w:p w14:paraId="1FDAAB65"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14,479.2</w:t>
            </w:r>
          </w:p>
        </w:tc>
        <w:tc>
          <w:tcPr>
            <w:tcW w:w="1494" w:type="dxa"/>
            <w:tcBorders>
              <w:top w:val="single" w:sz="4" w:space="0" w:color="95B3D7"/>
              <w:left w:val="nil"/>
              <w:bottom w:val="single" w:sz="4" w:space="0" w:color="95B3D7"/>
              <w:right w:val="nil"/>
            </w:tcBorders>
            <w:shd w:val="clear" w:color="auto" w:fill="auto"/>
            <w:noWrap/>
            <w:vAlign w:val="bottom"/>
            <w:hideMark/>
          </w:tcPr>
          <w:p w14:paraId="22EE0B46"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3,960.1</w:t>
            </w:r>
          </w:p>
        </w:tc>
        <w:tc>
          <w:tcPr>
            <w:tcW w:w="1683" w:type="dxa"/>
            <w:tcBorders>
              <w:top w:val="single" w:sz="4" w:space="0" w:color="95B3D7"/>
              <w:left w:val="nil"/>
              <w:bottom w:val="single" w:sz="4" w:space="0" w:color="95B3D7"/>
              <w:right w:val="nil"/>
            </w:tcBorders>
            <w:shd w:val="clear" w:color="auto" w:fill="auto"/>
            <w:noWrap/>
            <w:vAlign w:val="bottom"/>
            <w:hideMark/>
          </w:tcPr>
          <w:p w14:paraId="21333E25"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7.0</w:t>
            </w:r>
          </w:p>
        </w:tc>
        <w:tc>
          <w:tcPr>
            <w:tcW w:w="2286" w:type="dxa"/>
            <w:tcBorders>
              <w:top w:val="single" w:sz="4" w:space="0" w:color="95B3D7"/>
              <w:left w:val="nil"/>
              <w:bottom w:val="single" w:sz="4" w:space="0" w:color="95B3D7"/>
              <w:right w:val="single" w:sz="4" w:space="0" w:color="95B3D7"/>
            </w:tcBorders>
            <w:shd w:val="clear" w:color="auto" w:fill="auto"/>
            <w:noWrap/>
            <w:vAlign w:val="bottom"/>
            <w:hideMark/>
          </w:tcPr>
          <w:p w14:paraId="45E3D062"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20.0</w:t>
            </w:r>
          </w:p>
        </w:tc>
      </w:tr>
    </w:tbl>
    <w:p w14:paraId="4875F1A8" w14:textId="77777777" w:rsidR="00EE52DF" w:rsidRPr="00EE52DF" w:rsidRDefault="00EE52DF" w:rsidP="00EE52DF">
      <w:pPr>
        <w:ind w:firstLine="708"/>
        <w:jc w:val="both"/>
        <w:rPr>
          <w:rFonts w:ascii="Times New Roman" w:hAnsi="Times New Roman" w:cs="Times New Roman"/>
          <w:sz w:val="16"/>
        </w:rPr>
      </w:pPr>
      <w:r w:rsidRPr="00EE52DF">
        <w:rPr>
          <w:rFonts w:ascii="Times New Roman" w:hAnsi="Times New Roman" w:cs="Times New Roman"/>
          <w:sz w:val="16"/>
        </w:rPr>
        <w:t>Fuente: D</w:t>
      </w:r>
      <w:r w:rsidR="00C61388">
        <w:rPr>
          <w:rFonts w:ascii="Times New Roman" w:hAnsi="Times New Roman" w:cs="Times New Roman"/>
          <w:sz w:val="16"/>
        </w:rPr>
        <w:t xml:space="preserve">irección de </w:t>
      </w:r>
      <w:r w:rsidRPr="00EE52DF">
        <w:rPr>
          <w:rFonts w:ascii="Times New Roman" w:hAnsi="Times New Roman" w:cs="Times New Roman"/>
          <w:sz w:val="16"/>
        </w:rPr>
        <w:t>A</w:t>
      </w:r>
      <w:r w:rsidR="00C61388">
        <w:rPr>
          <w:rFonts w:ascii="Times New Roman" w:hAnsi="Times New Roman" w:cs="Times New Roman"/>
          <w:sz w:val="16"/>
        </w:rPr>
        <w:t xml:space="preserve">nálisis y </w:t>
      </w:r>
      <w:r w:rsidRPr="00EE52DF">
        <w:rPr>
          <w:rFonts w:ascii="Times New Roman" w:hAnsi="Times New Roman" w:cs="Times New Roman"/>
          <w:sz w:val="16"/>
        </w:rPr>
        <w:t>P</w:t>
      </w:r>
      <w:r w:rsidR="00C61388">
        <w:rPr>
          <w:rFonts w:ascii="Times New Roman" w:hAnsi="Times New Roman" w:cs="Times New Roman"/>
          <w:sz w:val="16"/>
        </w:rPr>
        <w:t xml:space="preserve">olítica </w:t>
      </w:r>
      <w:r w:rsidRPr="00EE52DF">
        <w:rPr>
          <w:rFonts w:ascii="Times New Roman" w:hAnsi="Times New Roman" w:cs="Times New Roman"/>
          <w:sz w:val="16"/>
        </w:rPr>
        <w:t>F</w:t>
      </w:r>
      <w:r w:rsidR="00C61388">
        <w:rPr>
          <w:rFonts w:ascii="Times New Roman" w:hAnsi="Times New Roman" w:cs="Times New Roman"/>
          <w:sz w:val="16"/>
        </w:rPr>
        <w:t>iscal</w:t>
      </w:r>
    </w:p>
    <w:p w14:paraId="6FC49B36" w14:textId="77777777" w:rsidR="00EE52DF" w:rsidRDefault="00EE52DF" w:rsidP="00EE52DF">
      <w:pPr>
        <w:jc w:val="both"/>
        <w:rPr>
          <w:rFonts w:ascii="Times New Roman" w:hAnsi="Times New Roman" w:cs="Times New Roman"/>
          <w:sz w:val="22"/>
        </w:rPr>
      </w:pPr>
    </w:p>
    <w:p w14:paraId="64835702" w14:textId="77777777" w:rsidR="00EE52DF" w:rsidRDefault="00EE52DF" w:rsidP="00EE52DF">
      <w:pPr>
        <w:jc w:val="both"/>
        <w:rPr>
          <w:rFonts w:ascii="Times New Roman" w:hAnsi="Times New Roman" w:cs="Times New Roman"/>
          <w:sz w:val="22"/>
        </w:rPr>
      </w:pPr>
      <w:r w:rsidRPr="00EE52DF">
        <w:rPr>
          <w:rFonts w:ascii="Times New Roman" w:hAnsi="Times New Roman" w:cs="Times New Roman"/>
          <w:sz w:val="22"/>
        </w:rPr>
        <w:t xml:space="preserve">Asimismo, se adjudicaron US$1,200 millones en el mercado internacional de capitales, a plazos largos, sobresaliendo el plazo cuyo vencimiento es 2050, cuyo monto adjudicado fue de US$700 millones a una tasa rendimiento de 6.3%, la otra colocación se realizó a 10 año (US$500 millones) a una tasa de rendimiento de 5.1%.   Es importante destacar el apetito del mercado internacional por los Bonos del Tesoro y la baja tasa adjudicada, lo cual pone de manifiesto el bajo riesgo país que tienen los títulos del gobierno de Guatemala en el mercado internacional. </w:t>
      </w:r>
    </w:p>
    <w:p w14:paraId="1DADD340" w14:textId="77777777" w:rsidR="00F973BC" w:rsidRDefault="00F973BC" w:rsidP="00EE52DF">
      <w:pPr>
        <w:jc w:val="both"/>
        <w:rPr>
          <w:rFonts w:ascii="Times New Roman" w:hAnsi="Times New Roman" w:cs="Times New Roman"/>
          <w:sz w:val="22"/>
        </w:rPr>
      </w:pPr>
    </w:p>
    <w:p w14:paraId="308E0AD4" w14:textId="77777777" w:rsidR="00EE52DF" w:rsidRPr="00EA34D1" w:rsidRDefault="00EE52DF" w:rsidP="00EE52DF">
      <w:pPr>
        <w:pStyle w:val="Sinespaciado"/>
        <w:jc w:val="center"/>
        <w:rPr>
          <w:rFonts w:ascii="Times New Roman" w:hAnsi="Times New Roman" w:cs="Times New Roman"/>
          <w:b/>
          <w:sz w:val="24"/>
        </w:rPr>
      </w:pPr>
      <w:r w:rsidRPr="00EA34D1">
        <w:rPr>
          <w:rFonts w:ascii="Times New Roman" w:hAnsi="Times New Roman" w:cs="Times New Roman"/>
          <w:b/>
          <w:sz w:val="24"/>
        </w:rPr>
        <w:t>Colocación de Bonos de Eurobonos en 2019</w:t>
      </w:r>
    </w:p>
    <w:p w14:paraId="544232EB" w14:textId="77777777" w:rsidR="00EE52DF" w:rsidRPr="00EA34D1" w:rsidRDefault="00EE52DF" w:rsidP="00EE52DF">
      <w:pPr>
        <w:pStyle w:val="Sinespaciado"/>
        <w:jc w:val="center"/>
        <w:rPr>
          <w:rFonts w:ascii="Times New Roman" w:hAnsi="Times New Roman" w:cs="Times New Roman"/>
          <w:sz w:val="20"/>
        </w:rPr>
      </w:pPr>
      <w:r w:rsidRPr="00EA34D1">
        <w:rPr>
          <w:rFonts w:ascii="Times New Roman" w:hAnsi="Times New Roman" w:cs="Times New Roman"/>
          <w:sz w:val="20"/>
        </w:rPr>
        <w:t>Millones de quetzales, Porcentajes y Años</w:t>
      </w:r>
    </w:p>
    <w:tbl>
      <w:tblPr>
        <w:tblW w:w="8572" w:type="dxa"/>
        <w:jc w:val="center"/>
        <w:tblCellMar>
          <w:left w:w="70" w:type="dxa"/>
          <w:right w:w="70" w:type="dxa"/>
        </w:tblCellMar>
        <w:tblLook w:val="04A0" w:firstRow="1" w:lastRow="0" w:firstColumn="1" w:lastColumn="0" w:noHBand="0" w:noVBand="1"/>
      </w:tblPr>
      <w:tblGrid>
        <w:gridCol w:w="1530"/>
        <w:gridCol w:w="1634"/>
        <w:gridCol w:w="1634"/>
        <w:gridCol w:w="1841"/>
        <w:gridCol w:w="1933"/>
      </w:tblGrid>
      <w:tr w:rsidR="00EE52DF" w:rsidRPr="00EA34D1" w14:paraId="603D84AF" w14:textId="77777777" w:rsidTr="003A2B85">
        <w:trPr>
          <w:trHeight w:val="377"/>
          <w:jc w:val="center"/>
        </w:trPr>
        <w:tc>
          <w:tcPr>
            <w:tcW w:w="1530" w:type="dxa"/>
            <w:tcBorders>
              <w:top w:val="single" w:sz="4" w:space="0" w:color="95B3D7"/>
              <w:left w:val="single" w:sz="4" w:space="0" w:color="95B3D7"/>
              <w:bottom w:val="single" w:sz="4" w:space="0" w:color="95B3D7"/>
              <w:right w:val="nil"/>
            </w:tcBorders>
            <w:shd w:val="clear" w:color="4F81BD" w:fill="4F81BD"/>
            <w:noWrap/>
            <w:vAlign w:val="center"/>
            <w:hideMark/>
          </w:tcPr>
          <w:p w14:paraId="0AA83B4A" w14:textId="77777777" w:rsidR="00EE52DF" w:rsidRPr="003A2B85" w:rsidRDefault="00EE52DF" w:rsidP="00EE52DF">
            <w:pPr>
              <w:jc w:val="center"/>
              <w:rPr>
                <w:rFonts w:ascii="Times New Roman" w:eastAsia="Times New Roman" w:hAnsi="Times New Roman" w:cs="Times New Roman"/>
                <w:b/>
                <w:bCs/>
                <w:color w:val="4F81BD"/>
                <w:sz w:val="19"/>
                <w:szCs w:val="19"/>
                <w:lang w:eastAsia="es-GT"/>
              </w:rPr>
            </w:pPr>
            <w:r w:rsidRPr="003A2B85">
              <w:rPr>
                <w:rFonts w:ascii="Times New Roman" w:eastAsia="Times New Roman" w:hAnsi="Times New Roman" w:cs="Times New Roman"/>
                <w:b/>
                <w:bCs/>
                <w:color w:val="FFFFFF" w:themeColor="background1"/>
                <w:sz w:val="19"/>
                <w:szCs w:val="19"/>
                <w:lang w:eastAsia="es-GT"/>
              </w:rPr>
              <w:t>Vencimiento</w:t>
            </w:r>
          </w:p>
        </w:tc>
        <w:tc>
          <w:tcPr>
            <w:tcW w:w="1634" w:type="dxa"/>
            <w:tcBorders>
              <w:top w:val="single" w:sz="4" w:space="0" w:color="95B3D7"/>
              <w:left w:val="nil"/>
              <w:bottom w:val="single" w:sz="4" w:space="0" w:color="95B3D7"/>
              <w:right w:val="nil"/>
            </w:tcBorders>
            <w:shd w:val="clear" w:color="auto" w:fill="4F81BD" w:themeFill="accent1"/>
            <w:vAlign w:val="center"/>
            <w:hideMark/>
          </w:tcPr>
          <w:p w14:paraId="72F73828" w14:textId="77777777" w:rsidR="00EE52DF" w:rsidRPr="003A2B85" w:rsidRDefault="00EE52DF" w:rsidP="00EE52DF">
            <w:pPr>
              <w:jc w:val="center"/>
              <w:rPr>
                <w:rFonts w:ascii="Times New Roman" w:eastAsia="Times New Roman" w:hAnsi="Times New Roman" w:cs="Times New Roman"/>
                <w:b/>
                <w:bCs/>
                <w:color w:val="FFFFFF"/>
                <w:sz w:val="19"/>
                <w:szCs w:val="19"/>
                <w:lang w:eastAsia="es-GT"/>
              </w:rPr>
            </w:pPr>
            <w:r w:rsidRPr="003A2B85">
              <w:rPr>
                <w:rFonts w:ascii="Times New Roman" w:eastAsia="Times New Roman" w:hAnsi="Times New Roman" w:cs="Times New Roman"/>
                <w:b/>
                <w:bCs/>
                <w:color w:val="FFFFFF"/>
                <w:sz w:val="19"/>
                <w:szCs w:val="19"/>
                <w:lang w:eastAsia="es-GT"/>
              </w:rPr>
              <w:t>Demandado</w:t>
            </w:r>
          </w:p>
        </w:tc>
        <w:tc>
          <w:tcPr>
            <w:tcW w:w="1634" w:type="dxa"/>
            <w:tcBorders>
              <w:top w:val="single" w:sz="4" w:space="0" w:color="95B3D7"/>
              <w:left w:val="nil"/>
              <w:bottom w:val="single" w:sz="4" w:space="0" w:color="95B3D7"/>
              <w:right w:val="nil"/>
            </w:tcBorders>
            <w:shd w:val="clear" w:color="auto" w:fill="4F81BD" w:themeFill="accent1"/>
            <w:vAlign w:val="center"/>
            <w:hideMark/>
          </w:tcPr>
          <w:p w14:paraId="1132522B" w14:textId="77777777" w:rsidR="00EE52DF" w:rsidRPr="003A2B85" w:rsidRDefault="00EE52DF" w:rsidP="00EE52DF">
            <w:pPr>
              <w:jc w:val="center"/>
              <w:rPr>
                <w:rFonts w:ascii="Times New Roman" w:eastAsia="Times New Roman" w:hAnsi="Times New Roman" w:cs="Times New Roman"/>
                <w:b/>
                <w:bCs/>
                <w:color w:val="FFFFFF"/>
                <w:sz w:val="19"/>
                <w:szCs w:val="19"/>
                <w:lang w:eastAsia="es-GT"/>
              </w:rPr>
            </w:pPr>
            <w:r w:rsidRPr="003A2B85">
              <w:rPr>
                <w:rFonts w:ascii="Times New Roman" w:eastAsia="Times New Roman" w:hAnsi="Times New Roman" w:cs="Times New Roman"/>
                <w:b/>
                <w:bCs/>
                <w:color w:val="FFFFFF"/>
                <w:sz w:val="19"/>
                <w:szCs w:val="19"/>
                <w:lang w:eastAsia="es-GT"/>
              </w:rPr>
              <w:t>Adjudicado</w:t>
            </w:r>
          </w:p>
        </w:tc>
        <w:tc>
          <w:tcPr>
            <w:tcW w:w="1841" w:type="dxa"/>
            <w:tcBorders>
              <w:top w:val="single" w:sz="4" w:space="0" w:color="95B3D7"/>
              <w:left w:val="nil"/>
              <w:bottom w:val="single" w:sz="4" w:space="0" w:color="95B3D7"/>
              <w:right w:val="nil"/>
            </w:tcBorders>
            <w:shd w:val="clear" w:color="auto" w:fill="4F81BD" w:themeFill="accent1"/>
            <w:vAlign w:val="center"/>
            <w:hideMark/>
          </w:tcPr>
          <w:p w14:paraId="5286E402" w14:textId="77777777" w:rsidR="00EE52DF" w:rsidRPr="003A2B85" w:rsidRDefault="00EE52DF" w:rsidP="00EE52DF">
            <w:pPr>
              <w:jc w:val="center"/>
              <w:rPr>
                <w:rFonts w:ascii="Times New Roman" w:eastAsia="Times New Roman" w:hAnsi="Times New Roman" w:cs="Times New Roman"/>
                <w:b/>
                <w:bCs/>
                <w:color w:val="FFFFFF"/>
                <w:sz w:val="19"/>
                <w:szCs w:val="19"/>
                <w:lang w:eastAsia="es-GT"/>
              </w:rPr>
            </w:pPr>
            <w:r w:rsidRPr="003A2B85">
              <w:rPr>
                <w:rFonts w:ascii="Times New Roman" w:eastAsia="Times New Roman" w:hAnsi="Times New Roman" w:cs="Times New Roman"/>
                <w:b/>
                <w:bCs/>
                <w:color w:val="FFFFFF"/>
                <w:sz w:val="19"/>
                <w:szCs w:val="19"/>
                <w:lang w:eastAsia="es-GT"/>
              </w:rPr>
              <w:t>Tasa Promedio Ponderada</w:t>
            </w:r>
          </w:p>
        </w:tc>
        <w:tc>
          <w:tcPr>
            <w:tcW w:w="1933" w:type="dxa"/>
            <w:tcBorders>
              <w:top w:val="single" w:sz="4" w:space="0" w:color="95B3D7"/>
              <w:left w:val="nil"/>
              <w:bottom w:val="single" w:sz="4" w:space="0" w:color="95B3D7"/>
              <w:right w:val="single" w:sz="4" w:space="0" w:color="95B3D7"/>
            </w:tcBorders>
            <w:shd w:val="clear" w:color="4F81BD" w:fill="4F81BD"/>
            <w:vAlign w:val="center"/>
            <w:hideMark/>
          </w:tcPr>
          <w:p w14:paraId="1BE5F6E6" w14:textId="77777777" w:rsidR="00EE52DF" w:rsidRPr="003A2B85" w:rsidRDefault="00EE52DF" w:rsidP="00EE52DF">
            <w:pPr>
              <w:jc w:val="center"/>
              <w:rPr>
                <w:rFonts w:ascii="Times New Roman" w:eastAsia="Times New Roman" w:hAnsi="Times New Roman" w:cs="Times New Roman"/>
                <w:b/>
                <w:bCs/>
                <w:color w:val="FFFFFF"/>
                <w:sz w:val="19"/>
                <w:szCs w:val="19"/>
                <w:lang w:eastAsia="es-GT"/>
              </w:rPr>
            </w:pPr>
            <w:r w:rsidRPr="003A2B85">
              <w:rPr>
                <w:rFonts w:ascii="Times New Roman" w:eastAsia="Times New Roman" w:hAnsi="Times New Roman" w:cs="Times New Roman"/>
                <w:b/>
                <w:bCs/>
                <w:color w:val="FFFFFF"/>
                <w:sz w:val="19"/>
                <w:szCs w:val="19"/>
                <w:lang w:eastAsia="es-GT"/>
              </w:rPr>
              <w:t>Plazo Promedio Ponderado</w:t>
            </w:r>
          </w:p>
        </w:tc>
      </w:tr>
      <w:tr w:rsidR="00EE52DF" w:rsidRPr="00EA34D1" w14:paraId="3FA06112" w14:textId="77777777" w:rsidTr="00F973BC">
        <w:trPr>
          <w:trHeight w:val="83"/>
          <w:jc w:val="center"/>
        </w:trPr>
        <w:tc>
          <w:tcPr>
            <w:tcW w:w="1530" w:type="dxa"/>
            <w:tcBorders>
              <w:top w:val="nil"/>
              <w:left w:val="single" w:sz="4" w:space="0" w:color="95B3D7"/>
              <w:bottom w:val="single" w:sz="4" w:space="0" w:color="95B3D7"/>
              <w:right w:val="nil"/>
            </w:tcBorders>
            <w:shd w:val="clear" w:color="DCE6F1" w:fill="DCE6F1"/>
            <w:noWrap/>
            <w:vAlign w:val="bottom"/>
            <w:hideMark/>
          </w:tcPr>
          <w:p w14:paraId="33181115"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Total</w:t>
            </w:r>
          </w:p>
        </w:tc>
        <w:tc>
          <w:tcPr>
            <w:tcW w:w="1634" w:type="dxa"/>
            <w:tcBorders>
              <w:top w:val="nil"/>
              <w:left w:val="nil"/>
              <w:bottom w:val="single" w:sz="4" w:space="0" w:color="95B3D7"/>
              <w:right w:val="nil"/>
            </w:tcBorders>
            <w:shd w:val="clear" w:color="DCE6F1" w:fill="DCE6F1"/>
            <w:noWrap/>
            <w:vAlign w:val="bottom"/>
            <w:hideMark/>
          </w:tcPr>
          <w:p w14:paraId="3D540E7F" w14:textId="77777777" w:rsidR="00EE52DF" w:rsidRPr="003A2B85" w:rsidRDefault="00EE52DF" w:rsidP="00EE52DF">
            <w:pPr>
              <w:jc w:val="right"/>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1,200.0</w:t>
            </w:r>
          </w:p>
        </w:tc>
        <w:tc>
          <w:tcPr>
            <w:tcW w:w="1634" w:type="dxa"/>
            <w:tcBorders>
              <w:top w:val="nil"/>
              <w:left w:val="nil"/>
              <w:bottom w:val="single" w:sz="4" w:space="0" w:color="95B3D7"/>
              <w:right w:val="nil"/>
            </w:tcBorders>
            <w:shd w:val="clear" w:color="DCE6F1" w:fill="DCE6F1"/>
            <w:noWrap/>
            <w:vAlign w:val="bottom"/>
            <w:hideMark/>
          </w:tcPr>
          <w:p w14:paraId="5CBCFCFF" w14:textId="77777777" w:rsidR="00EE52DF" w:rsidRPr="003A2B85" w:rsidRDefault="00EE52DF" w:rsidP="00EE52DF">
            <w:pPr>
              <w:jc w:val="right"/>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1,200.0</w:t>
            </w:r>
          </w:p>
        </w:tc>
        <w:tc>
          <w:tcPr>
            <w:tcW w:w="1841" w:type="dxa"/>
            <w:tcBorders>
              <w:top w:val="nil"/>
              <w:left w:val="nil"/>
              <w:bottom w:val="single" w:sz="4" w:space="0" w:color="95B3D7"/>
              <w:right w:val="nil"/>
            </w:tcBorders>
            <w:shd w:val="clear" w:color="DCE6F1" w:fill="DCE6F1"/>
            <w:noWrap/>
            <w:vAlign w:val="bottom"/>
            <w:hideMark/>
          </w:tcPr>
          <w:p w14:paraId="59429AD3"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5.8</w:t>
            </w:r>
          </w:p>
        </w:tc>
        <w:tc>
          <w:tcPr>
            <w:tcW w:w="1933" w:type="dxa"/>
            <w:tcBorders>
              <w:top w:val="nil"/>
              <w:left w:val="nil"/>
              <w:bottom w:val="single" w:sz="4" w:space="0" w:color="95B3D7"/>
              <w:right w:val="nil"/>
            </w:tcBorders>
            <w:shd w:val="clear" w:color="DCE6F1" w:fill="DCE6F1"/>
            <w:noWrap/>
            <w:vAlign w:val="bottom"/>
            <w:hideMark/>
          </w:tcPr>
          <w:p w14:paraId="6B3A88D6" w14:textId="77777777" w:rsidR="00EE52DF" w:rsidRPr="003A2B85" w:rsidRDefault="00EE52DF" w:rsidP="00EE52DF">
            <w:pPr>
              <w:jc w:val="center"/>
              <w:rPr>
                <w:rFonts w:ascii="Times New Roman" w:eastAsia="Times New Roman" w:hAnsi="Times New Roman" w:cs="Times New Roman"/>
                <w:b/>
                <w:bCs/>
                <w:color w:val="000000"/>
                <w:sz w:val="19"/>
                <w:szCs w:val="19"/>
                <w:lang w:eastAsia="es-GT"/>
              </w:rPr>
            </w:pPr>
            <w:r w:rsidRPr="003A2B85">
              <w:rPr>
                <w:rFonts w:ascii="Times New Roman" w:eastAsia="Times New Roman" w:hAnsi="Times New Roman" w:cs="Times New Roman"/>
                <w:b/>
                <w:bCs/>
                <w:color w:val="000000"/>
                <w:sz w:val="19"/>
                <w:szCs w:val="19"/>
                <w:lang w:eastAsia="es-GT"/>
              </w:rPr>
              <w:t>22.7</w:t>
            </w:r>
          </w:p>
        </w:tc>
      </w:tr>
      <w:tr w:rsidR="00EE52DF" w:rsidRPr="00EA34D1" w14:paraId="1013EA58" w14:textId="77777777" w:rsidTr="00F973BC">
        <w:trPr>
          <w:trHeight w:val="114"/>
          <w:jc w:val="center"/>
        </w:trPr>
        <w:tc>
          <w:tcPr>
            <w:tcW w:w="1530" w:type="dxa"/>
            <w:tcBorders>
              <w:top w:val="nil"/>
              <w:left w:val="single" w:sz="4" w:space="0" w:color="95B3D7"/>
              <w:bottom w:val="single" w:sz="4" w:space="0" w:color="95B3D7"/>
              <w:right w:val="nil"/>
            </w:tcBorders>
            <w:shd w:val="clear" w:color="auto" w:fill="auto"/>
            <w:noWrap/>
            <w:vAlign w:val="bottom"/>
            <w:hideMark/>
          </w:tcPr>
          <w:p w14:paraId="06B8B59A"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2030</w:t>
            </w:r>
          </w:p>
        </w:tc>
        <w:tc>
          <w:tcPr>
            <w:tcW w:w="1634" w:type="dxa"/>
            <w:tcBorders>
              <w:top w:val="nil"/>
              <w:left w:val="nil"/>
              <w:bottom w:val="single" w:sz="4" w:space="0" w:color="95B3D7"/>
              <w:right w:val="nil"/>
            </w:tcBorders>
            <w:shd w:val="clear" w:color="auto" w:fill="auto"/>
            <w:noWrap/>
            <w:vAlign w:val="bottom"/>
            <w:hideMark/>
          </w:tcPr>
          <w:p w14:paraId="771B820D"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500.0</w:t>
            </w:r>
          </w:p>
        </w:tc>
        <w:tc>
          <w:tcPr>
            <w:tcW w:w="1634" w:type="dxa"/>
            <w:tcBorders>
              <w:top w:val="nil"/>
              <w:left w:val="nil"/>
              <w:bottom w:val="single" w:sz="4" w:space="0" w:color="95B3D7"/>
              <w:right w:val="nil"/>
            </w:tcBorders>
            <w:shd w:val="clear" w:color="auto" w:fill="auto"/>
            <w:noWrap/>
            <w:vAlign w:val="bottom"/>
            <w:hideMark/>
          </w:tcPr>
          <w:p w14:paraId="755913E5"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500.0</w:t>
            </w:r>
          </w:p>
        </w:tc>
        <w:tc>
          <w:tcPr>
            <w:tcW w:w="1841" w:type="dxa"/>
            <w:tcBorders>
              <w:top w:val="nil"/>
              <w:left w:val="nil"/>
              <w:bottom w:val="single" w:sz="4" w:space="0" w:color="95B3D7"/>
              <w:right w:val="nil"/>
            </w:tcBorders>
            <w:shd w:val="clear" w:color="auto" w:fill="auto"/>
            <w:noWrap/>
            <w:vAlign w:val="bottom"/>
            <w:hideMark/>
          </w:tcPr>
          <w:p w14:paraId="755D3D09"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5.1</w:t>
            </w:r>
          </w:p>
        </w:tc>
        <w:tc>
          <w:tcPr>
            <w:tcW w:w="1933" w:type="dxa"/>
            <w:tcBorders>
              <w:top w:val="nil"/>
              <w:left w:val="nil"/>
              <w:bottom w:val="single" w:sz="4" w:space="0" w:color="95B3D7"/>
              <w:right w:val="single" w:sz="4" w:space="0" w:color="95B3D7"/>
            </w:tcBorders>
            <w:shd w:val="clear" w:color="auto" w:fill="auto"/>
            <w:noWrap/>
            <w:vAlign w:val="bottom"/>
            <w:hideMark/>
          </w:tcPr>
          <w:p w14:paraId="14FB846C"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11.0</w:t>
            </w:r>
          </w:p>
        </w:tc>
      </w:tr>
      <w:tr w:rsidR="00EE52DF" w:rsidRPr="00EA34D1" w14:paraId="6801887C" w14:textId="77777777" w:rsidTr="00F973BC">
        <w:trPr>
          <w:trHeight w:val="70"/>
          <w:jc w:val="center"/>
        </w:trPr>
        <w:tc>
          <w:tcPr>
            <w:tcW w:w="1530" w:type="dxa"/>
            <w:tcBorders>
              <w:top w:val="nil"/>
              <w:left w:val="single" w:sz="4" w:space="0" w:color="95B3D7"/>
              <w:bottom w:val="single" w:sz="4" w:space="0" w:color="95B3D7"/>
              <w:right w:val="nil"/>
            </w:tcBorders>
            <w:shd w:val="clear" w:color="DCE6F1" w:fill="DCE6F1"/>
            <w:noWrap/>
            <w:vAlign w:val="bottom"/>
            <w:hideMark/>
          </w:tcPr>
          <w:p w14:paraId="6711F3E7"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2050</w:t>
            </w:r>
          </w:p>
        </w:tc>
        <w:tc>
          <w:tcPr>
            <w:tcW w:w="1634" w:type="dxa"/>
            <w:tcBorders>
              <w:top w:val="nil"/>
              <w:left w:val="nil"/>
              <w:bottom w:val="single" w:sz="4" w:space="0" w:color="95B3D7"/>
              <w:right w:val="nil"/>
            </w:tcBorders>
            <w:shd w:val="clear" w:color="DCE6F1" w:fill="DCE6F1"/>
            <w:noWrap/>
            <w:vAlign w:val="bottom"/>
            <w:hideMark/>
          </w:tcPr>
          <w:p w14:paraId="36C6DF20"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700.0</w:t>
            </w:r>
          </w:p>
        </w:tc>
        <w:tc>
          <w:tcPr>
            <w:tcW w:w="1634" w:type="dxa"/>
            <w:tcBorders>
              <w:top w:val="nil"/>
              <w:left w:val="nil"/>
              <w:bottom w:val="single" w:sz="4" w:space="0" w:color="95B3D7"/>
              <w:right w:val="nil"/>
            </w:tcBorders>
            <w:shd w:val="clear" w:color="DCE6F1" w:fill="DCE6F1"/>
            <w:noWrap/>
            <w:vAlign w:val="bottom"/>
            <w:hideMark/>
          </w:tcPr>
          <w:p w14:paraId="066AB249" w14:textId="77777777" w:rsidR="00EE52DF" w:rsidRPr="003A2B85" w:rsidRDefault="00EE52DF" w:rsidP="00EE52DF">
            <w:pPr>
              <w:jc w:val="right"/>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700.0</w:t>
            </w:r>
          </w:p>
        </w:tc>
        <w:tc>
          <w:tcPr>
            <w:tcW w:w="1841" w:type="dxa"/>
            <w:tcBorders>
              <w:top w:val="nil"/>
              <w:left w:val="nil"/>
              <w:bottom w:val="single" w:sz="4" w:space="0" w:color="95B3D7"/>
              <w:right w:val="nil"/>
            </w:tcBorders>
            <w:shd w:val="clear" w:color="DCE6F1" w:fill="DCE6F1"/>
            <w:noWrap/>
            <w:vAlign w:val="bottom"/>
            <w:hideMark/>
          </w:tcPr>
          <w:p w14:paraId="46463DF6"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6.3</w:t>
            </w:r>
          </w:p>
        </w:tc>
        <w:tc>
          <w:tcPr>
            <w:tcW w:w="1933" w:type="dxa"/>
            <w:tcBorders>
              <w:top w:val="nil"/>
              <w:left w:val="nil"/>
              <w:bottom w:val="single" w:sz="4" w:space="0" w:color="95B3D7"/>
              <w:right w:val="single" w:sz="4" w:space="0" w:color="95B3D7"/>
            </w:tcBorders>
            <w:shd w:val="clear" w:color="DCE6F1" w:fill="DCE6F1"/>
            <w:noWrap/>
            <w:vAlign w:val="bottom"/>
            <w:hideMark/>
          </w:tcPr>
          <w:p w14:paraId="0FC3DCFD" w14:textId="77777777" w:rsidR="00EE52DF" w:rsidRPr="003A2B85" w:rsidRDefault="00EE52DF" w:rsidP="00EE52DF">
            <w:pPr>
              <w:jc w:val="center"/>
              <w:rPr>
                <w:rFonts w:ascii="Times New Roman" w:eastAsia="Times New Roman" w:hAnsi="Times New Roman" w:cs="Times New Roman"/>
                <w:color w:val="000000"/>
                <w:sz w:val="19"/>
                <w:szCs w:val="19"/>
                <w:lang w:eastAsia="es-GT"/>
              </w:rPr>
            </w:pPr>
            <w:r w:rsidRPr="003A2B85">
              <w:rPr>
                <w:rFonts w:ascii="Times New Roman" w:eastAsia="Times New Roman" w:hAnsi="Times New Roman" w:cs="Times New Roman"/>
                <w:color w:val="000000"/>
                <w:sz w:val="19"/>
                <w:szCs w:val="19"/>
                <w:lang w:eastAsia="es-GT"/>
              </w:rPr>
              <w:t>31.0</w:t>
            </w:r>
          </w:p>
        </w:tc>
      </w:tr>
    </w:tbl>
    <w:p w14:paraId="1DDDEE31" w14:textId="474AAE89" w:rsidR="00EE52DF" w:rsidRPr="00EE52DF" w:rsidRDefault="003A2B85" w:rsidP="003A2B85">
      <w:pPr>
        <w:jc w:val="both"/>
        <w:rPr>
          <w:rFonts w:ascii="Times New Roman" w:hAnsi="Times New Roman" w:cs="Times New Roman"/>
          <w:sz w:val="16"/>
        </w:rPr>
      </w:pPr>
      <w:r>
        <w:rPr>
          <w:rFonts w:ascii="Times New Roman" w:hAnsi="Times New Roman" w:cs="Times New Roman"/>
          <w:sz w:val="16"/>
        </w:rPr>
        <w:t xml:space="preserve">               </w:t>
      </w:r>
      <w:r w:rsidR="00EE52DF" w:rsidRPr="00EE52DF">
        <w:rPr>
          <w:rFonts w:ascii="Times New Roman" w:hAnsi="Times New Roman" w:cs="Times New Roman"/>
          <w:sz w:val="16"/>
        </w:rPr>
        <w:t>Fuente: D</w:t>
      </w:r>
      <w:r w:rsidR="00C25D82">
        <w:rPr>
          <w:rFonts w:ascii="Times New Roman" w:hAnsi="Times New Roman" w:cs="Times New Roman"/>
          <w:sz w:val="16"/>
        </w:rPr>
        <w:t xml:space="preserve">irección de </w:t>
      </w:r>
      <w:r w:rsidR="00EE52DF" w:rsidRPr="00EE52DF">
        <w:rPr>
          <w:rFonts w:ascii="Times New Roman" w:hAnsi="Times New Roman" w:cs="Times New Roman"/>
          <w:sz w:val="16"/>
        </w:rPr>
        <w:t>A</w:t>
      </w:r>
      <w:r w:rsidR="00C25D82">
        <w:rPr>
          <w:rFonts w:ascii="Times New Roman" w:hAnsi="Times New Roman" w:cs="Times New Roman"/>
          <w:sz w:val="16"/>
        </w:rPr>
        <w:t xml:space="preserve">nálisis y </w:t>
      </w:r>
      <w:r w:rsidR="00EE52DF" w:rsidRPr="00EE52DF">
        <w:rPr>
          <w:rFonts w:ascii="Times New Roman" w:hAnsi="Times New Roman" w:cs="Times New Roman"/>
          <w:sz w:val="16"/>
        </w:rPr>
        <w:t>P</w:t>
      </w:r>
      <w:r w:rsidR="00C25D82">
        <w:rPr>
          <w:rFonts w:ascii="Times New Roman" w:hAnsi="Times New Roman" w:cs="Times New Roman"/>
          <w:sz w:val="16"/>
        </w:rPr>
        <w:t xml:space="preserve">olítica </w:t>
      </w:r>
      <w:r w:rsidR="00EE52DF" w:rsidRPr="00EE52DF">
        <w:rPr>
          <w:rFonts w:ascii="Times New Roman" w:hAnsi="Times New Roman" w:cs="Times New Roman"/>
          <w:sz w:val="16"/>
        </w:rPr>
        <w:t>F</w:t>
      </w:r>
      <w:r w:rsidR="00C25D82">
        <w:rPr>
          <w:rFonts w:ascii="Times New Roman" w:hAnsi="Times New Roman" w:cs="Times New Roman"/>
          <w:sz w:val="16"/>
        </w:rPr>
        <w:t>iscal</w:t>
      </w:r>
    </w:p>
    <w:p w14:paraId="4A8F801A" w14:textId="5156CD2B" w:rsidR="00EA34D1" w:rsidRDefault="00EE52DF" w:rsidP="00EE52DF">
      <w:pPr>
        <w:jc w:val="both"/>
        <w:rPr>
          <w:rFonts w:ascii="Times New Roman" w:hAnsi="Times New Roman" w:cs="Times New Roman"/>
          <w:sz w:val="22"/>
        </w:rPr>
      </w:pPr>
      <w:r w:rsidRPr="00EA34D1">
        <w:rPr>
          <w:rFonts w:ascii="Times New Roman" w:hAnsi="Times New Roman" w:cs="Times New Roman"/>
          <w:sz w:val="22"/>
        </w:rPr>
        <w:t>Por otro lado, los desembolsos de préstamos externos al cierre de 2019, mostraron un nivel de Q625.3 millones, mostrando una disminución de Q2,344.5 millones, es decir, una variación interanual negativa de 78.9% con respecto al mismo periodo del año anterior, esto se debió a que varios préstamos no fueron aprobados por el Congreso de la República o fueron aprobados tardíamente, tales como: a) el Programa de Administración Tributaria y Transparencia, b)</w:t>
      </w:r>
      <w:r w:rsidRPr="00EA34D1">
        <w:rPr>
          <w:sz w:val="22"/>
        </w:rPr>
        <w:t xml:space="preserve"> </w:t>
      </w:r>
      <w:r w:rsidRPr="00EA34D1">
        <w:rPr>
          <w:rFonts w:ascii="Times New Roman" w:hAnsi="Times New Roman" w:cs="Times New Roman"/>
          <w:sz w:val="22"/>
        </w:rPr>
        <w:t>Primer Préstamo de Políticas de Desarrollo para la Mejora de la Gobernanza de los Recursos Públicos y Nutrición, c)</w:t>
      </w:r>
      <w:r w:rsidRPr="00EA34D1">
        <w:rPr>
          <w:sz w:val="22"/>
        </w:rPr>
        <w:t xml:space="preserve"> </w:t>
      </w:r>
      <w:r w:rsidRPr="00EA34D1">
        <w:rPr>
          <w:rFonts w:ascii="Times New Roman" w:hAnsi="Times New Roman" w:cs="Times New Roman"/>
          <w:sz w:val="22"/>
        </w:rPr>
        <w:t>Programa de Inversión y Modernización para el Sector Justicia, entre otros.  De esa cuenta, de los Q2,038.4 millones presupuestados para dicho año, únicamente el 30.7% fueron realmente desembolsados.  El préstamo con mayor ejecución con respecto a lo programado fue el Programa de Agua Potable y Saneamiento para el Desarrollo Humano (Fase I) con 91.8%, seguidamente el préstamo de Apoyo a Proyectos de Inversión en Infraestructura Social y Productiva de la República de Guatemala (87.3%).  Asimismo, hay otras operaciones cuya ejecución están por encima del monto presupuestado, estás están relacionadas a préstamos en ejecución en donde el desempeño de la ejecución de los proyectos que son financiados con estas operaciones fue alto y demandaron más recursos de lo esperado.</w:t>
      </w:r>
    </w:p>
    <w:p w14:paraId="7E323517" w14:textId="77777777" w:rsidR="00063CB5" w:rsidRDefault="00063CB5" w:rsidP="00EE52DF">
      <w:pPr>
        <w:jc w:val="both"/>
        <w:rPr>
          <w:rFonts w:ascii="Times New Roman" w:hAnsi="Times New Roman" w:cs="Times New Roman"/>
          <w:sz w:val="22"/>
        </w:rPr>
      </w:pPr>
    </w:p>
    <w:p w14:paraId="672BB6C7" w14:textId="77777777" w:rsidR="00EE52DF" w:rsidRPr="00EA34D1" w:rsidRDefault="00EE52DF" w:rsidP="00EE52DF">
      <w:pPr>
        <w:pStyle w:val="Sinespaciado"/>
        <w:jc w:val="center"/>
        <w:rPr>
          <w:rFonts w:ascii="Times New Roman" w:hAnsi="Times New Roman" w:cs="Times New Roman"/>
          <w:b/>
          <w:sz w:val="24"/>
        </w:rPr>
      </w:pPr>
      <w:r w:rsidRPr="00EA34D1">
        <w:rPr>
          <w:rFonts w:ascii="Times New Roman" w:hAnsi="Times New Roman" w:cs="Times New Roman"/>
          <w:b/>
          <w:sz w:val="24"/>
        </w:rPr>
        <w:t>Desembolsos de Préstamos por Organismo y Fuente Específica</w:t>
      </w:r>
    </w:p>
    <w:p w14:paraId="130FE137" w14:textId="77777777" w:rsidR="00EE52DF" w:rsidRPr="00EA34D1" w:rsidRDefault="00EE52DF" w:rsidP="00EE52DF">
      <w:pPr>
        <w:pStyle w:val="Sinespaciado"/>
        <w:jc w:val="center"/>
        <w:rPr>
          <w:rFonts w:ascii="Times New Roman" w:hAnsi="Times New Roman" w:cs="Times New Roman"/>
          <w:sz w:val="20"/>
        </w:rPr>
      </w:pPr>
      <w:r w:rsidRPr="00EA34D1">
        <w:rPr>
          <w:rFonts w:ascii="Times New Roman" w:hAnsi="Times New Roman" w:cs="Times New Roman"/>
          <w:sz w:val="20"/>
        </w:rPr>
        <w:t>2019</w:t>
      </w:r>
    </w:p>
    <w:p w14:paraId="633FA430" w14:textId="77777777" w:rsidR="00EE52DF" w:rsidRPr="00EA34D1" w:rsidRDefault="00EE52DF" w:rsidP="00EE52DF">
      <w:pPr>
        <w:pStyle w:val="Sinespaciado"/>
        <w:jc w:val="center"/>
        <w:rPr>
          <w:rFonts w:ascii="Times New Roman" w:hAnsi="Times New Roman" w:cs="Times New Roman"/>
          <w:sz w:val="20"/>
        </w:rPr>
      </w:pPr>
      <w:r w:rsidRPr="00EA34D1">
        <w:rPr>
          <w:rFonts w:ascii="Times New Roman" w:hAnsi="Times New Roman" w:cs="Times New Roman"/>
          <w:sz w:val="20"/>
        </w:rPr>
        <w:t>Millones de quetzales y Porcentajes</w:t>
      </w:r>
    </w:p>
    <w:tbl>
      <w:tblPr>
        <w:tblW w:w="8770" w:type="dxa"/>
        <w:jc w:val="center"/>
        <w:tblCellMar>
          <w:left w:w="70" w:type="dxa"/>
          <w:right w:w="70" w:type="dxa"/>
        </w:tblCellMar>
        <w:tblLook w:val="04A0" w:firstRow="1" w:lastRow="0" w:firstColumn="1" w:lastColumn="0" w:noHBand="0" w:noVBand="1"/>
      </w:tblPr>
      <w:tblGrid>
        <w:gridCol w:w="5895"/>
        <w:gridCol w:w="1015"/>
        <w:gridCol w:w="999"/>
        <w:gridCol w:w="861"/>
      </w:tblGrid>
      <w:tr w:rsidR="00EE52DF" w:rsidRPr="00A44E3A" w14:paraId="0D3A9524" w14:textId="77777777" w:rsidTr="00F973BC">
        <w:trPr>
          <w:trHeight w:val="377"/>
          <w:jc w:val="center"/>
        </w:trPr>
        <w:tc>
          <w:tcPr>
            <w:tcW w:w="5895" w:type="dxa"/>
            <w:tcBorders>
              <w:top w:val="single" w:sz="8" w:space="0" w:color="auto"/>
              <w:left w:val="single" w:sz="8" w:space="0" w:color="auto"/>
              <w:bottom w:val="single" w:sz="8" w:space="0" w:color="auto"/>
              <w:right w:val="single" w:sz="4" w:space="0" w:color="auto"/>
            </w:tcBorders>
            <w:shd w:val="clear" w:color="auto" w:fill="4F81BD" w:themeFill="accent1"/>
            <w:noWrap/>
            <w:vAlign w:val="center"/>
            <w:hideMark/>
          </w:tcPr>
          <w:p w14:paraId="1B8AC1E5" w14:textId="77777777" w:rsidR="00EE52DF" w:rsidRPr="00C8302E" w:rsidRDefault="00EE52DF" w:rsidP="00EE52DF">
            <w:pPr>
              <w:jc w:val="center"/>
              <w:rPr>
                <w:rFonts w:ascii="Times New Roman" w:eastAsia="Times New Roman" w:hAnsi="Times New Roman" w:cs="Times New Roman"/>
                <w:b/>
                <w:bCs/>
                <w:color w:val="FFFFFF" w:themeColor="background1"/>
                <w:sz w:val="16"/>
                <w:szCs w:val="20"/>
                <w:lang w:eastAsia="es-GT"/>
              </w:rPr>
            </w:pPr>
            <w:r w:rsidRPr="00C8302E">
              <w:rPr>
                <w:rFonts w:ascii="Times New Roman" w:eastAsia="Times New Roman" w:hAnsi="Times New Roman" w:cs="Times New Roman"/>
                <w:b/>
                <w:bCs/>
                <w:color w:val="FFFFFF" w:themeColor="background1"/>
                <w:sz w:val="16"/>
                <w:szCs w:val="20"/>
                <w:lang w:eastAsia="es-GT"/>
              </w:rPr>
              <w:t>Organismo y Fuente Específica</w:t>
            </w:r>
          </w:p>
        </w:tc>
        <w:tc>
          <w:tcPr>
            <w:tcW w:w="1015" w:type="dxa"/>
            <w:tcBorders>
              <w:top w:val="single" w:sz="8" w:space="0" w:color="auto"/>
              <w:left w:val="single" w:sz="4" w:space="0" w:color="auto"/>
              <w:bottom w:val="single" w:sz="8" w:space="0" w:color="auto"/>
              <w:right w:val="single" w:sz="4" w:space="0" w:color="auto"/>
            </w:tcBorders>
            <w:shd w:val="clear" w:color="auto" w:fill="4F81BD" w:themeFill="accent1"/>
            <w:vAlign w:val="center"/>
            <w:hideMark/>
          </w:tcPr>
          <w:p w14:paraId="353D3CB8" w14:textId="77777777" w:rsidR="00EE52DF" w:rsidRPr="00C8302E" w:rsidRDefault="00EE52DF" w:rsidP="00EE52DF">
            <w:pPr>
              <w:jc w:val="center"/>
              <w:rPr>
                <w:rFonts w:ascii="Times New Roman" w:eastAsia="Times New Roman" w:hAnsi="Times New Roman" w:cs="Times New Roman"/>
                <w:b/>
                <w:bCs/>
                <w:color w:val="FFFFFF" w:themeColor="background1"/>
                <w:sz w:val="16"/>
                <w:szCs w:val="20"/>
                <w:lang w:eastAsia="es-GT"/>
              </w:rPr>
            </w:pPr>
            <w:r w:rsidRPr="00C8302E">
              <w:rPr>
                <w:rFonts w:ascii="Times New Roman" w:eastAsia="Times New Roman" w:hAnsi="Times New Roman" w:cs="Times New Roman"/>
                <w:b/>
                <w:bCs/>
                <w:color w:val="FFFFFF" w:themeColor="background1"/>
                <w:sz w:val="16"/>
                <w:szCs w:val="20"/>
                <w:lang w:eastAsia="es-GT"/>
              </w:rPr>
              <w:t>Vigente en Millones</w:t>
            </w:r>
          </w:p>
        </w:tc>
        <w:tc>
          <w:tcPr>
            <w:tcW w:w="999" w:type="dxa"/>
            <w:tcBorders>
              <w:top w:val="single" w:sz="8" w:space="0" w:color="auto"/>
              <w:left w:val="nil"/>
              <w:bottom w:val="single" w:sz="8" w:space="0" w:color="auto"/>
              <w:right w:val="single" w:sz="4" w:space="0" w:color="auto"/>
            </w:tcBorders>
            <w:shd w:val="clear" w:color="auto" w:fill="4F81BD" w:themeFill="accent1"/>
            <w:vAlign w:val="center"/>
            <w:hideMark/>
          </w:tcPr>
          <w:p w14:paraId="094F201C" w14:textId="77777777" w:rsidR="00EE52DF" w:rsidRPr="00C8302E" w:rsidRDefault="00EE52DF" w:rsidP="00EE52DF">
            <w:pPr>
              <w:jc w:val="center"/>
              <w:rPr>
                <w:rFonts w:ascii="Times New Roman" w:eastAsia="Times New Roman" w:hAnsi="Times New Roman" w:cs="Times New Roman"/>
                <w:b/>
                <w:bCs/>
                <w:color w:val="FFFFFF" w:themeColor="background1"/>
                <w:sz w:val="16"/>
                <w:szCs w:val="20"/>
                <w:lang w:eastAsia="es-GT"/>
              </w:rPr>
            </w:pPr>
            <w:r w:rsidRPr="00C8302E">
              <w:rPr>
                <w:rFonts w:ascii="Times New Roman" w:eastAsia="Times New Roman" w:hAnsi="Times New Roman" w:cs="Times New Roman"/>
                <w:b/>
                <w:bCs/>
                <w:color w:val="FFFFFF" w:themeColor="background1"/>
                <w:sz w:val="16"/>
                <w:szCs w:val="20"/>
                <w:lang w:eastAsia="es-GT"/>
              </w:rPr>
              <w:t>Devengado en Millones</w:t>
            </w:r>
          </w:p>
        </w:tc>
        <w:tc>
          <w:tcPr>
            <w:tcW w:w="861" w:type="dxa"/>
            <w:tcBorders>
              <w:top w:val="single" w:sz="8" w:space="0" w:color="auto"/>
              <w:left w:val="nil"/>
              <w:bottom w:val="single" w:sz="8" w:space="0" w:color="auto"/>
              <w:right w:val="single" w:sz="8" w:space="0" w:color="auto"/>
            </w:tcBorders>
            <w:shd w:val="clear" w:color="auto" w:fill="4F81BD" w:themeFill="accent1"/>
            <w:vAlign w:val="center"/>
            <w:hideMark/>
          </w:tcPr>
          <w:p w14:paraId="3B8F8DAA" w14:textId="77777777" w:rsidR="00EE52DF" w:rsidRPr="00C8302E" w:rsidRDefault="00EE52DF" w:rsidP="00EE52DF">
            <w:pPr>
              <w:jc w:val="center"/>
              <w:rPr>
                <w:rFonts w:ascii="Times New Roman" w:eastAsia="Times New Roman" w:hAnsi="Times New Roman" w:cs="Times New Roman"/>
                <w:b/>
                <w:bCs/>
                <w:color w:val="FFFFFF" w:themeColor="background1"/>
                <w:sz w:val="16"/>
                <w:szCs w:val="20"/>
                <w:lang w:eastAsia="es-GT"/>
              </w:rPr>
            </w:pPr>
            <w:r w:rsidRPr="00C8302E">
              <w:rPr>
                <w:rFonts w:ascii="Times New Roman" w:eastAsia="Times New Roman" w:hAnsi="Times New Roman" w:cs="Times New Roman"/>
                <w:b/>
                <w:bCs/>
                <w:color w:val="FFFFFF" w:themeColor="background1"/>
                <w:sz w:val="16"/>
                <w:szCs w:val="20"/>
                <w:lang w:eastAsia="es-GT"/>
              </w:rPr>
              <w:t>% de Ejecución</w:t>
            </w:r>
          </w:p>
        </w:tc>
      </w:tr>
      <w:tr w:rsidR="00EE52DF" w:rsidRPr="00A44E3A" w14:paraId="425E05BA" w14:textId="77777777" w:rsidTr="00F973BC">
        <w:trPr>
          <w:trHeight w:val="182"/>
          <w:jc w:val="center"/>
        </w:trPr>
        <w:tc>
          <w:tcPr>
            <w:tcW w:w="5895" w:type="dxa"/>
            <w:tcBorders>
              <w:top w:val="single" w:sz="8" w:space="0" w:color="auto"/>
              <w:left w:val="single" w:sz="8" w:space="0" w:color="auto"/>
              <w:bottom w:val="dotted" w:sz="4" w:space="0" w:color="auto"/>
              <w:right w:val="single" w:sz="4" w:space="0" w:color="auto"/>
            </w:tcBorders>
            <w:shd w:val="clear" w:color="FFFFFF" w:fill="FFFFFF"/>
            <w:noWrap/>
            <w:vAlign w:val="bottom"/>
            <w:hideMark/>
          </w:tcPr>
          <w:p w14:paraId="1B784C83"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TOTAL</w:t>
            </w:r>
          </w:p>
        </w:tc>
        <w:tc>
          <w:tcPr>
            <w:tcW w:w="1015" w:type="dxa"/>
            <w:tcBorders>
              <w:top w:val="single" w:sz="8" w:space="0" w:color="auto"/>
              <w:left w:val="nil"/>
              <w:bottom w:val="dotted" w:sz="4" w:space="0" w:color="auto"/>
              <w:right w:val="single" w:sz="4" w:space="0" w:color="auto"/>
            </w:tcBorders>
            <w:shd w:val="clear" w:color="FFFFFF" w:fill="FFFFFF"/>
            <w:noWrap/>
            <w:vAlign w:val="bottom"/>
            <w:hideMark/>
          </w:tcPr>
          <w:p w14:paraId="711C0D89"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2,038.4</w:t>
            </w:r>
          </w:p>
        </w:tc>
        <w:tc>
          <w:tcPr>
            <w:tcW w:w="999" w:type="dxa"/>
            <w:tcBorders>
              <w:top w:val="single" w:sz="8" w:space="0" w:color="auto"/>
              <w:left w:val="nil"/>
              <w:bottom w:val="dotted" w:sz="4" w:space="0" w:color="auto"/>
              <w:right w:val="single" w:sz="4" w:space="0" w:color="auto"/>
            </w:tcBorders>
            <w:shd w:val="clear" w:color="FFFFFF" w:fill="FFFFFF"/>
            <w:noWrap/>
            <w:vAlign w:val="bottom"/>
            <w:hideMark/>
          </w:tcPr>
          <w:p w14:paraId="5C4039B4"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625.3</w:t>
            </w:r>
          </w:p>
        </w:tc>
        <w:tc>
          <w:tcPr>
            <w:tcW w:w="861" w:type="dxa"/>
            <w:tcBorders>
              <w:top w:val="single" w:sz="8" w:space="0" w:color="auto"/>
              <w:left w:val="nil"/>
              <w:bottom w:val="dotted" w:sz="4" w:space="0" w:color="auto"/>
              <w:right w:val="single" w:sz="4" w:space="0" w:color="auto"/>
            </w:tcBorders>
            <w:shd w:val="clear" w:color="FFFFFF" w:fill="FFFFFF"/>
            <w:noWrap/>
            <w:vAlign w:val="bottom"/>
            <w:hideMark/>
          </w:tcPr>
          <w:p w14:paraId="26F28ED3"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30.7</w:t>
            </w:r>
          </w:p>
        </w:tc>
      </w:tr>
      <w:tr w:rsidR="00EE52DF" w:rsidRPr="00A44E3A" w14:paraId="21FB53C0"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auto" w:fill="B8CCE4" w:themeFill="accent1" w:themeFillTint="66"/>
            <w:noWrap/>
            <w:vAlign w:val="bottom"/>
            <w:hideMark/>
          </w:tcPr>
          <w:p w14:paraId="2C0E7894" w14:textId="77777777" w:rsidR="00EE52DF" w:rsidRPr="00A44E3A" w:rsidRDefault="00EE52DF" w:rsidP="00EE52DF">
            <w:pP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Banco Centroamericano de Integración Económica</w:t>
            </w:r>
          </w:p>
        </w:tc>
        <w:tc>
          <w:tcPr>
            <w:tcW w:w="1015"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42348E99"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447.4</w:t>
            </w:r>
          </w:p>
        </w:tc>
        <w:tc>
          <w:tcPr>
            <w:tcW w:w="999"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754F4C56"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96.9</w:t>
            </w:r>
          </w:p>
        </w:tc>
        <w:tc>
          <w:tcPr>
            <w:tcW w:w="861"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7E306764"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21.7</w:t>
            </w:r>
          </w:p>
        </w:tc>
      </w:tr>
      <w:tr w:rsidR="00EE52DF" w:rsidRPr="00A44E3A" w14:paraId="36BE85FB"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41C8C04C"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PROY AMPLIAC, MEJORAM Y MODERNIZ EQUIP REDES DE OBSERV SISMOLOG, METEOR E HIDRO P PREV DESAS NATURA</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4D85EB64"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9.1</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25A4359E"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16.6</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27A9C385"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183.1</w:t>
            </w:r>
          </w:p>
        </w:tc>
      </w:tr>
      <w:tr w:rsidR="00EE52DF" w:rsidRPr="00A44E3A" w14:paraId="57AEDC78"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4626BEA8"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PROYECTO VIAL FRANJA TRANSVERSAL DEL NORTE</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576D1004"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76.8</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0E0C5341"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10.4</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09E2AA60"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13.5</w:t>
            </w:r>
          </w:p>
        </w:tc>
      </w:tr>
      <w:tr w:rsidR="00EE52DF" w:rsidRPr="00A44E3A" w14:paraId="6640B82D"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6A4CDF41"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APOYO A PROYECTOS DE INVERSION EN INFRAESTRUCTURA SOCIAL Y PRODUCTIVA DE LA REPÚBLICA DE GUATEMALA</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221D9D87"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80.1</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65310082"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69.9</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23ED6B79"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87.3</w:t>
            </w:r>
          </w:p>
        </w:tc>
      </w:tr>
      <w:tr w:rsidR="00EE52DF" w:rsidRPr="00A44E3A" w14:paraId="022F952B"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5BE69187"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DE INVERSIÓN Y MODERNIZACIÓN PARA EL SECTOR JUSTICIA</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3769D98F"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281.3</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72CC23E7"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0.0</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1C8A56C5"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0.0</w:t>
            </w:r>
          </w:p>
        </w:tc>
      </w:tr>
      <w:tr w:rsidR="00EE52DF" w:rsidRPr="00A44E3A" w14:paraId="62394B02"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auto" w:fill="B8CCE4" w:themeFill="accent1" w:themeFillTint="66"/>
            <w:noWrap/>
            <w:vAlign w:val="bottom"/>
            <w:hideMark/>
          </w:tcPr>
          <w:p w14:paraId="767A3EAD" w14:textId="77777777" w:rsidR="00EE52DF" w:rsidRPr="00A44E3A" w:rsidRDefault="00EE52DF" w:rsidP="00EE52DF">
            <w:pP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Banco Interamericano de Desarrollo</w:t>
            </w:r>
          </w:p>
        </w:tc>
        <w:tc>
          <w:tcPr>
            <w:tcW w:w="1015"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4AC36B8F"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869.1</w:t>
            </w:r>
          </w:p>
        </w:tc>
        <w:tc>
          <w:tcPr>
            <w:tcW w:w="999"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46022F54"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346.6</w:t>
            </w:r>
          </w:p>
        </w:tc>
        <w:tc>
          <w:tcPr>
            <w:tcW w:w="861"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5CDE964F"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39.9</w:t>
            </w:r>
          </w:p>
        </w:tc>
      </w:tr>
      <w:tr w:rsidR="00EE52DF" w:rsidRPr="00A44E3A" w14:paraId="6E10B335"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4AFF84A9"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PROYECTO DE APOYO AL PROGRAMA DE DESARROLLO ECONOMICO DESDE LO RURAL</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479127AD"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16.8</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26AC0159"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23.0</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2FBC8395"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136.6</w:t>
            </w:r>
          </w:p>
        </w:tc>
      </w:tr>
      <w:tr w:rsidR="00EE52DF" w:rsidRPr="00A44E3A" w14:paraId="68B8CDF9"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11B7EE6B"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MI ESCUELA PROGRESA</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58424394"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50.0</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01277443"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0.0</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61A3EC9B"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0.0</w:t>
            </w:r>
          </w:p>
        </w:tc>
      </w:tr>
      <w:tr w:rsidR="00EE52DF" w:rsidRPr="00A44E3A" w14:paraId="6BAFB35A"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14C2C2B2"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DE AGUA POTABLE Y SANEAMIENTO PARA EL DESARROLLO HUMANO (FASE I)</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0EB3D619"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125.5</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24292FBC"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115.2</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5B19110B"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91.8</w:t>
            </w:r>
          </w:p>
        </w:tc>
      </w:tr>
      <w:tr w:rsidR="00EE52DF" w:rsidRPr="00A44E3A" w14:paraId="7F6D2C2E"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4E80742A"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DE APOYO A INVERSIONES ESTRATEGICAS Y TRANSFORMACION PRODUCTIVA</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30F53B76"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1.0</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4AF6ED4A"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6.3</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7DFA1E66"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626.4</w:t>
            </w:r>
          </w:p>
        </w:tc>
      </w:tr>
      <w:tr w:rsidR="00EE52DF" w:rsidRPr="00A44E3A" w14:paraId="5D2E74E2"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1A44EE1A"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PARA EL MEJORAMIENTO DE LA COBERTURA Y CALIDAD EDUCATIVA</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616F2BFE"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233.6</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00F7933B"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202.1</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34D7FDC0"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86.5</w:t>
            </w:r>
          </w:p>
        </w:tc>
      </w:tr>
      <w:tr w:rsidR="00EE52DF" w:rsidRPr="00A44E3A" w14:paraId="556CBB84"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5A46E80A"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DE ADMINISTRACION TRIBUTARIA Y TRANSPARENCIA</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6D40B95F"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420.2</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6714675F"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0.0</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14CE9D14"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0.0</w:t>
            </w:r>
          </w:p>
        </w:tc>
      </w:tr>
      <w:tr w:rsidR="00EE52DF" w:rsidRPr="00A44E3A" w14:paraId="4CD6832F"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47629A15"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DE FORTALECIMIENTO Y MODERNIZACION DEL MINISTERIO PUBLICO</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2CBDFD62"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22.0</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0FAE65B5"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0.0</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308080B6"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0.0</w:t>
            </w:r>
          </w:p>
        </w:tc>
      </w:tr>
      <w:tr w:rsidR="00EE52DF" w:rsidRPr="00A44E3A" w14:paraId="71A79ABF"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auto" w:fill="B8CCE4" w:themeFill="accent1" w:themeFillTint="66"/>
            <w:noWrap/>
            <w:vAlign w:val="bottom"/>
            <w:hideMark/>
          </w:tcPr>
          <w:p w14:paraId="5C737D56" w14:textId="77777777" w:rsidR="00EE52DF" w:rsidRPr="00A44E3A" w:rsidRDefault="00EE52DF" w:rsidP="00EE52DF">
            <w:pP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Banco Internacional de Reconstrucción y Fomento</w:t>
            </w:r>
          </w:p>
        </w:tc>
        <w:tc>
          <w:tcPr>
            <w:tcW w:w="1015"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559C2F39"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393.3</w:t>
            </w:r>
          </w:p>
        </w:tc>
        <w:tc>
          <w:tcPr>
            <w:tcW w:w="999"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63CC7585"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11.9</w:t>
            </w:r>
          </w:p>
        </w:tc>
        <w:tc>
          <w:tcPr>
            <w:tcW w:w="861"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35C56B06"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3.0</w:t>
            </w:r>
          </w:p>
        </w:tc>
      </w:tr>
      <w:tr w:rsidR="00EE52DF" w:rsidRPr="00A44E3A" w14:paraId="6D3F5A2B"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45E87BDC"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PROYECTO DE INFRAESTRUCTURA URBANA Y PREVENCIÓN DE LA VIOLENCIA</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02E4851C"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34.6</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13D34304"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0.0</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2ABE9AA4"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0.0</w:t>
            </w:r>
          </w:p>
        </w:tc>
      </w:tr>
      <w:tr w:rsidR="00EE52DF" w:rsidRPr="00A44E3A" w14:paraId="44DD939D"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32732699"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PRIMER PRÉSTAMO DE POLÍTICAS DE DESARROLLO PARA LA MEJORA DE LA GOBERNANZA DE LOS RECURSOS PÚBLICOS Y NUTRICIÓN</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069C828B"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208.0</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3D48C27F"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0.0</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2B5A5E3A"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0.0</w:t>
            </w:r>
          </w:p>
        </w:tc>
      </w:tr>
      <w:tr w:rsidR="00EE52DF" w:rsidRPr="00A44E3A" w14:paraId="3FB1A84B"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0374BEE3"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CRECER SANO: PROYECTO DE NUTRICIÓN Y SALUD EN GUATEMALA</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30CBBD91"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150.8</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133438DF"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11.9</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55768AA4"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7.9</w:t>
            </w:r>
          </w:p>
        </w:tc>
      </w:tr>
      <w:tr w:rsidR="00EE52DF" w:rsidRPr="00A44E3A" w14:paraId="44691400"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auto" w:fill="B8CCE4" w:themeFill="accent1" w:themeFillTint="66"/>
            <w:noWrap/>
            <w:vAlign w:val="bottom"/>
            <w:hideMark/>
          </w:tcPr>
          <w:p w14:paraId="1D92229C" w14:textId="77777777" w:rsidR="00EE52DF" w:rsidRPr="00A44E3A" w:rsidRDefault="00EE52DF" w:rsidP="00EE52DF">
            <w:pP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Fondo Internacional de Desarrollo Agrícola</w:t>
            </w:r>
          </w:p>
        </w:tc>
        <w:tc>
          <w:tcPr>
            <w:tcW w:w="1015"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0A467A97"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0.0</w:t>
            </w:r>
          </w:p>
        </w:tc>
        <w:tc>
          <w:tcPr>
            <w:tcW w:w="999"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4CD9A402"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7.6</w:t>
            </w:r>
          </w:p>
        </w:tc>
        <w:tc>
          <w:tcPr>
            <w:tcW w:w="861"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5475C08F"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 </w:t>
            </w:r>
          </w:p>
        </w:tc>
      </w:tr>
      <w:tr w:rsidR="00EE52DF" w:rsidRPr="00A44E3A" w14:paraId="02B91CC4"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0E312CFA"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DE DESARROLLO RURAL SUSTENTABLE PARA LA REGION DEL NORTE - PRODENORTE</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0F9738A8"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0.0</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37654399"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7.6</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42DF11C2"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 </w:t>
            </w:r>
          </w:p>
        </w:tc>
      </w:tr>
      <w:tr w:rsidR="00EE52DF" w:rsidRPr="00A44E3A" w14:paraId="582EE31F"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auto" w:fill="B8CCE4" w:themeFill="accent1" w:themeFillTint="66"/>
            <w:noWrap/>
            <w:vAlign w:val="bottom"/>
            <w:hideMark/>
          </w:tcPr>
          <w:p w14:paraId="12914427" w14:textId="77777777" w:rsidR="00EE52DF" w:rsidRPr="00A44E3A" w:rsidRDefault="00EE52DF" w:rsidP="00EE52DF">
            <w:pP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Kreditanstalt Fur Wiederaufbau</w:t>
            </w:r>
          </w:p>
        </w:tc>
        <w:tc>
          <w:tcPr>
            <w:tcW w:w="1015"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69F04171"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99.5</w:t>
            </w:r>
          </w:p>
        </w:tc>
        <w:tc>
          <w:tcPr>
            <w:tcW w:w="999"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410B8283"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12.8</w:t>
            </w:r>
          </w:p>
        </w:tc>
        <w:tc>
          <w:tcPr>
            <w:tcW w:w="861"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719ABC18"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12.9</w:t>
            </w:r>
          </w:p>
        </w:tc>
      </w:tr>
      <w:tr w:rsidR="00EE52DF" w:rsidRPr="00A44E3A" w14:paraId="3255C51B"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19CC0696"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PROYECTO DE EDUCACIÓN RURAL V (PROEDUC V)</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432578AA"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99.5</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0F92F93D"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12.8</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147046B8"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12.9</w:t>
            </w:r>
          </w:p>
        </w:tc>
      </w:tr>
      <w:tr w:rsidR="00EE52DF" w:rsidRPr="00964D78" w14:paraId="2256A7F7"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auto" w:fill="B8CCE4" w:themeFill="accent1" w:themeFillTint="66"/>
            <w:noWrap/>
            <w:vAlign w:val="bottom"/>
            <w:hideMark/>
          </w:tcPr>
          <w:p w14:paraId="1F77627F" w14:textId="77777777" w:rsidR="00EE52DF" w:rsidRPr="00EE52DF" w:rsidRDefault="00EE52DF" w:rsidP="00EE52DF">
            <w:pPr>
              <w:rPr>
                <w:rFonts w:ascii="Times New Roman" w:eastAsia="Times New Roman" w:hAnsi="Times New Roman" w:cs="Times New Roman"/>
                <w:b/>
                <w:bCs/>
                <w:color w:val="333333"/>
                <w:sz w:val="16"/>
                <w:szCs w:val="20"/>
                <w:lang w:val="en-US" w:eastAsia="es-GT"/>
              </w:rPr>
            </w:pPr>
            <w:r w:rsidRPr="00EE52DF">
              <w:rPr>
                <w:rFonts w:ascii="Times New Roman" w:eastAsia="Times New Roman" w:hAnsi="Times New Roman" w:cs="Times New Roman"/>
                <w:b/>
                <w:bCs/>
                <w:color w:val="333333"/>
                <w:sz w:val="16"/>
                <w:szCs w:val="20"/>
                <w:lang w:val="en-US" w:eastAsia="es-GT"/>
              </w:rPr>
              <w:t>The OPEC Fund for International Development</w:t>
            </w:r>
          </w:p>
        </w:tc>
        <w:tc>
          <w:tcPr>
            <w:tcW w:w="1015"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420A52C4"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80.5</w:t>
            </w:r>
          </w:p>
        </w:tc>
        <w:tc>
          <w:tcPr>
            <w:tcW w:w="999"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2115FEA0"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17.2</w:t>
            </w:r>
          </w:p>
        </w:tc>
        <w:tc>
          <w:tcPr>
            <w:tcW w:w="861"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63D5F64C"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21.3</w:t>
            </w:r>
          </w:p>
        </w:tc>
      </w:tr>
      <w:tr w:rsidR="00EE52DF" w:rsidRPr="00A44E3A" w14:paraId="5791F7D8"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717666D9"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SEGUNDO PROYECTO FIS, PRESTAMO NO. 797-P</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665494E8"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15.0</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55E16EB5"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0.0</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4460FB35"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0.0</w:t>
            </w:r>
          </w:p>
        </w:tc>
      </w:tr>
      <w:tr w:rsidR="00EE52DF" w:rsidRPr="00A44E3A" w14:paraId="3B7E51A5" w14:textId="77777777" w:rsidTr="00F973BC">
        <w:trPr>
          <w:trHeight w:val="366"/>
          <w:jc w:val="center"/>
        </w:trPr>
        <w:tc>
          <w:tcPr>
            <w:tcW w:w="5895" w:type="dxa"/>
            <w:tcBorders>
              <w:top w:val="dotted" w:sz="4" w:space="0" w:color="auto"/>
              <w:left w:val="single" w:sz="8" w:space="0" w:color="auto"/>
              <w:bottom w:val="dotted" w:sz="4" w:space="0" w:color="auto"/>
              <w:right w:val="single" w:sz="4" w:space="0" w:color="auto"/>
            </w:tcBorders>
            <w:shd w:val="clear" w:color="FFFFFF" w:fill="FFFFFF"/>
            <w:vAlign w:val="bottom"/>
            <w:hideMark/>
          </w:tcPr>
          <w:p w14:paraId="15DE0046"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DE DESARROLLO RURAL SUSTENTABLE PARA LA REGION DEL NORTE -PRODENORTE-</w:t>
            </w:r>
          </w:p>
        </w:tc>
        <w:tc>
          <w:tcPr>
            <w:tcW w:w="1015" w:type="dxa"/>
            <w:tcBorders>
              <w:top w:val="dotted" w:sz="4" w:space="0" w:color="auto"/>
              <w:left w:val="nil"/>
              <w:bottom w:val="dotted" w:sz="4" w:space="0" w:color="auto"/>
              <w:right w:val="single" w:sz="4" w:space="0" w:color="auto"/>
            </w:tcBorders>
            <w:shd w:val="clear" w:color="FFFFFF" w:fill="FFFFFF"/>
            <w:noWrap/>
            <w:vAlign w:val="bottom"/>
            <w:hideMark/>
          </w:tcPr>
          <w:p w14:paraId="00BD3900"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65.5</w:t>
            </w:r>
          </w:p>
        </w:tc>
        <w:tc>
          <w:tcPr>
            <w:tcW w:w="999" w:type="dxa"/>
            <w:tcBorders>
              <w:top w:val="dotted" w:sz="4" w:space="0" w:color="auto"/>
              <w:left w:val="nil"/>
              <w:bottom w:val="dotted" w:sz="4" w:space="0" w:color="auto"/>
              <w:right w:val="single" w:sz="4" w:space="0" w:color="auto"/>
            </w:tcBorders>
            <w:shd w:val="clear" w:color="FFFFFF" w:fill="FFFFFF"/>
            <w:noWrap/>
            <w:vAlign w:val="bottom"/>
            <w:hideMark/>
          </w:tcPr>
          <w:p w14:paraId="764077FC"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17.2</w:t>
            </w:r>
          </w:p>
        </w:tc>
        <w:tc>
          <w:tcPr>
            <w:tcW w:w="861" w:type="dxa"/>
            <w:tcBorders>
              <w:top w:val="dotted" w:sz="4" w:space="0" w:color="auto"/>
              <w:left w:val="nil"/>
              <w:bottom w:val="dotted" w:sz="4" w:space="0" w:color="auto"/>
              <w:right w:val="single" w:sz="4" w:space="0" w:color="auto"/>
            </w:tcBorders>
            <w:shd w:val="clear" w:color="FFFFFF" w:fill="FFFFFF"/>
            <w:noWrap/>
            <w:vAlign w:val="bottom"/>
            <w:hideMark/>
          </w:tcPr>
          <w:p w14:paraId="2247E73A"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26.2</w:t>
            </w:r>
          </w:p>
        </w:tc>
      </w:tr>
      <w:tr w:rsidR="00EE52DF" w:rsidRPr="00A44E3A" w14:paraId="2A5704C2" w14:textId="77777777" w:rsidTr="00F973BC">
        <w:trPr>
          <w:trHeight w:val="182"/>
          <w:jc w:val="center"/>
        </w:trPr>
        <w:tc>
          <w:tcPr>
            <w:tcW w:w="5895" w:type="dxa"/>
            <w:tcBorders>
              <w:top w:val="dotted" w:sz="4" w:space="0" w:color="auto"/>
              <w:left w:val="single" w:sz="8" w:space="0" w:color="auto"/>
              <w:bottom w:val="dotted" w:sz="4" w:space="0" w:color="auto"/>
              <w:right w:val="single" w:sz="4" w:space="0" w:color="auto"/>
            </w:tcBorders>
            <w:shd w:val="clear" w:color="auto" w:fill="B8CCE4" w:themeFill="accent1" w:themeFillTint="66"/>
            <w:noWrap/>
            <w:vAlign w:val="bottom"/>
            <w:hideMark/>
          </w:tcPr>
          <w:p w14:paraId="780EFBE8" w14:textId="77777777" w:rsidR="00EE52DF" w:rsidRPr="00A44E3A" w:rsidRDefault="00EE52DF" w:rsidP="00EE52DF">
            <w:pP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Agencia Japonesa de Cooperación Internacional</w:t>
            </w:r>
          </w:p>
        </w:tc>
        <w:tc>
          <w:tcPr>
            <w:tcW w:w="1015"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71E2F2BB"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148.6</w:t>
            </w:r>
          </w:p>
        </w:tc>
        <w:tc>
          <w:tcPr>
            <w:tcW w:w="999"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2A86EF17"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132.3</w:t>
            </w:r>
          </w:p>
        </w:tc>
        <w:tc>
          <w:tcPr>
            <w:tcW w:w="861" w:type="dxa"/>
            <w:tcBorders>
              <w:top w:val="dotted" w:sz="4" w:space="0" w:color="auto"/>
              <w:left w:val="nil"/>
              <w:bottom w:val="dotted" w:sz="4" w:space="0" w:color="auto"/>
              <w:right w:val="single" w:sz="4" w:space="0" w:color="auto"/>
            </w:tcBorders>
            <w:shd w:val="clear" w:color="auto" w:fill="B8CCE4" w:themeFill="accent1" w:themeFillTint="66"/>
            <w:noWrap/>
            <w:vAlign w:val="bottom"/>
            <w:hideMark/>
          </w:tcPr>
          <w:p w14:paraId="158F0246" w14:textId="77777777" w:rsidR="00EE52DF" w:rsidRPr="00A44E3A" w:rsidRDefault="00EE52DF" w:rsidP="00EE52DF">
            <w:pPr>
              <w:jc w:val="center"/>
              <w:rPr>
                <w:rFonts w:ascii="Times New Roman" w:eastAsia="Times New Roman" w:hAnsi="Times New Roman" w:cs="Times New Roman"/>
                <w:b/>
                <w:bCs/>
                <w:color w:val="333333"/>
                <w:sz w:val="16"/>
                <w:szCs w:val="20"/>
                <w:lang w:eastAsia="es-GT"/>
              </w:rPr>
            </w:pPr>
            <w:r w:rsidRPr="00A44E3A">
              <w:rPr>
                <w:rFonts w:ascii="Times New Roman" w:eastAsia="Times New Roman" w:hAnsi="Times New Roman" w:cs="Times New Roman"/>
                <w:b/>
                <w:bCs/>
                <w:color w:val="333333"/>
                <w:sz w:val="16"/>
                <w:szCs w:val="20"/>
                <w:lang w:eastAsia="es-GT"/>
              </w:rPr>
              <w:t>89.1</w:t>
            </w:r>
          </w:p>
        </w:tc>
      </w:tr>
      <w:tr w:rsidR="00EE52DF" w:rsidRPr="00A44E3A" w14:paraId="07D5F883" w14:textId="77777777" w:rsidTr="00F973BC">
        <w:trPr>
          <w:trHeight w:val="193"/>
          <w:jc w:val="center"/>
        </w:trPr>
        <w:tc>
          <w:tcPr>
            <w:tcW w:w="5895" w:type="dxa"/>
            <w:tcBorders>
              <w:top w:val="dotted" w:sz="4" w:space="0" w:color="auto"/>
              <w:left w:val="single" w:sz="8" w:space="0" w:color="auto"/>
              <w:bottom w:val="single" w:sz="4" w:space="0" w:color="auto"/>
              <w:right w:val="single" w:sz="4" w:space="0" w:color="auto"/>
            </w:tcBorders>
            <w:shd w:val="clear" w:color="FFFFFF" w:fill="FFFFFF"/>
            <w:vAlign w:val="bottom"/>
            <w:hideMark/>
          </w:tcPr>
          <w:p w14:paraId="675E4B55" w14:textId="77777777" w:rsidR="00EE52DF" w:rsidRPr="00A44E3A" w:rsidRDefault="00EE52DF" w:rsidP="00EE52DF">
            <w:pPr>
              <w:ind w:firstLineChars="200" w:firstLine="320"/>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PROGRAMA DE MEJORAMIENTO DE CARRETERAS EN ZONAPAZ</w:t>
            </w:r>
          </w:p>
        </w:tc>
        <w:tc>
          <w:tcPr>
            <w:tcW w:w="1015" w:type="dxa"/>
            <w:tcBorders>
              <w:top w:val="dotted" w:sz="4" w:space="0" w:color="auto"/>
              <w:left w:val="nil"/>
              <w:bottom w:val="single" w:sz="4" w:space="0" w:color="auto"/>
              <w:right w:val="single" w:sz="4" w:space="0" w:color="auto"/>
            </w:tcBorders>
            <w:shd w:val="clear" w:color="FFFFFF" w:fill="FFFFFF"/>
            <w:noWrap/>
            <w:vAlign w:val="bottom"/>
            <w:hideMark/>
          </w:tcPr>
          <w:p w14:paraId="277CF950"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148.6</w:t>
            </w:r>
          </w:p>
        </w:tc>
        <w:tc>
          <w:tcPr>
            <w:tcW w:w="999" w:type="dxa"/>
            <w:tcBorders>
              <w:top w:val="dotted" w:sz="4" w:space="0" w:color="auto"/>
              <w:left w:val="nil"/>
              <w:bottom w:val="single" w:sz="4" w:space="0" w:color="auto"/>
              <w:right w:val="single" w:sz="4" w:space="0" w:color="auto"/>
            </w:tcBorders>
            <w:shd w:val="clear" w:color="FFFFFF" w:fill="FFFFFF"/>
            <w:noWrap/>
            <w:vAlign w:val="bottom"/>
            <w:hideMark/>
          </w:tcPr>
          <w:p w14:paraId="00752817" w14:textId="77777777" w:rsidR="00EE52DF" w:rsidRPr="00A44E3A" w:rsidRDefault="00EE52DF" w:rsidP="00EE52DF">
            <w:pPr>
              <w:jc w:val="center"/>
              <w:rPr>
                <w:rFonts w:ascii="Times New Roman" w:eastAsia="Times New Roman" w:hAnsi="Times New Roman" w:cs="Times New Roman"/>
                <w:color w:val="333333"/>
                <w:sz w:val="16"/>
                <w:szCs w:val="20"/>
                <w:lang w:eastAsia="es-GT"/>
              </w:rPr>
            </w:pPr>
            <w:r w:rsidRPr="00A44E3A">
              <w:rPr>
                <w:rFonts w:ascii="Times New Roman" w:eastAsia="Times New Roman" w:hAnsi="Times New Roman" w:cs="Times New Roman"/>
                <w:color w:val="333333"/>
                <w:sz w:val="16"/>
                <w:szCs w:val="20"/>
                <w:lang w:eastAsia="es-GT"/>
              </w:rPr>
              <w:t>132.3</w:t>
            </w:r>
          </w:p>
        </w:tc>
        <w:tc>
          <w:tcPr>
            <w:tcW w:w="861" w:type="dxa"/>
            <w:tcBorders>
              <w:top w:val="dotted" w:sz="4" w:space="0" w:color="auto"/>
              <w:left w:val="nil"/>
              <w:bottom w:val="single" w:sz="4" w:space="0" w:color="auto"/>
              <w:right w:val="single" w:sz="4" w:space="0" w:color="auto"/>
            </w:tcBorders>
            <w:shd w:val="clear" w:color="FFFFFF" w:fill="FFFFFF"/>
            <w:noWrap/>
            <w:vAlign w:val="bottom"/>
            <w:hideMark/>
          </w:tcPr>
          <w:p w14:paraId="298FAC69" w14:textId="77777777" w:rsidR="00EE52DF" w:rsidRPr="00A44E3A" w:rsidRDefault="00EE52DF" w:rsidP="00EE52DF">
            <w:pPr>
              <w:jc w:val="center"/>
              <w:rPr>
                <w:rFonts w:ascii="Times New Roman" w:eastAsia="Times New Roman" w:hAnsi="Times New Roman" w:cs="Times New Roman"/>
                <w:bCs/>
                <w:color w:val="333333"/>
                <w:sz w:val="16"/>
                <w:szCs w:val="20"/>
                <w:lang w:eastAsia="es-GT"/>
              </w:rPr>
            </w:pPr>
            <w:r w:rsidRPr="00A44E3A">
              <w:rPr>
                <w:rFonts w:ascii="Times New Roman" w:eastAsia="Times New Roman" w:hAnsi="Times New Roman" w:cs="Times New Roman"/>
                <w:bCs/>
                <w:color w:val="333333"/>
                <w:sz w:val="16"/>
                <w:szCs w:val="20"/>
                <w:lang w:eastAsia="es-GT"/>
              </w:rPr>
              <w:t>89.1</w:t>
            </w:r>
          </w:p>
        </w:tc>
      </w:tr>
    </w:tbl>
    <w:p w14:paraId="36AB79B1" w14:textId="77777777" w:rsidR="00EE52DF" w:rsidRPr="00EA34D1" w:rsidRDefault="00EE52DF" w:rsidP="00EE52DF">
      <w:pPr>
        <w:ind w:firstLine="708"/>
        <w:rPr>
          <w:rFonts w:ascii="Times New Roman" w:hAnsi="Times New Roman" w:cs="Times New Roman"/>
          <w:sz w:val="16"/>
        </w:rPr>
      </w:pPr>
      <w:r w:rsidRPr="00EA34D1">
        <w:rPr>
          <w:rFonts w:ascii="Times New Roman" w:hAnsi="Times New Roman" w:cs="Times New Roman"/>
          <w:sz w:val="16"/>
        </w:rPr>
        <w:t>Fuente: SICOIN</w:t>
      </w:r>
    </w:p>
    <w:p w14:paraId="6B68510E" w14:textId="77777777" w:rsidR="00EA34D1" w:rsidRDefault="00EA34D1" w:rsidP="00EE52DF">
      <w:pPr>
        <w:jc w:val="both"/>
        <w:rPr>
          <w:rFonts w:ascii="Times New Roman" w:hAnsi="Times New Roman" w:cs="Times New Roman"/>
        </w:rPr>
      </w:pPr>
    </w:p>
    <w:p w14:paraId="1BFA6ED7" w14:textId="77777777" w:rsidR="00EE52DF" w:rsidRPr="00EA34D1" w:rsidRDefault="00EE52DF" w:rsidP="00EE52DF">
      <w:pPr>
        <w:jc w:val="both"/>
        <w:rPr>
          <w:rFonts w:ascii="Times New Roman" w:hAnsi="Times New Roman" w:cs="Times New Roman"/>
          <w:sz w:val="22"/>
        </w:rPr>
      </w:pPr>
      <w:r w:rsidRPr="00EA34D1">
        <w:rPr>
          <w:rFonts w:ascii="Times New Roman" w:hAnsi="Times New Roman" w:cs="Times New Roman"/>
          <w:sz w:val="22"/>
        </w:rPr>
        <w:t xml:space="preserve">Dado el nivel de desembolsos de préstamos externos, el cual estuvo por debajo de las amortizaciones, la creación mediante endeudamiento a través de préstamos fue negativo en Q2.354.0 millones, y el financiamiento externo neto, dada la colocación de eurobonos, fue positiva en Q6,913.3 millones. </w:t>
      </w:r>
    </w:p>
    <w:p w14:paraId="717ADF2E" w14:textId="77777777" w:rsidR="00EA34D1" w:rsidRPr="00EA34D1" w:rsidRDefault="00EA34D1" w:rsidP="00EE52DF">
      <w:pPr>
        <w:jc w:val="both"/>
        <w:rPr>
          <w:rFonts w:ascii="Times New Roman" w:hAnsi="Times New Roman" w:cs="Times New Roman"/>
          <w:sz w:val="22"/>
        </w:rPr>
      </w:pPr>
    </w:p>
    <w:p w14:paraId="11D0E6F1" w14:textId="77777777" w:rsidR="00EE52DF" w:rsidRDefault="00EE52DF" w:rsidP="00EE52DF">
      <w:pPr>
        <w:jc w:val="both"/>
        <w:rPr>
          <w:rFonts w:ascii="Times New Roman" w:hAnsi="Times New Roman" w:cs="Times New Roman"/>
          <w:sz w:val="22"/>
        </w:rPr>
      </w:pPr>
      <w:r w:rsidRPr="00EA34D1">
        <w:rPr>
          <w:rFonts w:ascii="Times New Roman" w:hAnsi="Times New Roman" w:cs="Times New Roman"/>
          <w:sz w:val="22"/>
        </w:rPr>
        <w:t>Dado que el financiamiento mediante endeudamiento fue insuficiente para cubrir el déficit resultante en 2019, se utilizaron recursos de caja por Q1,040.3 millones.</w:t>
      </w:r>
    </w:p>
    <w:p w14:paraId="16386F83" w14:textId="77777777" w:rsidR="00C84436" w:rsidRPr="00EA34D1" w:rsidRDefault="00C84436" w:rsidP="00EE52DF">
      <w:pPr>
        <w:jc w:val="both"/>
        <w:rPr>
          <w:rFonts w:ascii="Times New Roman" w:hAnsi="Times New Roman" w:cs="Times New Roman"/>
          <w:sz w:val="22"/>
        </w:rPr>
      </w:pPr>
    </w:p>
    <w:p w14:paraId="0E1AC4C4" w14:textId="77777777" w:rsidR="00EA34D1" w:rsidRPr="00C84436" w:rsidRDefault="00C84436" w:rsidP="00C84436">
      <w:pPr>
        <w:pStyle w:val="Ttulo2"/>
        <w:numPr>
          <w:ilvl w:val="1"/>
          <w:numId w:val="12"/>
        </w:numPr>
        <w:spacing w:before="0"/>
        <w:ind w:left="567"/>
        <w:rPr>
          <w:rFonts w:ascii="Times New Roman" w:hAnsi="Times New Roman" w:cs="Times New Roman"/>
          <w:color w:val="auto"/>
          <w:sz w:val="24"/>
        </w:rPr>
      </w:pPr>
      <w:bookmarkStart w:id="170" w:name="_Toc32230912"/>
      <w:r w:rsidRPr="00C84436">
        <w:rPr>
          <w:rFonts w:ascii="Times New Roman" w:hAnsi="Times New Roman" w:cs="Times New Roman"/>
          <w:color w:val="auto"/>
          <w:sz w:val="24"/>
        </w:rPr>
        <w:t>Aumento en la deuda pública en niveles sosteni</w:t>
      </w:r>
      <w:r w:rsidR="0046297C">
        <w:rPr>
          <w:rFonts w:ascii="Times New Roman" w:hAnsi="Times New Roman" w:cs="Times New Roman"/>
          <w:color w:val="auto"/>
          <w:sz w:val="24"/>
        </w:rPr>
        <w:t>bles</w:t>
      </w:r>
      <w:bookmarkEnd w:id="170"/>
    </w:p>
    <w:p w14:paraId="33FB5451" w14:textId="77777777" w:rsidR="00C84436" w:rsidRDefault="00C84436" w:rsidP="00EE52DF">
      <w:pPr>
        <w:jc w:val="both"/>
        <w:rPr>
          <w:rFonts w:ascii="Times New Roman" w:hAnsi="Times New Roman" w:cs="Times New Roman"/>
          <w:sz w:val="22"/>
        </w:rPr>
      </w:pPr>
    </w:p>
    <w:p w14:paraId="4BDE7B58" w14:textId="77777777" w:rsidR="00EE52DF" w:rsidRPr="00EA34D1" w:rsidRDefault="00EE52DF" w:rsidP="00EE52DF">
      <w:pPr>
        <w:jc w:val="both"/>
        <w:rPr>
          <w:rFonts w:ascii="Times New Roman" w:hAnsi="Times New Roman" w:cs="Times New Roman"/>
          <w:sz w:val="22"/>
        </w:rPr>
      </w:pPr>
      <w:r w:rsidRPr="00EA34D1">
        <w:rPr>
          <w:rFonts w:ascii="Times New Roman" w:hAnsi="Times New Roman" w:cs="Times New Roman"/>
          <w:sz w:val="22"/>
        </w:rPr>
        <w:t>Conforme a los flujos de endeudamiento que se obtuvieron en 2019, se generaron cambios en el nivel del saldo de la deuda pública al cierre de dicho año, el cual se situó en 26.9% del PIB, superior en 3 décimas de punto porcentual del PIB de 2018 (26.6%), aumento que s</w:t>
      </w:r>
      <w:r w:rsidR="00EA34D1" w:rsidRPr="00EA34D1">
        <w:rPr>
          <w:rFonts w:ascii="Times New Roman" w:hAnsi="Times New Roman" w:cs="Times New Roman"/>
          <w:sz w:val="22"/>
        </w:rPr>
        <w:t>e considera moderado, el cual</w:t>
      </w:r>
      <w:r w:rsidRPr="00EA34D1">
        <w:rPr>
          <w:rFonts w:ascii="Times New Roman" w:hAnsi="Times New Roman" w:cs="Times New Roman"/>
          <w:sz w:val="22"/>
        </w:rPr>
        <w:t xml:space="preserve"> fue atenuado, hasta cierto punto, por la apreciación del tipo de cambio del último día de 2019, con respecto al observado en 2018.</w:t>
      </w:r>
    </w:p>
    <w:p w14:paraId="312EC998" w14:textId="77777777" w:rsidR="00EA34D1" w:rsidRPr="00EA34D1" w:rsidRDefault="00EA34D1" w:rsidP="00EE52DF">
      <w:pPr>
        <w:jc w:val="both"/>
        <w:rPr>
          <w:rFonts w:ascii="Times New Roman" w:hAnsi="Times New Roman" w:cs="Times New Roman"/>
          <w:sz w:val="22"/>
        </w:rPr>
      </w:pPr>
    </w:p>
    <w:p w14:paraId="6AF891E6" w14:textId="77777777" w:rsidR="00EE52DF" w:rsidRDefault="00EE52DF" w:rsidP="00EE52DF">
      <w:pPr>
        <w:jc w:val="both"/>
        <w:rPr>
          <w:rFonts w:ascii="Times New Roman" w:hAnsi="Times New Roman" w:cs="Times New Roman"/>
          <w:sz w:val="22"/>
        </w:rPr>
      </w:pPr>
      <w:r w:rsidRPr="00EA34D1">
        <w:rPr>
          <w:rFonts w:ascii="Times New Roman" w:hAnsi="Times New Roman" w:cs="Times New Roman"/>
          <w:sz w:val="22"/>
        </w:rPr>
        <w:t>Asimismo, el aumento en la colocación de Bonos del Tesoro en el mercado doméstico muy encima del financiamiento mediante operaciones con el resto del mundo, ha hecho que la participación de la deuda interna aumente gradualmente, situándola al cierre de 2019 en 55.4% del total de la deuda, mientras que la deuda externa se situó en 44.6%; relación que es positiva considerando que se reduce la exposición al riesgo cambiario de la deuda pública y mejora la performance del status de la deuda coadyuvando a la sostenibilidad de la misma en el corto y mediano plazos.</w:t>
      </w:r>
    </w:p>
    <w:p w14:paraId="5D0221E9" w14:textId="77777777" w:rsidR="00EA34D1" w:rsidRPr="00EA34D1" w:rsidRDefault="00EA34D1" w:rsidP="00EE52DF">
      <w:pPr>
        <w:jc w:val="both"/>
        <w:rPr>
          <w:rFonts w:ascii="Times New Roman" w:hAnsi="Times New Roman" w:cs="Times New Roman"/>
          <w:sz w:val="22"/>
        </w:rPr>
      </w:pPr>
    </w:p>
    <w:p w14:paraId="35DBBD23" w14:textId="77777777" w:rsidR="00EE52DF" w:rsidRPr="00EA34D1" w:rsidRDefault="00EE52DF" w:rsidP="00EE52DF">
      <w:pPr>
        <w:pStyle w:val="Sinespaciado"/>
        <w:jc w:val="center"/>
        <w:rPr>
          <w:rFonts w:ascii="Times New Roman" w:hAnsi="Times New Roman" w:cs="Times New Roman"/>
          <w:b/>
          <w:sz w:val="24"/>
        </w:rPr>
      </w:pPr>
      <w:r w:rsidRPr="00EA34D1">
        <w:rPr>
          <w:rFonts w:ascii="Times New Roman" w:hAnsi="Times New Roman" w:cs="Times New Roman"/>
          <w:b/>
          <w:sz w:val="24"/>
        </w:rPr>
        <w:t>Relación Deuda/ PIB y estructura de la deuda interna y externa</w:t>
      </w:r>
    </w:p>
    <w:p w14:paraId="49F3CB38" w14:textId="77777777" w:rsidR="00EE52DF" w:rsidRPr="00EA34D1" w:rsidRDefault="00EE52DF" w:rsidP="00EE52DF">
      <w:pPr>
        <w:pStyle w:val="Sinespaciado"/>
        <w:jc w:val="center"/>
        <w:rPr>
          <w:rFonts w:ascii="Times New Roman" w:hAnsi="Times New Roman" w:cs="Times New Roman"/>
          <w:sz w:val="20"/>
        </w:rPr>
      </w:pPr>
      <w:r w:rsidRPr="00EA34D1">
        <w:rPr>
          <w:rFonts w:ascii="Times New Roman" w:hAnsi="Times New Roman" w:cs="Times New Roman"/>
          <w:sz w:val="20"/>
        </w:rPr>
        <w:t>2015 - 2019</w:t>
      </w:r>
    </w:p>
    <w:p w14:paraId="28C80594" w14:textId="77777777" w:rsidR="00EE52DF" w:rsidRDefault="00EE52DF" w:rsidP="00EE52DF">
      <w:pPr>
        <w:jc w:val="center"/>
        <w:rPr>
          <w:rFonts w:ascii="Times New Roman" w:hAnsi="Times New Roman" w:cs="Times New Roman"/>
        </w:rPr>
      </w:pPr>
      <w:r>
        <w:rPr>
          <w:rFonts w:ascii="Times New Roman" w:hAnsi="Times New Roman" w:cs="Times New Roman"/>
          <w:noProof/>
          <w:lang w:val="es-ES"/>
        </w:rPr>
        <w:drawing>
          <wp:inline distT="0" distB="0" distL="0" distR="0" wp14:anchorId="445C74CE" wp14:editId="29F9E55E">
            <wp:extent cx="4858247" cy="2186609"/>
            <wp:effectExtent l="0" t="0" r="0" b="444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8AB744" w14:textId="77777777" w:rsidR="00E263F5" w:rsidRDefault="00EE52DF" w:rsidP="00621318">
      <w:pPr>
        <w:pStyle w:val="Sinespaciado"/>
        <w:ind w:firstLine="360"/>
        <w:jc w:val="both"/>
        <w:rPr>
          <w:rFonts w:ascii="Times New Roman" w:hAnsi="Times New Roman" w:cs="Times New Roman"/>
          <w:sz w:val="16"/>
        </w:rPr>
      </w:pPr>
      <w:r w:rsidRPr="00EA34D1">
        <w:rPr>
          <w:rFonts w:ascii="Times New Roman" w:hAnsi="Times New Roman" w:cs="Times New Roman"/>
          <w:sz w:val="16"/>
        </w:rPr>
        <w:t>Fuente: D</w:t>
      </w:r>
      <w:r w:rsidR="00C25D82">
        <w:rPr>
          <w:rFonts w:ascii="Times New Roman" w:hAnsi="Times New Roman" w:cs="Times New Roman"/>
          <w:sz w:val="16"/>
        </w:rPr>
        <w:t xml:space="preserve">irección de </w:t>
      </w:r>
      <w:r w:rsidRPr="00EA34D1">
        <w:rPr>
          <w:rFonts w:ascii="Times New Roman" w:hAnsi="Times New Roman" w:cs="Times New Roman"/>
          <w:sz w:val="16"/>
        </w:rPr>
        <w:t>A</w:t>
      </w:r>
      <w:r w:rsidR="00C25D82">
        <w:rPr>
          <w:rFonts w:ascii="Times New Roman" w:hAnsi="Times New Roman" w:cs="Times New Roman"/>
          <w:sz w:val="16"/>
        </w:rPr>
        <w:t xml:space="preserve">nálisis y </w:t>
      </w:r>
      <w:r w:rsidRPr="00EA34D1">
        <w:rPr>
          <w:rFonts w:ascii="Times New Roman" w:hAnsi="Times New Roman" w:cs="Times New Roman"/>
          <w:sz w:val="16"/>
        </w:rPr>
        <w:t>P</w:t>
      </w:r>
      <w:r w:rsidR="00C25D82">
        <w:rPr>
          <w:rFonts w:ascii="Times New Roman" w:hAnsi="Times New Roman" w:cs="Times New Roman"/>
          <w:sz w:val="16"/>
        </w:rPr>
        <w:t xml:space="preserve">olítica </w:t>
      </w:r>
      <w:r w:rsidRPr="00EA34D1">
        <w:rPr>
          <w:rFonts w:ascii="Times New Roman" w:hAnsi="Times New Roman" w:cs="Times New Roman"/>
          <w:sz w:val="16"/>
        </w:rPr>
        <w:t>F</w:t>
      </w:r>
      <w:r w:rsidR="00C25D82">
        <w:rPr>
          <w:rFonts w:ascii="Times New Roman" w:hAnsi="Times New Roman" w:cs="Times New Roman"/>
          <w:sz w:val="16"/>
        </w:rPr>
        <w:t>iscal</w:t>
      </w:r>
      <w:r w:rsidRPr="00EA34D1">
        <w:rPr>
          <w:rFonts w:ascii="Times New Roman" w:hAnsi="Times New Roman" w:cs="Times New Roman"/>
          <w:sz w:val="16"/>
        </w:rPr>
        <w:t>, preliminar</w:t>
      </w:r>
    </w:p>
    <w:p w14:paraId="10A55D89" w14:textId="77777777" w:rsidR="00621318" w:rsidRPr="00621318" w:rsidRDefault="00621318" w:rsidP="00621318">
      <w:pPr>
        <w:pStyle w:val="Sinespaciado"/>
        <w:ind w:firstLine="360"/>
        <w:jc w:val="both"/>
        <w:rPr>
          <w:rFonts w:ascii="Times New Roman" w:hAnsi="Times New Roman" w:cs="Times New Roman"/>
          <w:sz w:val="16"/>
        </w:rPr>
      </w:pPr>
    </w:p>
    <w:p w14:paraId="3301FC3B" w14:textId="77777777" w:rsidR="0012656D" w:rsidRPr="00113A1E" w:rsidRDefault="0012656D" w:rsidP="00063CB5">
      <w:pPr>
        <w:pStyle w:val="Prrafodelista"/>
        <w:numPr>
          <w:ilvl w:val="0"/>
          <w:numId w:val="1"/>
        </w:numPr>
        <w:ind w:left="567" w:hanging="567"/>
        <w:jc w:val="both"/>
        <w:outlineLvl w:val="0"/>
        <w:rPr>
          <w:rFonts w:ascii="Times New Roman" w:eastAsiaTheme="majorEastAsia" w:hAnsi="Times New Roman" w:cs="Times New Roman"/>
          <w:b/>
          <w:bCs/>
          <w:sz w:val="24"/>
          <w:szCs w:val="26"/>
          <w:lang w:val="es-ES_tradnl" w:eastAsia="es-ES"/>
        </w:rPr>
      </w:pPr>
      <w:bookmarkStart w:id="171" w:name="_Toc32230913"/>
      <w:r w:rsidRPr="00113A1E">
        <w:rPr>
          <w:rFonts w:ascii="Times New Roman" w:eastAsiaTheme="majorEastAsia" w:hAnsi="Times New Roman" w:cs="Times New Roman"/>
          <w:b/>
          <w:bCs/>
          <w:sz w:val="24"/>
          <w:szCs w:val="26"/>
          <w:lang w:val="es-ES_tradnl" w:eastAsia="es-ES"/>
        </w:rPr>
        <w:t>Apéndice contexto macroeconómico</w:t>
      </w:r>
      <w:bookmarkEnd w:id="171"/>
      <w:r w:rsidRPr="00113A1E">
        <w:rPr>
          <w:rFonts w:ascii="Times New Roman" w:eastAsiaTheme="majorEastAsia" w:hAnsi="Times New Roman" w:cs="Times New Roman"/>
          <w:b/>
          <w:bCs/>
          <w:sz w:val="24"/>
          <w:szCs w:val="26"/>
          <w:lang w:val="es-ES_tradnl" w:eastAsia="es-ES"/>
        </w:rPr>
        <w:t xml:space="preserve"> </w:t>
      </w:r>
    </w:p>
    <w:p w14:paraId="6E362465" w14:textId="77777777" w:rsidR="00C84436" w:rsidRPr="00C84436" w:rsidRDefault="00C84436" w:rsidP="00C84436">
      <w:pPr>
        <w:pStyle w:val="Prrafodelista"/>
        <w:keepNext/>
        <w:keepLines/>
        <w:numPr>
          <w:ilvl w:val="0"/>
          <w:numId w:val="10"/>
        </w:numPr>
        <w:spacing w:before="200"/>
        <w:contextualSpacing w:val="0"/>
        <w:outlineLvl w:val="1"/>
        <w:rPr>
          <w:rFonts w:ascii="Times New Roman" w:eastAsiaTheme="majorEastAsia" w:hAnsi="Times New Roman" w:cs="Times New Roman"/>
          <w:b/>
          <w:bCs/>
          <w:vanish/>
          <w:sz w:val="24"/>
          <w:szCs w:val="26"/>
          <w:lang w:val="es-ES_tradnl" w:eastAsia="es-ES"/>
        </w:rPr>
      </w:pPr>
      <w:bookmarkStart w:id="172" w:name="_Toc472082170"/>
      <w:bookmarkStart w:id="173" w:name="_Toc472082202"/>
      <w:bookmarkStart w:id="174" w:name="_Toc472089918"/>
      <w:bookmarkStart w:id="175" w:name="_Toc472089941"/>
      <w:bookmarkStart w:id="176" w:name="_Toc505346073"/>
      <w:bookmarkStart w:id="177" w:name="_Toc505349888"/>
      <w:bookmarkStart w:id="178" w:name="_Toc534985846"/>
      <w:bookmarkStart w:id="179" w:name="_Toc534988239"/>
      <w:bookmarkStart w:id="180" w:name="_Toc31611559"/>
      <w:bookmarkStart w:id="181" w:name="_Toc31612778"/>
      <w:bookmarkStart w:id="182" w:name="_Toc31612810"/>
      <w:bookmarkStart w:id="183" w:name="_Toc31614836"/>
      <w:bookmarkStart w:id="184" w:name="_Toc31614868"/>
      <w:bookmarkStart w:id="185" w:name="_Toc31618705"/>
      <w:bookmarkStart w:id="186" w:name="_Toc31618738"/>
      <w:bookmarkStart w:id="187" w:name="_Toc31624517"/>
      <w:bookmarkStart w:id="188" w:name="_Toc31625369"/>
      <w:bookmarkStart w:id="189" w:name="_Toc31626824"/>
      <w:bookmarkStart w:id="190" w:name="_Toc31811275"/>
      <w:bookmarkStart w:id="191" w:name="_Toc31811729"/>
      <w:bookmarkStart w:id="192" w:name="_Toc31971892"/>
      <w:bookmarkStart w:id="193" w:name="_Toc32230914"/>
      <w:bookmarkStart w:id="194" w:name="_Toc457550819"/>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E1F230A" w14:textId="77777777" w:rsidR="00C84436" w:rsidRPr="00C84436" w:rsidRDefault="00C84436" w:rsidP="00C84436">
      <w:pPr>
        <w:pStyle w:val="Prrafodelista"/>
        <w:keepNext/>
        <w:keepLines/>
        <w:numPr>
          <w:ilvl w:val="0"/>
          <w:numId w:val="10"/>
        </w:numPr>
        <w:spacing w:before="200"/>
        <w:contextualSpacing w:val="0"/>
        <w:outlineLvl w:val="1"/>
        <w:rPr>
          <w:rFonts w:ascii="Times New Roman" w:eastAsiaTheme="majorEastAsia" w:hAnsi="Times New Roman" w:cs="Times New Roman"/>
          <w:b/>
          <w:bCs/>
          <w:vanish/>
          <w:sz w:val="24"/>
          <w:szCs w:val="26"/>
          <w:lang w:val="es-ES_tradnl" w:eastAsia="es-ES"/>
        </w:rPr>
      </w:pPr>
      <w:bookmarkStart w:id="195" w:name="_Toc31624518"/>
      <w:bookmarkStart w:id="196" w:name="_Toc31625370"/>
      <w:bookmarkStart w:id="197" w:name="_Toc31626825"/>
      <w:bookmarkStart w:id="198" w:name="_Toc31811276"/>
      <w:bookmarkStart w:id="199" w:name="_Toc31811730"/>
      <w:bookmarkStart w:id="200" w:name="_Toc31971893"/>
      <w:bookmarkStart w:id="201" w:name="_Toc32230915"/>
      <w:bookmarkEnd w:id="195"/>
      <w:bookmarkEnd w:id="196"/>
      <w:bookmarkEnd w:id="197"/>
      <w:bookmarkEnd w:id="198"/>
      <w:bookmarkEnd w:id="199"/>
      <w:bookmarkEnd w:id="200"/>
      <w:bookmarkEnd w:id="201"/>
    </w:p>
    <w:p w14:paraId="7B900348" w14:textId="77777777" w:rsidR="00C84436" w:rsidRPr="00C84436" w:rsidRDefault="00C84436" w:rsidP="00C84436">
      <w:pPr>
        <w:pStyle w:val="Prrafodelista"/>
        <w:keepNext/>
        <w:keepLines/>
        <w:numPr>
          <w:ilvl w:val="0"/>
          <w:numId w:val="10"/>
        </w:numPr>
        <w:spacing w:before="200"/>
        <w:contextualSpacing w:val="0"/>
        <w:outlineLvl w:val="1"/>
        <w:rPr>
          <w:rFonts w:ascii="Times New Roman" w:eastAsiaTheme="majorEastAsia" w:hAnsi="Times New Roman" w:cs="Times New Roman"/>
          <w:b/>
          <w:bCs/>
          <w:vanish/>
          <w:sz w:val="24"/>
          <w:szCs w:val="26"/>
          <w:lang w:val="es-ES_tradnl" w:eastAsia="es-ES"/>
        </w:rPr>
      </w:pPr>
      <w:bookmarkStart w:id="202" w:name="_Toc31624519"/>
      <w:bookmarkStart w:id="203" w:name="_Toc31625371"/>
      <w:bookmarkStart w:id="204" w:name="_Toc31626826"/>
      <w:bookmarkStart w:id="205" w:name="_Toc31811277"/>
      <w:bookmarkStart w:id="206" w:name="_Toc31811731"/>
      <w:bookmarkStart w:id="207" w:name="_Toc31971894"/>
      <w:bookmarkStart w:id="208" w:name="_Toc32230916"/>
      <w:bookmarkEnd w:id="202"/>
      <w:bookmarkEnd w:id="203"/>
      <w:bookmarkEnd w:id="204"/>
      <w:bookmarkEnd w:id="205"/>
      <w:bookmarkEnd w:id="206"/>
      <w:bookmarkEnd w:id="207"/>
      <w:bookmarkEnd w:id="208"/>
    </w:p>
    <w:p w14:paraId="5EDADA64" w14:textId="77777777" w:rsidR="00C84436" w:rsidRPr="00C84436" w:rsidRDefault="00C84436" w:rsidP="00C84436">
      <w:pPr>
        <w:pStyle w:val="Prrafodelista"/>
        <w:keepNext/>
        <w:keepLines/>
        <w:numPr>
          <w:ilvl w:val="0"/>
          <w:numId w:val="10"/>
        </w:numPr>
        <w:spacing w:before="200"/>
        <w:contextualSpacing w:val="0"/>
        <w:outlineLvl w:val="1"/>
        <w:rPr>
          <w:rFonts w:ascii="Times New Roman" w:eastAsiaTheme="majorEastAsia" w:hAnsi="Times New Roman" w:cs="Times New Roman"/>
          <w:b/>
          <w:bCs/>
          <w:vanish/>
          <w:sz w:val="24"/>
          <w:szCs w:val="26"/>
          <w:lang w:val="es-ES_tradnl" w:eastAsia="es-ES"/>
        </w:rPr>
      </w:pPr>
      <w:bookmarkStart w:id="209" w:name="_Toc31624520"/>
      <w:bookmarkStart w:id="210" w:name="_Toc31625372"/>
      <w:bookmarkStart w:id="211" w:name="_Toc31626827"/>
      <w:bookmarkStart w:id="212" w:name="_Toc31811278"/>
      <w:bookmarkStart w:id="213" w:name="_Toc31811732"/>
      <w:bookmarkStart w:id="214" w:name="_Toc31971895"/>
      <w:bookmarkStart w:id="215" w:name="_Toc32230917"/>
      <w:bookmarkEnd w:id="209"/>
      <w:bookmarkEnd w:id="210"/>
      <w:bookmarkEnd w:id="211"/>
      <w:bookmarkEnd w:id="212"/>
      <w:bookmarkEnd w:id="213"/>
      <w:bookmarkEnd w:id="214"/>
      <w:bookmarkEnd w:id="215"/>
    </w:p>
    <w:p w14:paraId="0CF90446" w14:textId="77777777" w:rsidR="0012656D" w:rsidRPr="00113A1E" w:rsidRDefault="0012656D" w:rsidP="00063CB5">
      <w:pPr>
        <w:pStyle w:val="Ttulo2"/>
        <w:numPr>
          <w:ilvl w:val="1"/>
          <w:numId w:val="10"/>
        </w:numPr>
        <w:ind w:left="567"/>
        <w:rPr>
          <w:rFonts w:ascii="Times New Roman" w:hAnsi="Times New Roman" w:cs="Times New Roman"/>
          <w:color w:val="auto"/>
          <w:sz w:val="24"/>
        </w:rPr>
      </w:pPr>
      <w:bookmarkStart w:id="216" w:name="_Toc32230918"/>
      <w:r w:rsidRPr="00113A1E">
        <w:rPr>
          <w:rFonts w:ascii="Times New Roman" w:hAnsi="Times New Roman" w:cs="Times New Roman"/>
          <w:color w:val="auto"/>
          <w:sz w:val="24"/>
        </w:rPr>
        <w:t>Entorno Macroeconómico Internacional</w:t>
      </w:r>
      <w:bookmarkEnd w:id="194"/>
      <w:bookmarkEnd w:id="216"/>
      <w:r w:rsidRPr="00113A1E">
        <w:rPr>
          <w:rFonts w:ascii="Times New Roman" w:hAnsi="Times New Roman" w:cs="Times New Roman"/>
          <w:color w:val="auto"/>
          <w:sz w:val="24"/>
        </w:rPr>
        <w:t xml:space="preserve"> </w:t>
      </w:r>
    </w:p>
    <w:p w14:paraId="4825B205" w14:textId="77777777" w:rsidR="0012656D" w:rsidRPr="00113A1E" w:rsidRDefault="0012656D" w:rsidP="0012656D">
      <w:pPr>
        <w:pStyle w:val="Default"/>
        <w:jc w:val="both"/>
        <w:rPr>
          <w:color w:val="FF0000"/>
          <w:sz w:val="22"/>
          <w:szCs w:val="22"/>
        </w:rPr>
      </w:pPr>
    </w:p>
    <w:p w14:paraId="692B3352" w14:textId="77777777" w:rsidR="00113A1E" w:rsidRPr="00E50994" w:rsidRDefault="00113A1E" w:rsidP="00113A1E">
      <w:pPr>
        <w:jc w:val="both"/>
        <w:rPr>
          <w:rFonts w:ascii="Times New Roman" w:hAnsi="Times New Roman" w:cs="Times New Roman"/>
          <w:sz w:val="22"/>
          <w:szCs w:val="22"/>
        </w:rPr>
      </w:pPr>
      <w:r w:rsidRPr="00E50994">
        <w:rPr>
          <w:rFonts w:ascii="Times New Roman" w:hAnsi="Times New Roman" w:cs="Times New Roman"/>
          <w:sz w:val="22"/>
          <w:szCs w:val="22"/>
        </w:rPr>
        <w:t>En el transcurso del 2019 el ritmo de la actividad económica mundial se caracterizó por un ritmo débil de crecimiento, todavía influenciado por la fuerte desaceleración ocurrida durante los últimos trimestres de 2018.  En particular, el impulso de la actividad manufacturera se debilitó sustancialmente, incluso muy cercano a niveles no vistos desde la crisis financiera mundial. En términos generales, las crecientes tensiones comerciales y geopolíticas agudizaron la incertidumbre que rodea el sistema de comercio mundial y la cooperación internacional, lesionando la confianza de las empresas, las decisiones de inversió</w:t>
      </w:r>
      <w:r w:rsidR="00063CB5">
        <w:rPr>
          <w:rFonts w:ascii="Times New Roman" w:hAnsi="Times New Roman" w:cs="Times New Roman"/>
          <w:sz w:val="22"/>
          <w:szCs w:val="22"/>
        </w:rPr>
        <w:t xml:space="preserve">n y el comercio internacional. </w:t>
      </w:r>
      <w:r w:rsidR="004C7688" w:rsidRPr="004C7688">
        <w:rPr>
          <w:rFonts w:ascii="Times New Roman" w:hAnsi="Times New Roman" w:cs="Times New Roman"/>
          <w:sz w:val="22"/>
          <w:szCs w:val="22"/>
        </w:rPr>
        <w:t xml:space="preserve">Pese a que la economía mundial mostró indicios de una ligera recuperación, persistieron factores que afectaron </w:t>
      </w:r>
      <w:r w:rsidR="004C7688">
        <w:rPr>
          <w:rFonts w:ascii="Times New Roman" w:hAnsi="Times New Roman" w:cs="Times New Roman"/>
          <w:sz w:val="22"/>
          <w:szCs w:val="22"/>
        </w:rPr>
        <w:t>su crecimiento, entre ellos se destacan</w:t>
      </w:r>
      <w:r w:rsidRPr="00E50994">
        <w:rPr>
          <w:rFonts w:ascii="Times New Roman" w:hAnsi="Times New Roman" w:cs="Times New Roman"/>
          <w:sz w:val="22"/>
          <w:szCs w:val="22"/>
        </w:rPr>
        <w:t>:</w:t>
      </w:r>
    </w:p>
    <w:p w14:paraId="395CB1E6" w14:textId="77777777" w:rsidR="00113A1E" w:rsidRPr="004C7688" w:rsidRDefault="00113A1E" w:rsidP="00113A1E">
      <w:pPr>
        <w:jc w:val="both"/>
        <w:rPr>
          <w:rFonts w:ascii="Times New Roman" w:hAnsi="Times New Roman" w:cs="Times New Roman"/>
          <w:sz w:val="22"/>
          <w:szCs w:val="22"/>
        </w:rPr>
      </w:pPr>
    </w:p>
    <w:p w14:paraId="3421879E" w14:textId="77777777" w:rsidR="004C7688" w:rsidRDefault="00113A1E" w:rsidP="00063CB5">
      <w:pPr>
        <w:pStyle w:val="Prrafodelista"/>
        <w:numPr>
          <w:ilvl w:val="0"/>
          <w:numId w:val="29"/>
        </w:numPr>
        <w:ind w:left="426"/>
        <w:jc w:val="both"/>
        <w:rPr>
          <w:rFonts w:ascii="Times New Roman" w:hAnsi="Times New Roman" w:cs="Times New Roman"/>
        </w:rPr>
      </w:pPr>
      <w:r w:rsidRPr="004C7688">
        <w:rPr>
          <w:rFonts w:ascii="Times New Roman" w:hAnsi="Times New Roman" w:cs="Times New Roman"/>
        </w:rPr>
        <w:t>La incertidumbre relacionada a las políticas comerciales y tensiones geopolíticas en las principales economías se impusieron a lo largo del año y muy probablemente se seguirán imponiendo en el 2020 a pesar de los nuevos acuerdos entre Estados Unidos y China.</w:t>
      </w:r>
      <w:r w:rsidR="004C7688">
        <w:rPr>
          <w:rFonts w:ascii="Times New Roman" w:hAnsi="Times New Roman" w:cs="Times New Roman"/>
        </w:rPr>
        <w:t xml:space="preserve"> </w:t>
      </w:r>
      <w:r w:rsidR="004C7688" w:rsidRPr="00E50994">
        <w:rPr>
          <w:rFonts w:ascii="Times New Roman" w:hAnsi="Times New Roman" w:cs="Times New Roman"/>
        </w:rPr>
        <w:t>Se espera que el primer semestre del 2020 se complete la primera fase del acuerdo comercial entre Estados Unidos y China, así como el consiguiente repliegue parcial de aranceles ya aplicados y la tregua con respecto a nuevos aranceles. Si estos factores convergen, la recuperación económica podría ser más sólida de lo que se proyecta actualmente.</w:t>
      </w:r>
    </w:p>
    <w:p w14:paraId="055C81AF" w14:textId="77777777" w:rsidR="00063CB5" w:rsidRDefault="00063CB5" w:rsidP="00063CB5">
      <w:pPr>
        <w:pStyle w:val="Prrafodelista"/>
        <w:ind w:left="426"/>
        <w:jc w:val="both"/>
        <w:rPr>
          <w:rFonts w:ascii="Times New Roman" w:hAnsi="Times New Roman" w:cs="Times New Roman"/>
        </w:rPr>
      </w:pPr>
    </w:p>
    <w:p w14:paraId="48E7BC6A" w14:textId="77777777" w:rsidR="00621318" w:rsidRDefault="00113A1E" w:rsidP="00063CB5">
      <w:pPr>
        <w:pStyle w:val="Prrafodelista"/>
        <w:numPr>
          <w:ilvl w:val="0"/>
          <w:numId w:val="29"/>
        </w:numPr>
        <w:ind w:left="426"/>
        <w:jc w:val="both"/>
        <w:rPr>
          <w:rFonts w:ascii="Times New Roman" w:hAnsi="Times New Roman" w:cs="Times New Roman"/>
        </w:rPr>
      </w:pPr>
      <w:r w:rsidRPr="004C7688">
        <w:rPr>
          <w:rFonts w:ascii="Times New Roman" w:hAnsi="Times New Roman" w:cs="Times New Roman"/>
        </w:rPr>
        <w:t xml:space="preserve">La agudización del descontento social en varios países planteó nuevos desafíos, al igual que lo hicieron desastres de índole meteorológica, desde huracanes en el Caribe, hasta sequía e incendios forestales en Australia, inundaciones en África oriental y sequía en el sur de África. </w:t>
      </w:r>
    </w:p>
    <w:p w14:paraId="7D33FDEE" w14:textId="77777777" w:rsidR="00621318" w:rsidRPr="00621318" w:rsidRDefault="00621318" w:rsidP="00063CB5">
      <w:pPr>
        <w:ind w:left="426"/>
        <w:jc w:val="both"/>
        <w:rPr>
          <w:rFonts w:ascii="Times New Roman" w:hAnsi="Times New Roman" w:cs="Times New Roman"/>
        </w:rPr>
      </w:pPr>
    </w:p>
    <w:p w14:paraId="4EA181FB" w14:textId="77777777" w:rsidR="004C7688" w:rsidRDefault="004C7688" w:rsidP="00063CB5">
      <w:pPr>
        <w:pStyle w:val="Prrafodelista"/>
        <w:numPr>
          <w:ilvl w:val="0"/>
          <w:numId w:val="29"/>
        </w:numPr>
        <w:ind w:left="426"/>
        <w:jc w:val="both"/>
        <w:rPr>
          <w:rFonts w:ascii="Times New Roman" w:hAnsi="Times New Roman" w:cs="Times New Roman"/>
        </w:rPr>
      </w:pPr>
      <w:r w:rsidRPr="004C7688">
        <w:rPr>
          <w:rFonts w:ascii="Times New Roman" w:hAnsi="Times New Roman" w:cs="Times New Roman"/>
        </w:rPr>
        <w:lastRenderedPageBreak/>
        <w:t>E</w:t>
      </w:r>
      <w:r w:rsidR="00113A1E" w:rsidRPr="004C7688">
        <w:rPr>
          <w:rFonts w:ascii="Times New Roman" w:hAnsi="Times New Roman" w:cs="Times New Roman"/>
        </w:rPr>
        <w:t>l aumento sin precedentes de la deuda a nivel mundial</w:t>
      </w:r>
      <w:r w:rsidRPr="004C7688">
        <w:rPr>
          <w:rFonts w:ascii="Times New Roman" w:hAnsi="Times New Roman" w:cs="Times New Roman"/>
        </w:rPr>
        <w:t>, la estimación de deuda total entre economías emergentes y en desarrollo alcanzó el 115% del PIB en 2010 y en 2018 aumentó al 170%.  En Estados Unidos, debido a la desaceleración de la economía mundial, la Reserva Federal realizó tres rebajas consecutivas de sus tipos de interés a lo largo del 2019 como estrategia para normalizar su balance de situación, lo que incrementó la presión que ya sufren los agentes económicos más vulnerables, siendo mayormente afectados los países emergentes con amplios desajustes monetarios y a las empresas fuertemente endeudadas.  El Banco Central Europeo reanudó las compras de activos netos a un ritmo de €20.000 millones por mes; el Banco Popular de China redujo en 5 puntos básicos su tasa de servicio de préstamo a mediano plazo; en Turquía, el banco central recortó la tasa de política monetaria 450 puntos básicos; mientras que los bancos centrales de Rusia y Brasil redujeron sus tasas de política monetaria 75 y 100 puntos básicos, respectivamente.</w:t>
      </w:r>
    </w:p>
    <w:p w14:paraId="25045107" w14:textId="77777777" w:rsidR="00621318" w:rsidRPr="00621318" w:rsidRDefault="00621318" w:rsidP="00063CB5">
      <w:pPr>
        <w:ind w:left="426"/>
        <w:jc w:val="both"/>
        <w:rPr>
          <w:rFonts w:ascii="Times New Roman" w:hAnsi="Times New Roman" w:cs="Times New Roman"/>
        </w:rPr>
      </w:pPr>
    </w:p>
    <w:p w14:paraId="31A54107" w14:textId="77777777" w:rsidR="001D2C47" w:rsidRPr="004C7688" w:rsidRDefault="004C7688" w:rsidP="00063CB5">
      <w:pPr>
        <w:pStyle w:val="Prrafodelista"/>
        <w:numPr>
          <w:ilvl w:val="0"/>
          <w:numId w:val="29"/>
        </w:numPr>
        <w:ind w:left="426"/>
        <w:jc w:val="both"/>
        <w:rPr>
          <w:rFonts w:ascii="Times New Roman" w:hAnsi="Times New Roman" w:cs="Times New Roman"/>
        </w:rPr>
      </w:pPr>
      <w:r w:rsidRPr="004C7688">
        <w:rPr>
          <w:rFonts w:ascii="Times New Roman" w:hAnsi="Times New Roman" w:cs="Times New Roman"/>
        </w:rPr>
        <w:t>L</w:t>
      </w:r>
      <w:r w:rsidR="00113A1E" w:rsidRPr="004C7688">
        <w:rPr>
          <w:rFonts w:ascii="Times New Roman" w:hAnsi="Times New Roman" w:cs="Times New Roman"/>
        </w:rPr>
        <w:t>a prolongada desaceleración del crecimiento de la productividad que se ha mostrado durante al menos los últimos 10 años. Dicha desaceleración se atribuye a la reducción de los niveles de inversión y de mejoras en términos de eficiencia, la disminución de los beneficios derivados de la reasignación de recursos a sectores más productivos, y la desaceleración de los avances en relación con los factores clave de la productividad, como la educación y la calidad institucional.</w:t>
      </w:r>
    </w:p>
    <w:p w14:paraId="2BBC67F6" w14:textId="77777777" w:rsidR="0012656D" w:rsidRPr="00113A1E" w:rsidRDefault="0012656D" w:rsidP="0012656D">
      <w:pPr>
        <w:jc w:val="both"/>
        <w:rPr>
          <w:rFonts w:ascii="Times New Roman" w:hAnsi="Times New Roman" w:cs="Times New Roman"/>
          <w:color w:val="FF0000"/>
          <w:lang w:val="es-MX"/>
        </w:rPr>
      </w:pPr>
    </w:p>
    <w:p w14:paraId="75ED079B" w14:textId="77777777" w:rsidR="0012656D" w:rsidRPr="00113A1E" w:rsidRDefault="00113A1E" w:rsidP="00063CB5">
      <w:pPr>
        <w:pStyle w:val="Ttulo2"/>
        <w:numPr>
          <w:ilvl w:val="1"/>
          <w:numId w:val="10"/>
        </w:numPr>
        <w:spacing w:before="0"/>
        <w:ind w:left="567"/>
        <w:rPr>
          <w:rFonts w:ascii="Times New Roman" w:hAnsi="Times New Roman" w:cs="Times New Roman"/>
          <w:color w:val="auto"/>
          <w:sz w:val="24"/>
        </w:rPr>
      </w:pPr>
      <w:bookmarkStart w:id="217" w:name="_Toc457550823"/>
      <w:bookmarkStart w:id="218" w:name="_Toc32230919"/>
      <w:r w:rsidRPr="00113A1E">
        <w:rPr>
          <w:rFonts w:ascii="Times New Roman" w:hAnsi="Times New Roman" w:cs="Times New Roman"/>
          <w:color w:val="auto"/>
          <w:sz w:val="24"/>
        </w:rPr>
        <w:t>Desempeño económico de los principales socios comerciales</w:t>
      </w:r>
      <w:bookmarkEnd w:id="217"/>
      <w:bookmarkEnd w:id="218"/>
    </w:p>
    <w:p w14:paraId="2149AAD7" w14:textId="77777777" w:rsidR="0012656D" w:rsidRPr="00113A1E" w:rsidRDefault="0012656D" w:rsidP="0012656D">
      <w:pPr>
        <w:jc w:val="both"/>
        <w:rPr>
          <w:rFonts w:ascii="Times New Roman" w:hAnsi="Times New Roman" w:cs="Times New Roman"/>
          <w:color w:val="FF0000"/>
          <w:lang w:val="es-MX"/>
        </w:rPr>
      </w:pPr>
    </w:p>
    <w:p w14:paraId="222BB261" w14:textId="77777777" w:rsidR="00113A1E" w:rsidRPr="00E50994" w:rsidRDefault="00113A1E" w:rsidP="00063CB5">
      <w:pPr>
        <w:pStyle w:val="Prrafodelista"/>
        <w:numPr>
          <w:ilvl w:val="0"/>
          <w:numId w:val="30"/>
        </w:numPr>
        <w:ind w:left="426"/>
        <w:jc w:val="both"/>
        <w:rPr>
          <w:rFonts w:ascii="Times New Roman" w:hAnsi="Times New Roman" w:cs="Times New Roman"/>
        </w:rPr>
      </w:pPr>
      <w:r w:rsidRPr="00E50994">
        <w:rPr>
          <w:rFonts w:ascii="Times New Roman" w:hAnsi="Times New Roman" w:cs="Times New Roman"/>
        </w:rPr>
        <w:t>Estados Unidos. La economía estadounidense creció a una tasa anual moderada en 2019, concluyendo un año en el que se desaceleró tras combinarse un panorama global débil y una fuerte caída en las inversiones debido a las disputas comerciales del presidente Donald Trump.  En el 2019 creció 2.3%, menor que el 2.9% del 2017 y 2018, generando la imagen de que los consumidores continuaron gastando, pero con cautela; los ingresos están aumentando, pero a un ritmo moderado; y que las empresas han estado reduciendo sus inversiones debido a la incertidumbre generada por las disputas comerciales.  Con estos datos, se confirma la progresiva desaceleración económica estadounidense, que tenía como meta establecida por el gobierno de turno, lograr un crecimiento sostenido por encima del 3%.</w:t>
      </w:r>
    </w:p>
    <w:p w14:paraId="0166F687" w14:textId="77777777" w:rsidR="00113A1E" w:rsidRPr="00063CB5" w:rsidRDefault="00113A1E" w:rsidP="00063CB5">
      <w:pPr>
        <w:pStyle w:val="Prrafodelista"/>
        <w:ind w:left="426"/>
        <w:jc w:val="both"/>
        <w:rPr>
          <w:rFonts w:ascii="Times New Roman" w:hAnsi="Times New Roman" w:cs="Times New Roman"/>
          <w:sz w:val="18"/>
        </w:rPr>
      </w:pPr>
    </w:p>
    <w:p w14:paraId="660C50DD" w14:textId="77777777" w:rsidR="00113A1E" w:rsidRPr="00E50994" w:rsidRDefault="00113A1E" w:rsidP="00063CB5">
      <w:pPr>
        <w:pStyle w:val="Prrafodelista"/>
        <w:numPr>
          <w:ilvl w:val="0"/>
          <w:numId w:val="30"/>
        </w:numPr>
        <w:ind w:left="426"/>
        <w:jc w:val="both"/>
        <w:rPr>
          <w:rFonts w:ascii="Times New Roman" w:hAnsi="Times New Roman" w:cs="Times New Roman"/>
        </w:rPr>
      </w:pPr>
      <w:r w:rsidRPr="00E50994">
        <w:rPr>
          <w:rFonts w:ascii="Times New Roman" w:hAnsi="Times New Roman" w:cs="Times New Roman"/>
        </w:rPr>
        <w:t>México. La economía mexicana cerró el 2019 con una desaceleración en el Producto Interior Bruto, disminuyendo 0.1% con respecto al año anterior. Dicho crecimiento negativo no había ocurrido desde 2009 cuando México se recuperaba de la crisis económica global.  El bajo crecimiento del país se atribuye a los bajos niveles de inversión y a una sobreestimación de la reforma energética de la anterior administración, en donde se esperaba que el sector tuviera un fuerte crecimiento y provocara inversiones de forma inmediata.  Para 2020, las expectativas de crecimiento son ligeras, el Banco Mundial ajustó recientemente su estimación de 2% a 1.2%, mientras que el Fondo Monetario Internacional cambió su estimación del 1.3% a 1%.</w:t>
      </w:r>
    </w:p>
    <w:p w14:paraId="0187147E" w14:textId="77777777" w:rsidR="00113A1E" w:rsidRPr="00063CB5" w:rsidRDefault="00113A1E" w:rsidP="00063CB5">
      <w:pPr>
        <w:ind w:left="426"/>
        <w:jc w:val="both"/>
        <w:rPr>
          <w:rFonts w:ascii="Times New Roman" w:hAnsi="Times New Roman" w:cs="Times New Roman"/>
          <w:sz w:val="18"/>
          <w:szCs w:val="22"/>
        </w:rPr>
      </w:pPr>
    </w:p>
    <w:p w14:paraId="3629DB6C" w14:textId="77777777" w:rsidR="00113A1E" w:rsidRPr="00E50994" w:rsidRDefault="00113A1E" w:rsidP="00063CB5">
      <w:pPr>
        <w:pStyle w:val="Prrafodelista"/>
        <w:numPr>
          <w:ilvl w:val="0"/>
          <w:numId w:val="30"/>
        </w:numPr>
        <w:ind w:left="426"/>
        <w:jc w:val="both"/>
        <w:rPr>
          <w:rFonts w:ascii="Times New Roman" w:hAnsi="Times New Roman" w:cs="Times New Roman"/>
        </w:rPr>
      </w:pPr>
      <w:r w:rsidRPr="00E50994">
        <w:rPr>
          <w:rFonts w:ascii="Times New Roman" w:hAnsi="Times New Roman" w:cs="Times New Roman"/>
        </w:rPr>
        <w:t>Zona Euro. A lo largo del año, los países que integran la zona mostraron condiciones de inestabilidad política y social, resultando en un débil ritmo de la actividad económica, cerrando el 2019 con una expansión del 1.2%, dejándose siete décimas respecto a 2018. El sólido crecimiento de España, que incluso mejoró en el último trimestre del año, no pudo compensar la pérdida de fuelle de Alemania, Francia e Italia.  Las políticas expansivas no permitieron compensar las consecuencias de las tensiones sociales en Francia, contrayendo su economía a 0.1% en el último trimestre del año, aunque en la cifra anual avanzó un 1.2%. Italia experiment</w:t>
      </w:r>
      <w:r w:rsidR="00A20023">
        <w:rPr>
          <w:rFonts w:ascii="Times New Roman" w:hAnsi="Times New Roman" w:cs="Times New Roman"/>
        </w:rPr>
        <w:t>ó</w:t>
      </w:r>
      <w:r w:rsidRPr="00E50994">
        <w:rPr>
          <w:rFonts w:ascii="Times New Roman" w:hAnsi="Times New Roman" w:cs="Times New Roman"/>
        </w:rPr>
        <w:t xml:space="preserve"> una caída del PIB del 0.3%, a causa de la contracción de la industria y del estancamiento en el sector servicios. En su cifra anual creció dos décimas con respecto al año anterior, lo cual la deja todavía sin poder recuperar los niveles anteriores a la crisis económica y abre la brecha de crecimiento con el conjunto de la zona euro. Alemania mostró un crecimiento económico del 0.6%, mucho menor a lo esperado.</w:t>
      </w:r>
    </w:p>
    <w:p w14:paraId="7ED39A2B" w14:textId="77777777" w:rsidR="00113A1E" w:rsidRPr="00E50994" w:rsidRDefault="00113A1E" w:rsidP="00063CB5">
      <w:pPr>
        <w:ind w:left="426"/>
        <w:jc w:val="both"/>
        <w:rPr>
          <w:rFonts w:ascii="Times New Roman" w:hAnsi="Times New Roman" w:cs="Times New Roman"/>
          <w:sz w:val="22"/>
          <w:szCs w:val="22"/>
        </w:rPr>
      </w:pPr>
    </w:p>
    <w:p w14:paraId="16CE6A6C" w14:textId="77777777" w:rsidR="00113A1E" w:rsidRPr="00E50994" w:rsidRDefault="00113A1E" w:rsidP="00063CB5">
      <w:pPr>
        <w:pStyle w:val="Prrafodelista"/>
        <w:numPr>
          <w:ilvl w:val="0"/>
          <w:numId w:val="30"/>
        </w:numPr>
        <w:ind w:left="426"/>
        <w:jc w:val="both"/>
        <w:rPr>
          <w:rFonts w:ascii="Times New Roman" w:hAnsi="Times New Roman" w:cs="Times New Roman"/>
        </w:rPr>
      </w:pPr>
      <w:r w:rsidRPr="00E50994">
        <w:rPr>
          <w:rFonts w:ascii="Times New Roman" w:hAnsi="Times New Roman" w:cs="Times New Roman"/>
        </w:rPr>
        <w:lastRenderedPageBreak/>
        <w:t>China.  Durante el 2019 el crecimiento económico estuvo marcado por la guerra comercial, misma que propició un crecimiento del PIB de 6.1%, el ritmo más bajo en 29 años, atestiguando tanto la progresiva desaceleración, como lo vertiginoso de su velocidad en las últimas décadas.  Pese a representar otro escalón descendente en la serie histórica, los datos de 2019 cumplen con los pronósticos del Gobierno, que había fijado sus ambiciones entre un 6.5% y un 6%. Así, China se mantiene en la senda que le permitirá lograr el objetivo de doblar su tamaño en 2020 respecto a una década atrás. Los datos también están en consonancia con las previsiones del Fondo Monetario Internacional y del Banco Mundial.</w:t>
      </w:r>
    </w:p>
    <w:p w14:paraId="07D55C06" w14:textId="77777777" w:rsidR="00113A1E" w:rsidRPr="00E50994" w:rsidRDefault="00113A1E" w:rsidP="00063CB5">
      <w:pPr>
        <w:ind w:left="426"/>
        <w:jc w:val="both"/>
        <w:rPr>
          <w:rFonts w:ascii="Times New Roman" w:hAnsi="Times New Roman" w:cs="Times New Roman"/>
          <w:sz w:val="22"/>
          <w:szCs w:val="22"/>
          <w:lang w:val="es-GT"/>
        </w:rPr>
      </w:pPr>
    </w:p>
    <w:p w14:paraId="1F37FACB" w14:textId="77777777" w:rsidR="001D2C47" w:rsidRPr="00E50994" w:rsidRDefault="00113A1E" w:rsidP="00063CB5">
      <w:pPr>
        <w:pStyle w:val="Prrafodelista"/>
        <w:numPr>
          <w:ilvl w:val="0"/>
          <w:numId w:val="30"/>
        </w:numPr>
        <w:ind w:left="426"/>
        <w:jc w:val="both"/>
        <w:rPr>
          <w:rFonts w:ascii="Times New Roman" w:hAnsi="Times New Roman" w:cs="Times New Roman"/>
          <w:color w:val="FF0000"/>
        </w:rPr>
      </w:pPr>
      <w:r w:rsidRPr="00E50994">
        <w:rPr>
          <w:rFonts w:ascii="Times New Roman" w:hAnsi="Times New Roman" w:cs="Times New Roman"/>
        </w:rPr>
        <w:t>Latinoamérica.  La región se caracterizó por la incertidumbre en torno a las políticas económicas de algunos países que siguen limitando el crecimiento, lo cual se refleja en los datos económicos de 2019.  La incertidumbre en cuanto a reformas y políticas económicas de Brasil y México probablemente contribuyó a la desaceleración del crecimiento del producto interno bruto y la inversión en el 2019, esa incertidumbre también se dio en Chile, debido a tensiones sociales. El Fondo Monetario Internacional destacó que la economía de la región disminuyó en un promedio de 0.6% anual durante los últimos cinco años. Además, colocó a Bolivia, Colombia y Ecuador en esa misma categoría, al asegurar que hay cierto suspenso conforme los gobiernos de estos países consideran opciones de reformas para hacer que el crecimiento sea más inclusivo y para atender demandas sociales.  Respecto al escenario para 2020, para Argentina se espera con una contracción del 1.3% mientras que en Colombia se proyecta un crecimiento del 3.5% gracias a las remesas, las obras civiles, la migración venezolana y el aumento de la inversión, entre otras cosas. México crecerá un 1% y Chile un 0.9%.</w:t>
      </w:r>
    </w:p>
    <w:p w14:paraId="419D0275" w14:textId="77777777" w:rsidR="0032588B" w:rsidRPr="00113A1E" w:rsidRDefault="0032588B" w:rsidP="000B5E1C">
      <w:pPr>
        <w:rPr>
          <w:rFonts w:ascii="Times New Roman" w:hAnsi="Times New Roman" w:cs="Times New Roman"/>
          <w:color w:val="FF0000"/>
          <w:sz w:val="22"/>
          <w:lang w:val="es-MX"/>
        </w:rPr>
      </w:pPr>
    </w:p>
    <w:p w14:paraId="3F740BA2" w14:textId="77777777" w:rsidR="001D2C47" w:rsidRPr="00113A1E" w:rsidRDefault="001D2C47" w:rsidP="00063CB5">
      <w:pPr>
        <w:pStyle w:val="Ttulo2"/>
        <w:numPr>
          <w:ilvl w:val="1"/>
          <w:numId w:val="10"/>
        </w:numPr>
        <w:spacing w:before="0"/>
        <w:ind w:left="567"/>
        <w:rPr>
          <w:rFonts w:ascii="Times New Roman" w:hAnsi="Times New Roman" w:cs="Times New Roman"/>
          <w:color w:val="FF0000"/>
          <w:sz w:val="24"/>
        </w:rPr>
      </w:pPr>
      <w:bookmarkStart w:id="219" w:name="_Toc32230920"/>
      <w:r w:rsidRPr="00113A1E">
        <w:rPr>
          <w:rFonts w:ascii="Times New Roman" w:hAnsi="Times New Roman" w:cs="Times New Roman"/>
          <w:color w:val="auto"/>
          <w:sz w:val="24"/>
        </w:rPr>
        <w:t>Principales indicadores Macroeconómicos y Fiscales de la región</w:t>
      </w:r>
      <w:bookmarkEnd w:id="219"/>
      <w:r w:rsidRPr="00113A1E">
        <w:rPr>
          <w:rFonts w:ascii="Times New Roman" w:hAnsi="Times New Roman" w:cs="Times New Roman"/>
          <w:color w:val="auto"/>
          <w:sz w:val="24"/>
        </w:rPr>
        <w:t xml:space="preserve"> </w:t>
      </w:r>
    </w:p>
    <w:p w14:paraId="61EF2A7A" w14:textId="77777777" w:rsidR="001D2C47" w:rsidRPr="00113A1E" w:rsidRDefault="001D2C47" w:rsidP="001D2C47">
      <w:pPr>
        <w:rPr>
          <w:color w:val="FF0000"/>
        </w:rPr>
      </w:pPr>
    </w:p>
    <w:p w14:paraId="2F3D885A" w14:textId="77777777" w:rsidR="001D2C47" w:rsidRPr="00E50994" w:rsidRDefault="00113A1E" w:rsidP="00E50994">
      <w:pPr>
        <w:jc w:val="both"/>
        <w:rPr>
          <w:rFonts w:ascii="Times New Roman" w:hAnsi="Times New Roman" w:cs="Times New Roman"/>
          <w:sz w:val="22"/>
          <w:szCs w:val="22"/>
        </w:rPr>
      </w:pPr>
      <w:r w:rsidRPr="00E50994">
        <w:rPr>
          <w:rFonts w:ascii="Times New Roman" w:hAnsi="Times New Roman" w:cs="Times New Roman"/>
          <w:sz w:val="22"/>
          <w:szCs w:val="22"/>
        </w:rPr>
        <w:t>Los países de América Latina y el Caribe han enfrentado un escenario económico mundial complejo en el cual se observa una reducción de la dinámica del crecimiento, tanto de los países desarrollados como de las economías emergentes, acompañada por un aumento en la volatilidad de los mercados financieros internacionales. A esto se suma el debilitamiento estructural del comercio internacional, agravado por las tensiones comerciales entre los Estados Unidos y China.  En este contexto, el crecimiento económico de Centroamérica incluyendo República Dominicana alcanzará 3.2% en 2019 y 3.9% en 2020, según proyecciones del Fondo Monetario Internacional, atribuido al inicio de operaciones de una importante mina de cobre de Panamá y a las políticas monetarias de Costa Rica y la economía dominicana.</w:t>
      </w:r>
    </w:p>
    <w:p w14:paraId="66A4AC1A" w14:textId="0BD8C8B7" w:rsidR="00063CB5" w:rsidRDefault="00063CB5" w:rsidP="001D2C47">
      <w:pPr>
        <w:rPr>
          <w:rFonts w:ascii="Times New Roman" w:hAnsi="Times New Roman" w:cs="Times New Roman"/>
          <w:color w:val="FF0000"/>
        </w:rPr>
      </w:pPr>
    </w:p>
    <w:p w14:paraId="1698D24D" w14:textId="0E9179CE" w:rsidR="003A2B85" w:rsidRDefault="003A2B85" w:rsidP="001D2C47">
      <w:pPr>
        <w:rPr>
          <w:rFonts w:ascii="Times New Roman" w:hAnsi="Times New Roman" w:cs="Times New Roman"/>
          <w:color w:val="FF0000"/>
        </w:rPr>
      </w:pPr>
    </w:p>
    <w:p w14:paraId="7DFA84B0" w14:textId="79C08A1E" w:rsidR="003A2B85" w:rsidRDefault="003A2B85" w:rsidP="001D2C47">
      <w:pPr>
        <w:rPr>
          <w:rFonts w:ascii="Times New Roman" w:hAnsi="Times New Roman" w:cs="Times New Roman"/>
          <w:color w:val="FF0000"/>
        </w:rPr>
      </w:pPr>
    </w:p>
    <w:p w14:paraId="6A7F9AE1" w14:textId="77777777" w:rsidR="003A2B85" w:rsidRPr="00113A1E" w:rsidRDefault="003A2B85" w:rsidP="001D2C47">
      <w:pPr>
        <w:rPr>
          <w:rFonts w:ascii="Times New Roman" w:hAnsi="Times New Roman" w:cs="Times New Roman"/>
          <w:color w:val="FF0000"/>
        </w:rPr>
      </w:pPr>
    </w:p>
    <w:p w14:paraId="566B3F41" w14:textId="77777777" w:rsidR="001D2C47" w:rsidRPr="00AD6E9A" w:rsidRDefault="001D2C47" w:rsidP="001D2C47">
      <w:pPr>
        <w:jc w:val="center"/>
        <w:rPr>
          <w:rFonts w:ascii="Times New Roman" w:hAnsi="Times New Roman" w:cs="Times New Roman"/>
          <w:b/>
        </w:rPr>
      </w:pPr>
      <w:r w:rsidRPr="00AD6E9A">
        <w:rPr>
          <w:rFonts w:ascii="Times New Roman" w:hAnsi="Times New Roman" w:cs="Times New Roman"/>
          <w:b/>
        </w:rPr>
        <w:t>Principales indicadores Macroeconómicos y Fiscales de la región</w:t>
      </w:r>
    </w:p>
    <w:p w14:paraId="6B668A56" w14:textId="77777777" w:rsidR="00113A1E" w:rsidRPr="0034736C" w:rsidRDefault="00113A1E" w:rsidP="00113A1E">
      <w:pPr>
        <w:jc w:val="center"/>
        <w:rPr>
          <w:rFonts w:ascii="Times New Roman" w:hAnsi="Times New Roman" w:cs="Times New Roman"/>
          <w:sz w:val="18"/>
        </w:rPr>
      </w:pPr>
      <w:r w:rsidRPr="0034736C">
        <w:rPr>
          <w:rFonts w:ascii="Times New Roman" w:hAnsi="Times New Roman" w:cs="Times New Roman"/>
          <w:sz w:val="18"/>
        </w:rPr>
        <w:t>Millones de US$ y variación interanual</w:t>
      </w:r>
    </w:p>
    <w:p w14:paraId="57D5EA65" w14:textId="77777777" w:rsidR="001D2C47" w:rsidRPr="00AD6E9A" w:rsidRDefault="00AD6E9A" w:rsidP="00AD6E9A">
      <w:pPr>
        <w:jc w:val="center"/>
        <w:rPr>
          <w:rFonts w:ascii="Times New Roman" w:hAnsi="Times New Roman" w:cs="Times New Roman"/>
          <w:sz w:val="18"/>
        </w:rPr>
      </w:pPr>
      <w:r>
        <w:rPr>
          <w:rFonts w:ascii="Times New Roman" w:hAnsi="Times New Roman" w:cs="Times New Roman"/>
          <w:sz w:val="18"/>
        </w:rPr>
        <w:t>Cifras al III trimestre 2019</w:t>
      </w:r>
    </w:p>
    <w:p w14:paraId="448E06EC" w14:textId="77777777" w:rsidR="001D2C47" w:rsidRPr="00113A1E" w:rsidRDefault="00EF5CE1" w:rsidP="00E263F5">
      <w:pPr>
        <w:jc w:val="center"/>
        <w:rPr>
          <w:rFonts w:ascii="Times New Roman" w:hAnsi="Times New Roman" w:cs="Times New Roman"/>
          <w:color w:val="FF0000"/>
          <w:lang w:val="es-GT"/>
        </w:rPr>
      </w:pPr>
      <w:r w:rsidRPr="00EF5CE1">
        <w:rPr>
          <w:noProof/>
          <w:lang w:val="es-ES"/>
        </w:rPr>
        <w:lastRenderedPageBreak/>
        <w:drawing>
          <wp:inline distT="0" distB="0" distL="0" distR="0" wp14:anchorId="72E11B84" wp14:editId="40E98506">
            <wp:extent cx="5971540" cy="2566675"/>
            <wp:effectExtent l="0" t="0" r="0" b="508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540" cy="2566675"/>
                    </a:xfrm>
                    <a:prstGeom prst="rect">
                      <a:avLst/>
                    </a:prstGeom>
                    <a:noFill/>
                    <a:ln>
                      <a:noFill/>
                    </a:ln>
                  </pic:spPr>
                </pic:pic>
              </a:graphicData>
            </a:graphic>
          </wp:inline>
        </w:drawing>
      </w:r>
    </w:p>
    <w:p w14:paraId="17AC6A99" w14:textId="77777777" w:rsidR="001D2C47" w:rsidRPr="00113A1E" w:rsidRDefault="001D2C47" w:rsidP="001D2C47">
      <w:pPr>
        <w:rPr>
          <w:rFonts w:ascii="Times New Roman" w:hAnsi="Times New Roman" w:cs="Times New Roman"/>
          <w:sz w:val="16"/>
          <w:lang w:val="es-GT"/>
        </w:rPr>
      </w:pPr>
      <w:r w:rsidRPr="00113A1E">
        <w:rPr>
          <w:rFonts w:ascii="Times New Roman" w:hAnsi="Times New Roman" w:cs="Times New Roman"/>
          <w:sz w:val="16"/>
          <w:lang w:val="es-GT"/>
        </w:rPr>
        <w:t>Fuente: Banco Central de cada país, Consejo Monetario Centroamericano.</w:t>
      </w:r>
    </w:p>
    <w:p w14:paraId="4C822169" w14:textId="77777777" w:rsidR="00EF5CE1" w:rsidRPr="00113A1E" w:rsidRDefault="00EF5CE1" w:rsidP="001D2C47">
      <w:pPr>
        <w:rPr>
          <w:lang w:val="es-GT"/>
        </w:rPr>
      </w:pPr>
    </w:p>
    <w:p w14:paraId="37488AF8" w14:textId="77777777" w:rsidR="001D2C47" w:rsidRPr="00113A1E" w:rsidRDefault="00113A1E" w:rsidP="001D2C47">
      <w:pPr>
        <w:pStyle w:val="Ttulo2"/>
        <w:numPr>
          <w:ilvl w:val="1"/>
          <w:numId w:val="10"/>
        </w:numPr>
        <w:spacing w:before="0"/>
        <w:rPr>
          <w:rFonts w:ascii="Times New Roman" w:hAnsi="Times New Roman" w:cs="Times New Roman"/>
          <w:color w:val="FF0000"/>
          <w:sz w:val="24"/>
        </w:rPr>
      </w:pPr>
      <w:bookmarkStart w:id="220" w:name="_Toc32230921"/>
      <w:r w:rsidRPr="00113A1E">
        <w:rPr>
          <w:rFonts w:ascii="Times New Roman" w:hAnsi="Times New Roman" w:cs="Times New Roman"/>
          <w:color w:val="auto"/>
          <w:sz w:val="24"/>
        </w:rPr>
        <w:t>Entorno macroeconómico Nacional</w:t>
      </w:r>
      <w:bookmarkEnd w:id="220"/>
    </w:p>
    <w:p w14:paraId="75080D0E" w14:textId="77777777" w:rsidR="001D2C47" w:rsidRPr="00113A1E" w:rsidRDefault="001D2C47" w:rsidP="001D2C47">
      <w:pPr>
        <w:pStyle w:val="Ttulo2"/>
        <w:spacing w:before="0"/>
        <w:rPr>
          <w:rFonts w:ascii="Times New Roman" w:hAnsi="Times New Roman" w:cs="Times New Roman"/>
          <w:color w:val="FF0000"/>
          <w:sz w:val="24"/>
        </w:rPr>
      </w:pPr>
    </w:p>
    <w:p w14:paraId="50E9BE6E" w14:textId="77777777" w:rsid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Guatemala tuvo en 2019 una situación macroeconómica caracterizada por un crecimiento económico de 3.5%, superior con respecto al 3.1% del 2018, alcanzando su nivel potencial.  Este comportamiento se explica por el desempeño en el sector real y el sector externo. En el sector real la actividad económica más representativa fue el “Comercio al por mayor y al por menor, mantenimiento y reparación de vehículos automotores y motocicletas” que tuvo un crecimiento importante en 2019, así mismo las actividades económicas con un buen desempeño a nivel crecimiento fueron la construcción; actividades de alojamiento y servicio de comidas; y actividades financieras y de seguros.</w:t>
      </w:r>
    </w:p>
    <w:p w14:paraId="323B74FA" w14:textId="77777777" w:rsidR="00AD6E9A" w:rsidRPr="00AD6E9A" w:rsidRDefault="00AD6E9A" w:rsidP="00AD6E9A">
      <w:pPr>
        <w:jc w:val="both"/>
        <w:rPr>
          <w:rFonts w:ascii="Times New Roman" w:hAnsi="Times New Roman" w:cs="Times New Roman"/>
          <w:sz w:val="22"/>
          <w:szCs w:val="22"/>
        </w:rPr>
      </w:pPr>
    </w:p>
    <w:p w14:paraId="2E036DB1" w14:textId="77777777" w:rsid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Asimismo, el PIB por el destino del gasto para 2019, mostró que el consumo privado y la formación bruta de capital fijo crecieron 4.1% y 4.7%, respectivamente, ambos mayores al 2018. Por su parte, el sector externo, hubo un deterioro en la balanza comercial debido a que las importaciones tuvieron un crecimiento de 4.2%, mientras que las exportaciones cayeron 0.8%.</w:t>
      </w:r>
      <w:r w:rsidR="00063CB5">
        <w:rPr>
          <w:rFonts w:ascii="Times New Roman" w:hAnsi="Times New Roman" w:cs="Times New Roman"/>
          <w:sz w:val="22"/>
          <w:szCs w:val="22"/>
        </w:rPr>
        <w:t xml:space="preserve"> </w:t>
      </w:r>
      <w:r w:rsidRPr="00AD6E9A">
        <w:rPr>
          <w:rFonts w:ascii="Times New Roman" w:hAnsi="Times New Roman" w:cs="Times New Roman"/>
          <w:sz w:val="22"/>
          <w:szCs w:val="22"/>
        </w:rPr>
        <w:t>Es importante observar que, si bien se desaceleró el crédito bancario al sector privado en 2019, este tuvo una mayor orientación a créditos de empresarial mayor y al sector de la construcción.</w:t>
      </w:r>
    </w:p>
    <w:p w14:paraId="5493F518" w14:textId="77777777" w:rsidR="00AD6E9A" w:rsidRPr="00AD6E9A" w:rsidRDefault="00AD6E9A" w:rsidP="00AD6E9A">
      <w:pPr>
        <w:jc w:val="both"/>
        <w:rPr>
          <w:rFonts w:ascii="Times New Roman" w:hAnsi="Times New Roman" w:cs="Times New Roman"/>
          <w:sz w:val="22"/>
          <w:szCs w:val="22"/>
        </w:rPr>
      </w:pPr>
    </w:p>
    <w:p w14:paraId="4B2E72BC" w14:textId="77777777" w:rsid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 xml:space="preserve">Por otro lado, las remesas familiares han tenido durante los dos últimos años un crecimiento moderado derivado entre otras cosas por las amenazas de políticas </w:t>
      </w:r>
      <w:r w:rsidR="00C71D5C" w:rsidRPr="00AD6E9A">
        <w:rPr>
          <w:rFonts w:ascii="Times New Roman" w:hAnsi="Times New Roman" w:cs="Times New Roman"/>
          <w:sz w:val="22"/>
          <w:szCs w:val="22"/>
        </w:rPr>
        <w:t>anti migratorias</w:t>
      </w:r>
      <w:r w:rsidRPr="00AD6E9A">
        <w:rPr>
          <w:rFonts w:ascii="Times New Roman" w:hAnsi="Times New Roman" w:cs="Times New Roman"/>
          <w:sz w:val="22"/>
          <w:szCs w:val="22"/>
        </w:rPr>
        <w:t xml:space="preserve"> de EEUU, esto y la leve recuperación en el desempeño de las exportaciones y el lento crecimiento en las importaciones, explica la recuperación en la tasa de crecimiento de las reservas monetarias internacionales en 2019, que se ubicó en 15.8%.</w:t>
      </w:r>
      <w:r w:rsidR="00063CB5">
        <w:rPr>
          <w:rFonts w:ascii="Times New Roman" w:hAnsi="Times New Roman" w:cs="Times New Roman"/>
          <w:sz w:val="22"/>
          <w:szCs w:val="22"/>
        </w:rPr>
        <w:t xml:space="preserve">  </w:t>
      </w:r>
      <w:r w:rsidRPr="00AD6E9A">
        <w:rPr>
          <w:rFonts w:ascii="Times New Roman" w:hAnsi="Times New Roman" w:cs="Times New Roman"/>
          <w:sz w:val="22"/>
          <w:szCs w:val="22"/>
        </w:rPr>
        <w:t>Es importante considerar que el Banco de Guatemala, quien lleva el registro del Sistema de Cuentas Nacionales –SCN-</w:t>
      </w:r>
      <w:r w:rsidR="00A20023">
        <w:rPr>
          <w:rFonts w:ascii="Times New Roman" w:hAnsi="Times New Roman" w:cs="Times New Roman"/>
          <w:sz w:val="22"/>
          <w:szCs w:val="22"/>
        </w:rPr>
        <w:t>,</w:t>
      </w:r>
      <w:r w:rsidRPr="00AD6E9A">
        <w:rPr>
          <w:rFonts w:ascii="Times New Roman" w:hAnsi="Times New Roman" w:cs="Times New Roman"/>
          <w:sz w:val="22"/>
          <w:szCs w:val="22"/>
        </w:rPr>
        <w:t xml:space="preserve"> tuvo un cambio metodológico al pasar del SCN 1993 al SCN 2008.  Asimismo, cambio el año base del 2001 al 2013, este cambio es representativo ya que modifica la manera en la cual se consolida y registra la información económica y financiera del país. El efecto del cambio del sistema afecta los niveles de las variables macroeconómicas y las interrelaciones entre el sector real con el sector fiscal. </w:t>
      </w:r>
    </w:p>
    <w:p w14:paraId="4FF4680B" w14:textId="77777777" w:rsidR="00AD6E9A" w:rsidRPr="00AD6E9A" w:rsidRDefault="00AD6E9A" w:rsidP="00AD6E9A">
      <w:pPr>
        <w:jc w:val="both"/>
        <w:rPr>
          <w:rFonts w:ascii="Times New Roman" w:hAnsi="Times New Roman" w:cs="Times New Roman"/>
          <w:sz w:val="22"/>
          <w:szCs w:val="22"/>
        </w:rPr>
      </w:pPr>
    </w:p>
    <w:p w14:paraId="6E484E5A" w14:textId="77777777" w:rsidR="00AD6E9A" w:rsidRP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 xml:space="preserve">Además, el SCN 2008 presenta una actualización y ampliación de los clasificadores de actividades y productos, así como la adopción de importantes recomendaciones a nivel internacional. Entre las principales innovaciones implementadas destaca: el cuadro de oferta y utilización con apertura de componente nacional e importado; la matriz insumo-producto; la medición directa del sector informal; la Matriz de Empleo e Ingresos (MEI) por actividad económica; y la armonización completa con la Balanza </w:t>
      </w:r>
      <w:r w:rsidRPr="00AD6E9A">
        <w:rPr>
          <w:rFonts w:ascii="Times New Roman" w:hAnsi="Times New Roman" w:cs="Times New Roman"/>
          <w:sz w:val="22"/>
          <w:szCs w:val="22"/>
        </w:rPr>
        <w:lastRenderedPageBreak/>
        <w:t>de Pagos, elaborada según la sexta edición del Manual de Balanza de Pagos y Posición de Inversión Internacional (MBP6), así como la contabilización de nuevos sectores tales como el sector informal y sector profesional.</w:t>
      </w:r>
    </w:p>
    <w:p w14:paraId="66F2C329" w14:textId="77777777" w:rsidR="00AD6E9A" w:rsidRPr="00AD6E9A" w:rsidRDefault="00AD6E9A" w:rsidP="00AD6E9A">
      <w:pPr>
        <w:jc w:val="both"/>
        <w:rPr>
          <w:rFonts w:ascii="Times New Roman" w:hAnsi="Times New Roman" w:cs="Times New Roman"/>
          <w:sz w:val="22"/>
          <w:szCs w:val="22"/>
        </w:rPr>
      </w:pPr>
    </w:p>
    <w:p w14:paraId="0A35EE77" w14:textId="77777777" w:rsidR="00C84436" w:rsidRPr="00C84436" w:rsidRDefault="00C84436" w:rsidP="00C84436">
      <w:pPr>
        <w:pStyle w:val="Prrafodelista"/>
        <w:numPr>
          <w:ilvl w:val="0"/>
          <w:numId w:val="36"/>
        </w:numPr>
        <w:jc w:val="both"/>
        <w:outlineLvl w:val="2"/>
        <w:rPr>
          <w:rFonts w:ascii="Times New Roman" w:hAnsi="Times New Roman" w:cs="Times New Roman"/>
          <w:b/>
          <w:vanish/>
        </w:rPr>
      </w:pPr>
      <w:bookmarkStart w:id="221" w:name="_Toc31624525"/>
      <w:bookmarkStart w:id="222" w:name="_Toc31625377"/>
      <w:bookmarkStart w:id="223" w:name="_Toc31626832"/>
      <w:bookmarkStart w:id="224" w:name="_Toc31811283"/>
      <w:bookmarkStart w:id="225" w:name="_Toc31811737"/>
      <w:bookmarkStart w:id="226" w:name="_Toc31971900"/>
      <w:bookmarkStart w:id="227" w:name="_Toc32230922"/>
      <w:bookmarkEnd w:id="221"/>
      <w:bookmarkEnd w:id="222"/>
      <w:bookmarkEnd w:id="223"/>
      <w:bookmarkEnd w:id="224"/>
      <w:bookmarkEnd w:id="225"/>
      <w:bookmarkEnd w:id="226"/>
      <w:bookmarkEnd w:id="227"/>
    </w:p>
    <w:p w14:paraId="5209F44A" w14:textId="77777777" w:rsidR="00C84436" w:rsidRPr="00C84436" w:rsidRDefault="00C84436" w:rsidP="00C84436">
      <w:pPr>
        <w:pStyle w:val="Prrafodelista"/>
        <w:numPr>
          <w:ilvl w:val="0"/>
          <w:numId w:val="36"/>
        </w:numPr>
        <w:jc w:val="both"/>
        <w:outlineLvl w:val="2"/>
        <w:rPr>
          <w:rFonts w:ascii="Times New Roman" w:hAnsi="Times New Roman" w:cs="Times New Roman"/>
          <w:b/>
          <w:vanish/>
        </w:rPr>
      </w:pPr>
      <w:bookmarkStart w:id="228" w:name="_Toc31624526"/>
      <w:bookmarkStart w:id="229" w:name="_Toc31625378"/>
      <w:bookmarkStart w:id="230" w:name="_Toc31626833"/>
      <w:bookmarkStart w:id="231" w:name="_Toc31811284"/>
      <w:bookmarkStart w:id="232" w:name="_Toc31811738"/>
      <w:bookmarkStart w:id="233" w:name="_Toc31971901"/>
      <w:bookmarkStart w:id="234" w:name="_Toc32230923"/>
      <w:bookmarkEnd w:id="228"/>
      <w:bookmarkEnd w:id="229"/>
      <w:bookmarkEnd w:id="230"/>
      <w:bookmarkEnd w:id="231"/>
      <w:bookmarkEnd w:id="232"/>
      <w:bookmarkEnd w:id="233"/>
      <w:bookmarkEnd w:id="234"/>
    </w:p>
    <w:p w14:paraId="62EDA966" w14:textId="77777777" w:rsidR="00C84436" w:rsidRPr="00C84436" w:rsidRDefault="00C84436" w:rsidP="00C84436">
      <w:pPr>
        <w:pStyle w:val="Prrafodelista"/>
        <w:numPr>
          <w:ilvl w:val="0"/>
          <w:numId w:val="36"/>
        </w:numPr>
        <w:jc w:val="both"/>
        <w:outlineLvl w:val="2"/>
        <w:rPr>
          <w:rFonts w:ascii="Times New Roman" w:hAnsi="Times New Roman" w:cs="Times New Roman"/>
          <w:b/>
          <w:vanish/>
        </w:rPr>
      </w:pPr>
      <w:bookmarkStart w:id="235" w:name="_Toc31624527"/>
      <w:bookmarkStart w:id="236" w:name="_Toc31625379"/>
      <w:bookmarkStart w:id="237" w:name="_Toc31626834"/>
      <w:bookmarkStart w:id="238" w:name="_Toc31811285"/>
      <w:bookmarkStart w:id="239" w:name="_Toc31811739"/>
      <w:bookmarkStart w:id="240" w:name="_Toc31971902"/>
      <w:bookmarkStart w:id="241" w:name="_Toc32230924"/>
      <w:bookmarkEnd w:id="235"/>
      <w:bookmarkEnd w:id="236"/>
      <w:bookmarkEnd w:id="237"/>
      <w:bookmarkEnd w:id="238"/>
      <w:bookmarkEnd w:id="239"/>
      <w:bookmarkEnd w:id="240"/>
      <w:bookmarkEnd w:id="241"/>
    </w:p>
    <w:p w14:paraId="5288AB2F" w14:textId="77777777" w:rsidR="00C84436" w:rsidRPr="00C84436" w:rsidRDefault="00C84436" w:rsidP="00C84436">
      <w:pPr>
        <w:pStyle w:val="Prrafodelista"/>
        <w:numPr>
          <w:ilvl w:val="0"/>
          <w:numId w:val="36"/>
        </w:numPr>
        <w:jc w:val="both"/>
        <w:outlineLvl w:val="2"/>
        <w:rPr>
          <w:rFonts w:ascii="Times New Roman" w:hAnsi="Times New Roman" w:cs="Times New Roman"/>
          <w:b/>
          <w:vanish/>
        </w:rPr>
      </w:pPr>
      <w:bookmarkStart w:id="242" w:name="_Toc31624528"/>
      <w:bookmarkStart w:id="243" w:name="_Toc31625380"/>
      <w:bookmarkStart w:id="244" w:name="_Toc31626835"/>
      <w:bookmarkStart w:id="245" w:name="_Toc31811286"/>
      <w:bookmarkStart w:id="246" w:name="_Toc31811740"/>
      <w:bookmarkStart w:id="247" w:name="_Toc31971903"/>
      <w:bookmarkStart w:id="248" w:name="_Toc32230925"/>
      <w:bookmarkEnd w:id="242"/>
      <w:bookmarkEnd w:id="243"/>
      <w:bookmarkEnd w:id="244"/>
      <w:bookmarkEnd w:id="245"/>
      <w:bookmarkEnd w:id="246"/>
      <w:bookmarkEnd w:id="247"/>
      <w:bookmarkEnd w:id="248"/>
    </w:p>
    <w:p w14:paraId="601C10F3" w14:textId="77777777" w:rsidR="00C84436" w:rsidRPr="00C84436" w:rsidRDefault="00C84436" w:rsidP="00C84436">
      <w:pPr>
        <w:pStyle w:val="Prrafodelista"/>
        <w:numPr>
          <w:ilvl w:val="1"/>
          <w:numId w:val="36"/>
        </w:numPr>
        <w:jc w:val="both"/>
        <w:outlineLvl w:val="2"/>
        <w:rPr>
          <w:rFonts w:ascii="Times New Roman" w:hAnsi="Times New Roman" w:cs="Times New Roman"/>
          <w:b/>
          <w:vanish/>
        </w:rPr>
      </w:pPr>
      <w:bookmarkStart w:id="249" w:name="_Toc31624529"/>
      <w:bookmarkStart w:id="250" w:name="_Toc31625381"/>
      <w:bookmarkStart w:id="251" w:name="_Toc31626836"/>
      <w:bookmarkStart w:id="252" w:name="_Toc31811287"/>
      <w:bookmarkStart w:id="253" w:name="_Toc31811741"/>
      <w:bookmarkStart w:id="254" w:name="_Toc31971904"/>
      <w:bookmarkStart w:id="255" w:name="_Toc32230926"/>
      <w:bookmarkEnd w:id="249"/>
      <w:bookmarkEnd w:id="250"/>
      <w:bookmarkEnd w:id="251"/>
      <w:bookmarkEnd w:id="252"/>
      <w:bookmarkEnd w:id="253"/>
      <w:bookmarkEnd w:id="254"/>
      <w:bookmarkEnd w:id="255"/>
    </w:p>
    <w:p w14:paraId="2FC3232E" w14:textId="77777777" w:rsidR="00C84436" w:rsidRPr="00C84436" w:rsidRDefault="00C84436" w:rsidP="00C84436">
      <w:pPr>
        <w:pStyle w:val="Prrafodelista"/>
        <w:numPr>
          <w:ilvl w:val="1"/>
          <w:numId w:val="36"/>
        </w:numPr>
        <w:jc w:val="both"/>
        <w:outlineLvl w:val="2"/>
        <w:rPr>
          <w:rFonts w:ascii="Times New Roman" w:hAnsi="Times New Roman" w:cs="Times New Roman"/>
          <w:b/>
          <w:vanish/>
        </w:rPr>
      </w:pPr>
      <w:bookmarkStart w:id="256" w:name="_Toc31624530"/>
      <w:bookmarkStart w:id="257" w:name="_Toc31625382"/>
      <w:bookmarkStart w:id="258" w:name="_Toc31626837"/>
      <w:bookmarkStart w:id="259" w:name="_Toc31811288"/>
      <w:bookmarkStart w:id="260" w:name="_Toc31811742"/>
      <w:bookmarkStart w:id="261" w:name="_Toc31971905"/>
      <w:bookmarkStart w:id="262" w:name="_Toc32230927"/>
      <w:bookmarkEnd w:id="256"/>
      <w:bookmarkEnd w:id="257"/>
      <w:bookmarkEnd w:id="258"/>
      <w:bookmarkEnd w:id="259"/>
      <w:bookmarkEnd w:id="260"/>
      <w:bookmarkEnd w:id="261"/>
      <w:bookmarkEnd w:id="262"/>
    </w:p>
    <w:p w14:paraId="6C295A93" w14:textId="77777777" w:rsidR="00C84436" w:rsidRPr="00C84436" w:rsidRDefault="00C84436" w:rsidP="00C84436">
      <w:pPr>
        <w:pStyle w:val="Prrafodelista"/>
        <w:numPr>
          <w:ilvl w:val="1"/>
          <w:numId w:val="36"/>
        </w:numPr>
        <w:jc w:val="both"/>
        <w:outlineLvl w:val="2"/>
        <w:rPr>
          <w:rFonts w:ascii="Times New Roman" w:hAnsi="Times New Roman" w:cs="Times New Roman"/>
          <w:b/>
          <w:vanish/>
        </w:rPr>
      </w:pPr>
      <w:bookmarkStart w:id="263" w:name="_Toc31624531"/>
      <w:bookmarkStart w:id="264" w:name="_Toc31625383"/>
      <w:bookmarkStart w:id="265" w:name="_Toc31626838"/>
      <w:bookmarkStart w:id="266" w:name="_Toc31811289"/>
      <w:bookmarkStart w:id="267" w:name="_Toc31811743"/>
      <w:bookmarkStart w:id="268" w:name="_Toc31971906"/>
      <w:bookmarkStart w:id="269" w:name="_Toc32230928"/>
      <w:bookmarkEnd w:id="263"/>
      <w:bookmarkEnd w:id="264"/>
      <w:bookmarkEnd w:id="265"/>
      <w:bookmarkEnd w:id="266"/>
      <w:bookmarkEnd w:id="267"/>
      <w:bookmarkEnd w:id="268"/>
      <w:bookmarkEnd w:id="269"/>
    </w:p>
    <w:p w14:paraId="0984A275" w14:textId="77777777" w:rsidR="00C84436" w:rsidRPr="00C84436" w:rsidRDefault="00C84436" w:rsidP="00C84436">
      <w:pPr>
        <w:pStyle w:val="Prrafodelista"/>
        <w:numPr>
          <w:ilvl w:val="1"/>
          <w:numId w:val="36"/>
        </w:numPr>
        <w:jc w:val="both"/>
        <w:outlineLvl w:val="2"/>
        <w:rPr>
          <w:rFonts w:ascii="Times New Roman" w:hAnsi="Times New Roman" w:cs="Times New Roman"/>
          <w:b/>
          <w:vanish/>
        </w:rPr>
      </w:pPr>
      <w:bookmarkStart w:id="270" w:name="_Toc31624532"/>
      <w:bookmarkStart w:id="271" w:name="_Toc31625384"/>
      <w:bookmarkStart w:id="272" w:name="_Toc31626839"/>
      <w:bookmarkStart w:id="273" w:name="_Toc31811290"/>
      <w:bookmarkStart w:id="274" w:name="_Toc31811744"/>
      <w:bookmarkStart w:id="275" w:name="_Toc31971907"/>
      <w:bookmarkStart w:id="276" w:name="_Toc32230929"/>
      <w:bookmarkEnd w:id="270"/>
      <w:bookmarkEnd w:id="271"/>
      <w:bookmarkEnd w:id="272"/>
      <w:bookmarkEnd w:id="273"/>
      <w:bookmarkEnd w:id="274"/>
      <w:bookmarkEnd w:id="275"/>
      <w:bookmarkEnd w:id="276"/>
    </w:p>
    <w:p w14:paraId="40590918" w14:textId="77777777" w:rsidR="00AD6E9A" w:rsidRPr="00473867" w:rsidRDefault="00473867" w:rsidP="00C84436">
      <w:pPr>
        <w:pStyle w:val="Prrafodelista"/>
        <w:numPr>
          <w:ilvl w:val="2"/>
          <w:numId w:val="36"/>
        </w:numPr>
        <w:ind w:left="851"/>
        <w:jc w:val="both"/>
        <w:outlineLvl w:val="2"/>
        <w:rPr>
          <w:rFonts w:ascii="Times New Roman" w:hAnsi="Times New Roman" w:cs="Times New Roman"/>
          <w:b/>
        </w:rPr>
      </w:pPr>
      <w:r w:rsidRPr="00473867">
        <w:rPr>
          <w:rFonts w:ascii="Times New Roman" w:hAnsi="Times New Roman" w:cs="Times New Roman"/>
          <w:b/>
        </w:rPr>
        <w:t xml:space="preserve"> </w:t>
      </w:r>
      <w:bookmarkStart w:id="277" w:name="_Toc32230930"/>
      <w:r w:rsidR="00AD6E9A" w:rsidRPr="00473867">
        <w:rPr>
          <w:rFonts w:ascii="Times New Roman" w:hAnsi="Times New Roman" w:cs="Times New Roman"/>
          <w:b/>
        </w:rPr>
        <w:t>Economía alcanza su nivel potencial</w:t>
      </w:r>
      <w:bookmarkEnd w:id="277"/>
    </w:p>
    <w:p w14:paraId="32BEA61A" w14:textId="77777777" w:rsidR="00473867" w:rsidRPr="00473867" w:rsidRDefault="00473867" w:rsidP="00473867">
      <w:pPr>
        <w:pStyle w:val="Prrafodelista"/>
        <w:ind w:left="851"/>
        <w:jc w:val="both"/>
        <w:rPr>
          <w:rFonts w:ascii="Times New Roman" w:hAnsi="Times New Roman" w:cs="Times New Roman"/>
        </w:rPr>
      </w:pPr>
    </w:p>
    <w:p w14:paraId="56F6F8C1" w14:textId="1FCBA5D9" w:rsidR="00AD6E9A" w:rsidRDefault="00063CB5" w:rsidP="00AD6E9A">
      <w:pPr>
        <w:jc w:val="both"/>
        <w:rPr>
          <w:rFonts w:ascii="Times New Roman" w:hAnsi="Times New Roman" w:cs="Times New Roman"/>
          <w:sz w:val="22"/>
          <w:szCs w:val="22"/>
        </w:rPr>
      </w:pPr>
      <w:r w:rsidRPr="00752FDC">
        <w:rPr>
          <w:rFonts w:ascii="Times New Roman" w:hAnsi="Times New Roman" w:cs="Times New Roman"/>
          <w:noProof/>
          <w:lang w:val="es-ES"/>
        </w:rPr>
        <w:drawing>
          <wp:anchor distT="0" distB="0" distL="114300" distR="114300" simplePos="0" relativeHeight="251650560" behindDoc="1" locked="0" layoutInCell="1" allowOverlap="1" wp14:anchorId="59A10A93" wp14:editId="277E3C46">
            <wp:simplePos x="0" y="0"/>
            <wp:positionH relativeFrom="column">
              <wp:posOffset>2232025</wp:posOffset>
            </wp:positionH>
            <wp:positionV relativeFrom="paragraph">
              <wp:posOffset>82026</wp:posOffset>
            </wp:positionV>
            <wp:extent cx="3728720" cy="1939925"/>
            <wp:effectExtent l="0" t="0" r="5080" b="3175"/>
            <wp:wrapTight wrapText="bothSides">
              <wp:wrapPolygon edited="0">
                <wp:start x="0" y="0"/>
                <wp:lineTo x="0" y="21423"/>
                <wp:lineTo x="21519" y="21423"/>
                <wp:lineTo x="21519" y="0"/>
                <wp:lineTo x="0" y="0"/>
              </wp:wrapPolygon>
            </wp:wrapTight>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AD6E9A" w:rsidRPr="00AD6E9A">
        <w:rPr>
          <w:rFonts w:ascii="Times New Roman" w:hAnsi="Times New Roman" w:cs="Times New Roman"/>
          <w:sz w:val="22"/>
          <w:szCs w:val="22"/>
        </w:rPr>
        <w:t>El Producto Interno Bruto real para el 2019 se presentó bajo la nueva modalidad del SCN 2008</w:t>
      </w:r>
      <w:r w:rsidR="00FF5F73">
        <w:rPr>
          <w:rFonts w:ascii="Times New Roman" w:hAnsi="Times New Roman" w:cs="Times New Roman"/>
          <w:sz w:val="22"/>
          <w:szCs w:val="22"/>
        </w:rPr>
        <w:t xml:space="preserve">, ello informado a este ministerio mediante oficio del Banco de Guatemala </w:t>
      </w:r>
      <w:r w:rsidR="003A2B85">
        <w:rPr>
          <w:rFonts w:ascii="Times New Roman" w:hAnsi="Times New Roman" w:cs="Times New Roman"/>
          <w:sz w:val="22"/>
          <w:szCs w:val="22"/>
        </w:rPr>
        <w:t>No</w:t>
      </w:r>
      <w:r w:rsidR="00FF5F73">
        <w:rPr>
          <w:rFonts w:ascii="Times New Roman" w:hAnsi="Times New Roman" w:cs="Times New Roman"/>
          <w:sz w:val="22"/>
          <w:szCs w:val="22"/>
        </w:rPr>
        <w:t>. 00214 de fecha 21 de enero del presente año</w:t>
      </w:r>
      <w:r w:rsidR="00AD6E9A" w:rsidRPr="00AD6E9A">
        <w:rPr>
          <w:rFonts w:ascii="Times New Roman" w:hAnsi="Times New Roman" w:cs="Times New Roman"/>
          <w:sz w:val="22"/>
          <w:szCs w:val="22"/>
        </w:rPr>
        <w:t xml:space="preserve"> y base 2013, </w:t>
      </w:r>
      <w:r w:rsidR="0054409D">
        <w:rPr>
          <w:rFonts w:ascii="Times New Roman" w:hAnsi="Times New Roman" w:cs="Times New Roman"/>
          <w:sz w:val="22"/>
          <w:szCs w:val="22"/>
        </w:rPr>
        <w:t>dejando de ser base oficial</w:t>
      </w:r>
      <w:r w:rsidR="00AD6E9A" w:rsidRPr="00AD6E9A">
        <w:rPr>
          <w:rFonts w:ascii="Times New Roman" w:hAnsi="Times New Roman" w:cs="Times New Roman"/>
          <w:sz w:val="22"/>
          <w:szCs w:val="22"/>
        </w:rPr>
        <w:t xml:space="preserve"> el SCN 1993 y la base 2001. Bajo </w:t>
      </w:r>
      <w:r w:rsidR="00FF5F73">
        <w:rPr>
          <w:rFonts w:ascii="Times New Roman" w:hAnsi="Times New Roman" w:cs="Times New Roman"/>
          <w:sz w:val="22"/>
          <w:szCs w:val="22"/>
        </w:rPr>
        <w:t xml:space="preserve">fue </w:t>
      </w:r>
      <w:r w:rsidR="003A2B85">
        <w:rPr>
          <w:rFonts w:ascii="Times New Roman" w:hAnsi="Times New Roman" w:cs="Times New Roman"/>
          <w:sz w:val="22"/>
          <w:szCs w:val="22"/>
        </w:rPr>
        <w:t>sustituido</w:t>
      </w:r>
      <w:r w:rsidR="00FF5F73">
        <w:rPr>
          <w:rFonts w:ascii="Times New Roman" w:hAnsi="Times New Roman" w:cs="Times New Roman"/>
          <w:sz w:val="22"/>
          <w:szCs w:val="22"/>
        </w:rPr>
        <w:t xml:space="preserve"> por la nueva base.  Con base a e</w:t>
      </w:r>
      <w:r w:rsidR="00AD6E9A" w:rsidRPr="00AD6E9A">
        <w:rPr>
          <w:rFonts w:ascii="Times New Roman" w:hAnsi="Times New Roman" w:cs="Times New Roman"/>
          <w:sz w:val="22"/>
          <w:szCs w:val="22"/>
        </w:rPr>
        <w:t xml:space="preserve">sa premisa se modificaron levemente los valores del crecimiento </w:t>
      </w:r>
      <w:r w:rsidR="00473867" w:rsidRPr="00AD6E9A">
        <w:rPr>
          <w:rFonts w:ascii="Times New Roman" w:hAnsi="Times New Roman" w:cs="Times New Roman"/>
          <w:sz w:val="22"/>
          <w:szCs w:val="22"/>
        </w:rPr>
        <w:t>económico</w:t>
      </w:r>
      <w:r w:rsidR="00AD6E9A" w:rsidRPr="00AD6E9A">
        <w:rPr>
          <w:rFonts w:ascii="Times New Roman" w:hAnsi="Times New Roman" w:cs="Times New Roman"/>
          <w:sz w:val="22"/>
          <w:szCs w:val="22"/>
        </w:rPr>
        <w:t xml:space="preserve"> de años anteriores. Para el año 2019 se registró un crecimiento económico de 3.53% con respecto al 2018.</w:t>
      </w:r>
    </w:p>
    <w:p w14:paraId="5BB1DEA0" w14:textId="77777777" w:rsidR="00063CB5" w:rsidRPr="00AD6E9A" w:rsidRDefault="00063CB5" w:rsidP="00AD6E9A">
      <w:pPr>
        <w:jc w:val="both"/>
        <w:rPr>
          <w:rFonts w:ascii="Times New Roman" w:hAnsi="Times New Roman" w:cs="Times New Roman"/>
          <w:sz w:val="22"/>
          <w:szCs w:val="22"/>
        </w:rPr>
      </w:pPr>
    </w:p>
    <w:p w14:paraId="62DEAE77" w14:textId="26FAB5A4" w:rsidR="00621318"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La actividad económica más representativa del PIB es “Comercio al por mayor y al por menor; mantenimiento y reparación de vehículos automotores y motocicletas” tuvo una tasa de crecimiento en 2019 de 3.7%, mayor en 0.5 puntos porcentuales que el 2018. Asimismo, las actividades económicas construcción; actividades de alojamiento y servicio de comidas; y actividades financieras y de seguros tuvieron una recuperación en sus tasas de crecimiento para el 2019 de 6.8%, 6.0% y 5.5% respectivamente, las cuales en 2018 se ubicaron en 4</w:t>
      </w:r>
      <w:r w:rsidRPr="00621318">
        <w:rPr>
          <w:rFonts w:ascii="Times New Roman" w:hAnsi="Times New Roman" w:cs="Times New Roman"/>
          <w:sz w:val="22"/>
          <w:szCs w:val="22"/>
        </w:rPr>
        <w:t xml:space="preserve">.5%, 3.7% y 3.8. Por otra parte, la explotación de minas y </w:t>
      </w:r>
      <w:r w:rsidR="00473867" w:rsidRPr="00621318">
        <w:rPr>
          <w:rFonts w:ascii="Times New Roman" w:hAnsi="Times New Roman" w:cs="Times New Roman"/>
          <w:sz w:val="22"/>
          <w:szCs w:val="22"/>
        </w:rPr>
        <w:t>canteras tuvo</w:t>
      </w:r>
      <w:r w:rsidRPr="00621318">
        <w:rPr>
          <w:rFonts w:ascii="Times New Roman" w:hAnsi="Times New Roman" w:cs="Times New Roman"/>
          <w:sz w:val="22"/>
          <w:szCs w:val="22"/>
        </w:rPr>
        <w:t xml:space="preserve"> una </w:t>
      </w:r>
      <w:r w:rsidR="00473867" w:rsidRPr="00621318">
        <w:rPr>
          <w:rFonts w:ascii="Times New Roman" w:hAnsi="Times New Roman" w:cs="Times New Roman"/>
          <w:sz w:val="22"/>
          <w:szCs w:val="22"/>
        </w:rPr>
        <w:t>drástica</w:t>
      </w:r>
      <w:r w:rsidRPr="00621318">
        <w:rPr>
          <w:rFonts w:ascii="Times New Roman" w:hAnsi="Times New Roman" w:cs="Times New Roman"/>
          <w:sz w:val="22"/>
          <w:szCs w:val="22"/>
        </w:rPr>
        <w:t xml:space="preserve"> variación en la tasa de crecimiento del 2018 al 2019 pasando de -32.1% a 7.3% respectivamente, sin </w:t>
      </w:r>
      <w:r w:rsidR="00473867" w:rsidRPr="00621318">
        <w:rPr>
          <w:rFonts w:ascii="Times New Roman" w:hAnsi="Times New Roman" w:cs="Times New Roman"/>
          <w:sz w:val="22"/>
          <w:szCs w:val="22"/>
        </w:rPr>
        <w:t>embargo,</w:t>
      </w:r>
      <w:r w:rsidRPr="00621318">
        <w:rPr>
          <w:rFonts w:ascii="Times New Roman" w:hAnsi="Times New Roman" w:cs="Times New Roman"/>
          <w:sz w:val="22"/>
          <w:szCs w:val="22"/>
        </w:rPr>
        <w:t xml:space="preserve"> esta actividad representa únicamente el 1% como proporción del PIB, además la actividad suministro de </w:t>
      </w:r>
      <w:r w:rsidR="00473867" w:rsidRPr="00621318">
        <w:rPr>
          <w:rFonts w:ascii="Times New Roman" w:hAnsi="Times New Roman" w:cs="Times New Roman"/>
          <w:sz w:val="22"/>
          <w:szCs w:val="22"/>
        </w:rPr>
        <w:t>electricidad, agua</w:t>
      </w:r>
      <w:r w:rsidRPr="00621318">
        <w:rPr>
          <w:rFonts w:ascii="Times New Roman" w:hAnsi="Times New Roman" w:cs="Times New Roman"/>
          <w:sz w:val="22"/>
          <w:szCs w:val="22"/>
        </w:rPr>
        <w:t xml:space="preserve"> y servicios de saneamiento tuvo </w:t>
      </w:r>
      <w:r w:rsidR="00473867" w:rsidRPr="00621318">
        <w:rPr>
          <w:rFonts w:ascii="Times New Roman" w:hAnsi="Times New Roman" w:cs="Times New Roman"/>
          <w:sz w:val="22"/>
          <w:szCs w:val="22"/>
        </w:rPr>
        <w:t>un decrecimiento</w:t>
      </w:r>
      <w:r w:rsidRPr="00621318">
        <w:rPr>
          <w:rFonts w:ascii="Times New Roman" w:hAnsi="Times New Roman" w:cs="Times New Roman"/>
          <w:sz w:val="22"/>
          <w:szCs w:val="22"/>
        </w:rPr>
        <w:t xml:space="preserve"> de 0.8% en 2019 respecto al 2018.</w:t>
      </w:r>
    </w:p>
    <w:p w14:paraId="13D80332" w14:textId="77777777" w:rsidR="00473867" w:rsidRPr="00473867" w:rsidRDefault="00473867" w:rsidP="00473867">
      <w:pPr>
        <w:pStyle w:val="Sinespaciado"/>
        <w:jc w:val="center"/>
        <w:rPr>
          <w:rFonts w:ascii="Times New Roman" w:hAnsi="Times New Roman" w:cs="Times New Roman"/>
          <w:b/>
          <w:sz w:val="24"/>
        </w:rPr>
      </w:pPr>
      <w:r w:rsidRPr="00473867">
        <w:rPr>
          <w:rFonts w:ascii="Times New Roman" w:hAnsi="Times New Roman" w:cs="Times New Roman"/>
          <w:b/>
          <w:sz w:val="24"/>
        </w:rPr>
        <w:t>Tasas de crecimiento de las actividades del producto interno bruto</w:t>
      </w:r>
    </w:p>
    <w:p w14:paraId="60FF4138" w14:textId="77777777" w:rsidR="00473867" w:rsidRPr="00752FDC" w:rsidRDefault="00473867" w:rsidP="00473867">
      <w:pPr>
        <w:pStyle w:val="Sinespaciado"/>
        <w:jc w:val="center"/>
        <w:rPr>
          <w:rFonts w:ascii="Times New Roman" w:hAnsi="Times New Roman" w:cs="Times New Roman"/>
          <w:b/>
        </w:rPr>
      </w:pPr>
      <w:r w:rsidRPr="00752FDC">
        <w:rPr>
          <w:rFonts w:ascii="Times New Roman" w:hAnsi="Times New Roman" w:cs="Times New Roman"/>
          <w:noProof/>
          <w:lang w:val="es-ES" w:eastAsia="es-ES"/>
        </w:rPr>
        <w:drawing>
          <wp:inline distT="0" distB="0" distL="0" distR="0" wp14:anchorId="18B6EEBA" wp14:editId="0D83BBCB">
            <wp:extent cx="4492487" cy="2695492"/>
            <wp:effectExtent l="0" t="0" r="3810" b="1016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B75FA0E" w14:textId="5155BCD6" w:rsidR="00473867" w:rsidRPr="00473867" w:rsidRDefault="00473867" w:rsidP="00473867">
      <w:pPr>
        <w:tabs>
          <w:tab w:val="left" w:pos="3495"/>
        </w:tabs>
        <w:jc w:val="both"/>
        <w:rPr>
          <w:rFonts w:ascii="Times New Roman" w:hAnsi="Times New Roman" w:cs="Times New Roman"/>
          <w:sz w:val="16"/>
        </w:rPr>
      </w:pPr>
      <w:r w:rsidRPr="00473867">
        <w:rPr>
          <w:rFonts w:ascii="Times New Roman" w:hAnsi="Times New Roman" w:cs="Times New Roman"/>
          <w:sz w:val="16"/>
        </w:rPr>
        <w:t xml:space="preserve">            </w:t>
      </w:r>
      <w:r w:rsidR="003A2B85">
        <w:rPr>
          <w:rFonts w:ascii="Times New Roman" w:hAnsi="Times New Roman" w:cs="Times New Roman"/>
          <w:sz w:val="16"/>
        </w:rPr>
        <w:t xml:space="preserve">                       </w:t>
      </w:r>
      <w:r w:rsidRPr="00473867">
        <w:rPr>
          <w:rFonts w:ascii="Times New Roman" w:hAnsi="Times New Roman" w:cs="Times New Roman"/>
          <w:sz w:val="16"/>
        </w:rPr>
        <w:t>Fuente: Elaboración propia con información del Banguat.</w:t>
      </w:r>
    </w:p>
    <w:p w14:paraId="3806B677" w14:textId="77777777" w:rsidR="00AD6E9A" w:rsidRPr="00AD6E9A" w:rsidRDefault="00AD6E9A" w:rsidP="00AD6E9A">
      <w:pPr>
        <w:jc w:val="both"/>
        <w:rPr>
          <w:rFonts w:ascii="Times New Roman" w:hAnsi="Times New Roman" w:cs="Times New Roman"/>
          <w:sz w:val="22"/>
          <w:szCs w:val="22"/>
        </w:rPr>
      </w:pPr>
    </w:p>
    <w:p w14:paraId="7492C2BA" w14:textId="77777777" w:rsid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lastRenderedPageBreak/>
        <w:t xml:space="preserve">Por otro lado, en el destino del gasto del PIB, el consumo privado tuvo un crecimiento en 2018 y 2019 de 3.7% y 4.2% respectivamente, lo cual muestra una mejora importante debido a que dicho consumo representa el 89% como proporción del PIB. La formación bruta de capital fijo que representa la inversión se mantuvo relativamente estable en cuanto a su tasa de crecimiento de 4.4% en 2018 a 4.7% en 2019, esto porque la parte de construcción creció 8.0% mientras que la maquinaria y equipo </w:t>
      </w:r>
      <w:r w:rsidR="00473867" w:rsidRPr="00AD6E9A">
        <w:rPr>
          <w:rFonts w:ascii="Times New Roman" w:hAnsi="Times New Roman" w:cs="Times New Roman"/>
          <w:sz w:val="22"/>
          <w:szCs w:val="22"/>
        </w:rPr>
        <w:t>cayó</w:t>
      </w:r>
      <w:r w:rsidRPr="00AD6E9A">
        <w:rPr>
          <w:rFonts w:ascii="Times New Roman" w:hAnsi="Times New Roman" w:cs="Times New Roman"/>
          <w:sz w:val="22"/>
          <w:szCs w:val="22"/>
        </w:rPr>
        <w:t xml:space="preserve"> 0.2% en el 2019, en comparación del 6.5% y 1.5% en el 2018, respectivamente. </w:t>
      </w:r>
    </w:p>
    <w:p w14:paraId="3D454F0F" w14:textId="77777777" w:rsidR="00473867" w:rsidRPr="00AD6E9A" w:rsidRDefault="00473867" w:rsidP="00AD6E9A">
      <w:pPr>
        <w:jc w:val="both"/>
        <w:rPr>
          <w:rFonts w:ascii="Times New Roman" w:hAnsi="Times New Roman" w:cs="Times New Roman"/>
          <w:sz w:val="22"/>
          <w:szCs w:val="22"/>
        </w:rPr>
      </w:pPr>
    </w:p>
    <w:p w14:paraId="26F6C519" w14:textId="77777777" w:rsid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En lo que respecta a la inflación, esta creció 3.41% en 2019 en comparación al 2.31% del 2018 y los pronósticos que realiza el Banco de Guatemala se ubica dentro del margen de tolerancia de la meta establecida por la Junta Monetaria (4.0% +/- 1 punto porcentual) y la expectativa permanece anclada, por su parte el PIB nominal creció 6.6% en 2019, mientras el en 2018 únicamente 4.3%.</w:t>
      </w:r>
    </w:p>
    <w:p w14:paraId="63F410F8" w14:textId="77777777" w:rsidR="00473867" w:rsidRPr="00AD6E9A" w:rsidRDefault="00473867" w:rsidP="00AD6E9A">
      <w:pPr>
        <w:jc w:val="both"/>
        <w:rPr>
          <w:rFonts w:ascii="Times New Roman" w:hAnsi="Times New Roman" w:cs="Times New Roman"/>
          <w:sz w:val="22"/>
          <w:szCs w:val="22"/>
        </w:rPr>
      </w:pPr>
    </w:p>
    <w:p w14:paraId="253BDF79" w14:textId="77777777" w:rsidR="00AD6E9A" w:rsidRP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Al analizar los deflactores de cada componente del PIB por el destino del Gasto se observa la evolución de los precios para cada uno. En general los precios del sector interno (consumo e inversión) han aumentado en mayor proporción que los del sector externo. Además, es importante indicar que la relación de términos de intercambio mejoró en 2019 con respecto al año anterior, ya que en 2018 este fue de 100.21% en comparación a 104.21% en 2019, lo cual indica que los precios de los productos guatemaltecos fueron mejor cotizados en 2019 respecto al 2018.</w:t>
      </w:r>
    </w:p>
    <w:p w14:paraId="04F8F595" w14:textId="77777777" w:rsidR="00AD6E9A" w:rsidRPr="00AD6E9A" w:rsidRDefault="00AD6E9A" w:rsidP="00AD6E9A">
      <w:pPr>
        <w:jc w:val="both"/>
        <w:rPr>
          <w:rFonts w:ascii="Times New Roman" w:hAnsi="Times New Roman" w:cs="Times New Roman"/>
          <w:sz w:val="22"/>
          <w:szCs w:val="22"/>
        </w:rPr>
      </w:pPr>
    </w:p>
    <w:p w14:paraId="5DF219B0" w14:textId="77777777" w:rsidR="00AD6E9A" w:rsidRPr="00473867" w:rsidRDefault="00AD6E9A" w:rsidP="00473867">
      <w:pPr>
        <w:pStyle w:val="Prrafodelista"/>
        <w:numPr>
          <w:ilvl w:val="2"/>
          <w:numId w:val="36"/>
        </w:numPr>
        <w:ind w:left="851" w:hanging="567"/>
        <w:jc w:val="both"/>
        <w:outlineLvl w:val="2"/>
        <w:rPr>
          <w:rFonts w:ascii="Times New Roman" w:hAnsi="Times New Roman" w:cs="Times New Roman"/>
          <w:b/>
        </w:rPr>
      </w:pPr>
      <w:bookmarkStart w:id="278" w:name="_Toc32230931"/>
      <w:r w:rsidRPr="00473867">
        <w:rPr>
          <w:rFonts w:ascii="Times New Roman" w:hAnsi="Times New Roman" w:cs="Times New Roman"/>
          <w:b/>
        </w:rPr>
        <w:t>Ralentización del comercio exterior</w:t>
      </w:r>
      <w:bookmarkEnd w:id="278"/>
    </w:p>
    <w:p w14:paraId="2BD0567F" w14:textId="77777777" w:rsidR="00473867" w:rsidRDefault="00473867" w:rsidP="00AD6E9A">
      <w:pPr>
        <w:jc w:val="both"/>
        <w:rPr>
          <w:rFonts w:ascii="Times New Roman" w:hAnsi="Times New Roman" w:cs="Times New Roman"/>
          <w:sz w:val="22"/>
          <w:szCs w:val="22"/>
        </w:rPr>
      </w:pPr>
    </w:p>
    <w:p w14:paraId="72930CA4" w14:textId="77777777" w:rsidR="00AD6E9A" w:rsidRDefault="00444BDC" w:rsidP="00AD6E9A">
      <w:pPr>
        <w:jc w:val="both"/>
        <w:rPr>
          <w:rFonts w:ascii="Times New Roman" w:hAnsi="Times New Roman" w:cs="Times New Roman"/>
          <w:sz w:val="22"/>
          <w:szCs w:val="22"/>
        </w:rPr>
      </w:pPr>
      <w:r w:rsidRPr="00752FDC">
        <w:rPr>
          <w:rFonts w:ascii="Times New Roman" w:hAnsi="Times New Roman" w:cs="Times New Roman"/>
          <w:noProof/>
          <w:color w:val="FF0000"/>
          <w:lang w:val="es-ES"/>
        </w:rPr>
        <w:drawing>
          <wp:anchor distT="0" distB="0" distL="114300" distR="114300" simplePos="0" relativeHeight="251656192" behindDoc="1" locked="0" layoutInCell="1" allowOverlap="1" wp14:anchorId="08B2437B" wp14:editId="39D3709E">
            <wp:simplePos x="0" y="0"/>
            <wp:positionH relativeFrom="column">
              <wp:posOffset>3090545</wp:posOffset>
            </wp:positionH>
            <wp:positionV relativeFrom="paragraph">
              <wp:posOffset>1327455</wp:posOffset>
            </wp:positionV>
            <wp:extent cx="2750185" cy="2321560"/>
            <wp:effectExtent l="0" t="0" r="0" b="2540"/>
            <wp:wrapTight wrapText="bothSides">
              <wp:wrapPolygon edited="0">
                <wp:start x="0" y="0"/>
                <wp:lineTo x="0" y="21446"/>
                <wp:lineTo x="21396" y="21446"/>
                <wp:lineTo x="21396" y="0"/>
                <wp:lineTo x="0" y="0"/>
              </wp:wrapPolygon>
            </wp:wrapTight>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AD6E9A" w:rsidRPr="00AD6E9A">
        <w:rPr>
          <w:rFonts w:ascii="Times New Roman" w:hAnsi="Times New Roman" w:cs="Times New Roman"/>
          <w:sz w:val="22"/>
          <w:szCs w:val="22"/>
        </w:rPr>
        <w:t xml:space="preserve">En el sector externo, las importaciones FOB (libre a bordo) tuvieron una tasa acumulada de crecimiento anual de 7.5% en 2018. Sin embargo, en 2019 el crecimiento disminuyó y la tasa acumulada anual fue de 2.0%.  Los productos que representan alrededor del 40% del total de las importaciones en el año 2019 fueron los vehículos y material de transporte (8.9%), máquinas y aparatos mecánicos para usos electrotécnicos (7.6%), materiales plásticos y sus manufacturas (6.4%), gasolina (6.3%), </w:t>
      </w:r>
      <w:r w:rsidR="00473867" w:rsidRPr="00AD6E9A">
        <w:rPr>
          <w:rFonts w:ascii="Times New Roman" w:hAnsi="Times New Roman" w:cs="Times New Roman"/>
          <w:sz w:val="22"/>
          <w:szCs w:val="22"/>
        </w:rPr>
        <w:t>diésel</w:t>
      </w:r>
      <w:r w:rsidR="00AD6E9A" w:rsidRPr="00AD6E9A">
        <w:rPr>
          <w:rFonts w:ascii="Times New Roman" w:hAnsi="Times New Roman" w:cs="Times New Roman"/>
          <w:sz w:val="22"/>
          <w:szCs w:val="22"/>
        </w:rPr>
        <w:t xml:space="preserve"> (5.6%) y los productos diversos de la industria química (4.5%), todos estos productos tuvieron una fuerte disminución en las tasas acumuladas de variación a partir del año 2018 de tal manera que para el 2019 estas eran negativas. Lo que explica en parte la desaceleración en el crecimiento de las importaciones FOB en general.</w:t>
      </w:r>
    </w:p>
    <w:p w14:paraId="0E58ECDD" w14:textId="77777777" w:rsidR="00473867" w:rsidRDefault="00621318" w:rsidP="00AD6E9A">
      <w:pPr>
        <w:jc w:val="both"/>
        <w:rPr>
          <w:rFonts w:ascii="Times New Roman" w:hAnsi="Times New Roman" w:cs="Times New Roman"/>
          <w:sz w:val="22"/>
          <w:szCs w:val="22"/>
        </w:rPr>
      </w:pPr>
      <w:r w:rsidRPr="00752FDC">
        <w:rPr>
          <w:rFonts w:ascii="Times New Roman" w:hAnsi="Times New Roman" w:cs="Times New Roman"/>
          <w:noProof/>
          <w:color w:val="FF0000"/>
          <w:lang w:val="es-ES"/>
        </w:rPr>
        <w:drawing>
          <wp:anchor distT="0" distB="0" distL="114300" distR="114300" simplePos="0" relativeHeight="251654144" behindDoc="1" locked="0" layoutInCell="1" allowOverlap="1" wp14:anchorId="7F943A4E" wp14:editId="748DCB87">
            <wp:simplePos x="0" y="0"/>
            <wp:positionH relativeFrom="column">
              <wp:posOffset>215900</wp:posOffset>
            </wp:positionH>
            <wp:positionV relativeFrom="paragraph">
              <wp:posOffset>107177</wp:posOffset>
            </wp:positionV>
            <wp:extent cx="2779395" cy="2259965"/>
            <wp:effectExtent l="0" t="0" r="1905" b="6985"/>
            <wp:wrapTight wrapText="bothSides">
              <wp:wrapPolygon edited="0">
                <wp:start x="0" y="0"/>
                <wp:lineTo x="0" y="21485"/>
                <wp:lineTo x="21467" y="21485"/>
                <wp:lineTo x="21467" y="0"/>
                <wp:lineTo x="0" y="0"/>
              </wp:wrapPolygon>
            </wp:wrapTight>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04838260" w14:textId="77777777" w:rsidR="00AD6E9A" w:rsidRPr="00BD4D7B" w:rsidRDefault="00444BDC" w:rsidP="00AD6E9A">
      <w:pPr>
        <w:jc w:val="both"/>
        <w:rPr>
          <w:rFonts w:ascii="Times New Roman" w:hAnsi="Times New Roman" w:cs="Times New Roman"/>
          <w:sz w:val="22"/>
          <w:szCs w:val="22"/>
        </w:rPr>
      </w:pPr>
      <w:r w:rsidRPr="00BD4D7B">
        <w:rPr>
          <w:rFonts w:ascii="Times New Roman" w:hAnsi="Times New Roman" w:cs="Times New Roman"/>
          <w:sz w:val="22"/>
          <w:szCs w:val="22"/>
        </w:rPr>
        <w:t>El valor de las importaciones se ve afectado significativamente por el comportamiento de los precios internacionales del petróleo y sus derivad</w:t>
      </w:r>
      <w:r w:rsidR="00474CD6" w:rsidRPr="00BD4D7B">
        <w:rPr>
          <w:rFonts w:ascii="Times New Roman" w:hAnsi="Times New Roman" w:cs="Times New Roman"/>
          <w:sz w:val="22"/>
          <w:szCs w:val="22"/>
        </w:rPr>
        <w:t xml:space="preserve">os, y por ende </w:t>
      </w:r>
      <w:r w:rsidR="006E7C12">
        <w:rPr>
          <w:rFonts w:ascii="Times New Roman" w:hAnsi="Times New Roman" w:cs="Times New Roman"/>
          <w:sz w:val="22"/>
          <w:szCs w:val="22"/>
        </w:rPr>
        <w:t xml:space="preserve">esto afecta a los </w:t>
      </w:r>
      <w:r w:rsidR="00474CD6" w:rsidRPr="00BD4D7B">
        <w:rPr>
          <w:rFonts w:ascii="Times New Roman" w:hAnsi="Times New Roman" w:cs="Times New Roman"/>
          <w:sz w:val="22"/>
          <w:szCs w:val="22"/>
        </w:rPr>
        <w:t>impuestos asociados al comercio exterior de estos productos.</w:t>
      </w:r>
      <w:r w:rsidRPr="00BD4D7B">
        <w:rPr>
          <w:rFonts w:ascii="Times New Roman" w:hAnsi="Times New Roman" w:cs="Times New Roman"/>
          <w:sz w:val="22"/>
          <w:szCs w:val="22"/>
        </w:rPr>
        <w:t xml:space="preserve"> </w:t>
      </w:r>
      <w:r w:rsidR="00AD6E9A" w:rsidRPr="00BD4D7B">
        <w:rPr>
          <w:rFonts w:ascii="Times New Roman" w:hAnsi="Times New Roman" w:cs="Times New Roman"/>
          <w:sz w:val="22"/>
          <w:szCs w:val="22"/>
        </w:rPr>
        <w:t xml:space="preserve"> </w:t>
      </w:r>
    </w:p>
    <w:p w14:paraId="442D572B" w14:textId="77777777" w:rsidR="00C61388" w:rsidRDefault="00C61388" w:rsidP="00C61388">
      <w:pPr>
        <w:jc w:val="center"/>
        <w:rPr>
          <w:rFonts w:ascii="Times New Roman" w:hAnsi="Times New Roman" w:cs="Times New Roman"/>
          <w:sz w:val="22"/>
          <w:szCs w:val="22"/>
        </w:rPr>
      </w:pPr>
      <w:r>
        <w:rPr>
          <w:noProof/>
          <w:lang w:val="es-ES"/>
        </w:rPr>
        <w:lastRenderedPageBreak/>
        <w:drawing>
          <wp:inline distT="0" distB="0" distL="0" distR="0" wp14:anchorId="7EC5EA5B" wp14:editId="09BCB00E">
            <wp:extent cx="2918765" cy="1960474"/>
            <wp:effectExtent l="0" t="0" r="0" b="190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A75F29A" w14:textId="77777777" w:rsidR="00473867" w:rsidRDefault="00C717C0" w:rsidP="00C717C0">
      <w:pPr>
        <w:ind w:left="2552"/>
        <w:jc w:val="both"/>
        <w:rPr>
          <w:rFonts w:ascii="Times New Roman" w:hAnsi="Times New Roman" w:cs="Times New Roman"/>
          <w:sz w:val="22"/>
          <w:szCs w:val="22"/>
        </w:rPr>
      </w:pPr>
      <w:r w:rsidRPr="00473867">
        <w:rPr>
          <w:rFonts w:ascii="Times New Roman" w:hAnsi="Times New Roman" w:cs="Times New Roman"/>
          <w:sz w:val="16"/>
        </w:rPr>
        <w:t>Fuente: Fondo Monetario Internacional</w:t>
      </w:r>
    </w:p>
    <w:p w14:paraId="39E8B997" w14:textId="77777777" w:rsidR="00AD6E9A" w:rsidRPr="00AD6E9A" w:rsidRDefault="00AD6E9A" w:rsidP="00AD6E9A">
      <w:pPr>
        <w:jc w:val="both"/>
        <w:rPr>
          <w:rFonts w:ascii="Times New Roman" w:hAnsi="Times New Roman" w:cs="Times New Roman"/>
          <w:sz w:val="22"/>
          <w:szCs w:val="22"/>
        </w:rPr>
      </w:pPr>
    </w:p>
    <w:p w14:paraId="30249FD0" w14:textId="77777777" w:rsidR="00AD6E9A" w:rsidRP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En ese sentido, el precio del petróleo tuvo un decrecimiento pronunciado a partir del tercer trimestre del 2018 llegando a su punto más bajo de $54.83/</w:t>
      </w:r>
      <w:r w:rsidR="00795274" w:rsidRPr="00AD6E9A">
        <w:rPr>
          <w:rFonts w:ascii="Times New Roman" w:hAnsi="Times New Roman" w:cs="Times New Roman"/>
          <w:sz w:val="22"/>
          <w:szCs w:val="22"/>
        </w:rPr>
        <w:t>bbl en</w:t>
      </w:r>
      <w:r w:rsidRPr="00AD6E9A">
        <w:rPr>
          <w:rFonts w:ascii="Times New Roman" w:hAnsi="Times New Roman" w:cs="Times New Roman"/>
          <w:sz w:val="22"/>
          <w:szCs w:val="22"/>
        </w:rPr>
        <w:t xml:space="preserve"> el primer trimestre del 2019 y posteriormente se ha recuperado lentamente hasta terminar el 20</w:t>
      </w:r>
      <w:r w:rsidR="00474CD6">
        <w:rPr>
          <w:rFonts w:ascii="Times New Roman" w:hAnsi="Times New Roman" w:cs="Times New Roman"/>
          <w:sz w:val="22"/>
          <w:szCs w:val="22"/>
        </w:rPr>
        <w:t xml:space="preserve">19 en $56.98/bbl. Los precios </w:t>
      </w:r>
      <w:r w:rsidRPr="00AD6E9A">
        <w:rPr>
          <w:rFonts w:ascii="Times New Roman" w:hAnsi="Times New Roman" w:cs="Times New Roman"/>
          <w:sz w:val="22"/>
          <w:szCs w:val="22"/>
        </w:rPr>
        <w:t xml:space="preserve">promediaron en $56.99 en 2019, una disminución de $7.79/bbl en comparación del promedio del año 2018.  La línea gris punteada muestra la evolución de la tasa de variación promedio anual para cada trimestre, </w:t>
      </w:r>
      <w:r w:rsidR="00795274" w:rsidRPr="00AD6E9A">
        <w:rPr>
          <w:rFonts w:ascii="Times New Roman" w:hAnsi="Times New Roman" w:cs="Times New Roman"/>
          <w:sz w:val="22"/>
          <w:szCs w:val="22"/>
        </w:rPr>
        <w:t>la cual</w:t>
      </w:r>
      <w:r w:rsidRPr="00AD6E9A">
        <w:rPr>
          <w:rFonts w:ascii="Times New Roman" w:hAnsi="Times New Roman" w:cs="Times New Roman"/>
          <w:sz w:val="22"/>
          <w:szCs w:val="22"/>
        </w:rPr>
        <w:t xml:space="preserve"> captura la evolución de la tendencia de la tasa de crecimiento anual, en ella se puede observar la interrupción del crecimiento en los precios promedio del WTI desde el tercer trimestre del 2018 hasta el final del año 2019.</w:t>
      </w:r>
    </w:p>
    <w:p w14:paraId="0813ACC2" w14:textId="77777777" w:rsidR="00AD6E9A" w:rsidRPr="00AD6E9A" w:rsidRDefault="00473867" w:rsidP="00AD6E9A">
      <w:pPr>
        <w:jc w:val="both"/>
        <w:rPr>
          <w:rFonts w:ascii="Times New Roman" w:hAnsi="Times New Roman" w:cs="Times New Roman"/>
          <w:sz w:val="22"/>
          <w:szCs w:val="22"/>
        </w:rPr>
      </w:pPr>
      <w:r w:rsidRPr="00752FDC">
        <w:rPr>
          <w:rFonts w:ascii="Times New Roman" w:hAnsi="Times New Roman" w:cs="Times New Roman"/>
          <w:noProof/>
          <w:lang w:val="es-ES"/>
        </w:rPr>
        <w:drawing>
          <wp:anchor distT="0" distB="0" distL="114300" distR="114300" simplePos="0" relativeHeight="251678720" behindDoc="1" locked="0" layoutInCell="1" allowOverlap="1" wp14:anchorId="26BABA77" wp14:editId="6490359B">
            <wp:simplePos x="0" y="0"/>
            <wp:positionH relativeFrom="column">
              <wp:posOffset>659959</wp:posOffset>
            </wp:positionH>
            <wp:positionV relativeFrom="paragraph">
              <wp:posOffset>136525</wp:posOffset>
            </wp:positionV>
            <wp:extent cx="4495800" cy="2647950"/>
            <wp:effectExtent l="0" t="0" r="0" b="0"/>
            <wp:wrapTight wrapText="bothSides">
              <wp:wrapPolygon edited="0">
                <wp:start x="0" y="0"/>
                <wp:lineTo x="0" y="21445"/>
                <wp:lineTo x="21508" y="21445"/>
                <wp:lineTo x="21508" y="0"/>
                <wp:lineTo x="0" y="0"/>
              </wp:wrapPolygon>
            </wp:wrapTight>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75D738CF" w14:textId="77777777" w:rsidR="00AD6E9A" w:rsidRPr="00AD6E9A" w:rsidRDefault="00AD6E9A" w:rsidP="00AD6E9A">
      <w:pPr>
        <w:jc w:val="both"/>
        <w:rPr>
          <w:rFonts w:ascii="Times New Roman" w:hAnsi="Times New Roman" w:cs="Times New Roman"/>
          <w:sz w:val="22"/>
          <w:szCs w:val="22"/>
        </w:rPr>
      </w:pPr>
    </w:p>
    <w:p w14:paraId="5CAB4F17" w14:textId="77777777" w:rsidR="00AD6E9A" w:rsidRPr="00AD6E9A" w:rsidRDefault="00AD6E9A" w:rsidP="00AD6E9A">
      <w:pPr>
        <w:jc w:val="both"/>
        <w:rPr>
          <w:rFonts w:ascii="Times New Roman" w:hAnsi="Times New Roman" w:cs="Times New Roman"/>
          <w:sz w:val="22"/>
          <w:szCs w:val="22"/>
        </w:rPr>
      </w:pPr>
    </w:p>
    <w:p w14:paraId="330602CB" w14:textId="77777777" w:rsidR="00AD6E9A" w:rsidRPr="00AD6E9A" w:rsidRDefault="00AD6E9A" w:rsidP="00AD6E9A">
      <w:pPr>
        <w:jc w:val="both"/>
        <w:rPr>
          <w:rFonts w:ascii="Times New Roman" w:hAnsi="Times New Roman" w:cs="Times New Roman"/>
          <w:sz w:val="22"/>
          <w:szCs w:val="22"/>
        </w:rPr>
      </w:pPr>
    </w:p>
    <w:p w14:paraId="08A5ECA2" w14:textId="77777777" w:rsidR="00AD6E9A" w:rsidRPr="00AD6E9A" w:rsidRDefault="00AD6E9A" w:rsidP="00AD6E9A">
      <w:pPr>
        <w:jc w:val="both"/>
        <w:rPr>
          <w:rFonts w:ascii="Times New Roman" w:hAnsi="Times New Roman" w:cs="Times New Roman"/>
          <w:sz w:val="22"/>
          <w:szCs w:val="22"/>
        </w:rPr>
      </w:pPr>
    </w:p>
    <w:p w14:paraId="6073AFE2" w14:textId="77777777" w:rsidR="00AD6E9A" w:rsidRPr="00AD6E9A" w:rsidRDefault="00AD6E9A" w:rsidP="00AD6E9A">
      <w:pPr>
        <w:jc w:val="both"/>
        <w:rPr>
          <w:rFonts w:ascii="Times New Roman" w:hAnsi="Times New Roman" w:cs="Times New Roman"/>
          <w:sz w:val="22"/>
          <w:szCs w:val="22"/>
        </w:rPr>
      </w:pPr>
    </w:p>
    <w:p w14:paraId="512F514F" w14:textId="77777777" w:rsidR="00AD6E9A" w:rsidRDefault="00AD6E9A" w:rsidP="00AD6E9A">
      <w:pPr>
        <w:jc w:val="both"/>
        <w:rPr>
          <w:rFonts w:ascii="Times New Roman" w:hAnsi="Times New Roman" w:cs="Times New Roman"/>
          <w:sz w:val="22"/>
          <w:szCs w:val="22"/>
        </w:rPr>
      </w:pPr>
    </w:p>
    <w:p w14:paraId="1F4F263B" w14:textId="77777777" w:rsidR="00473867" w:rsidRDefault="00473867" w:rsidP="00AD6E9A">
      <w:pPr>
        <w:jc w:val="both"/>
        <w:rPr>
          <w:rFonts w:ascii="Times New Roman" w:hAnsi="Times New Roman" w:cs="Times New Roman"/>
          <w:sz w:val="22"/>
          <w:szCs w:val="22"/>
        </w:rPr>
      </w:pPr>
    </w:p>
    <w:p w14:paraId="3A7A79CE" w14:textId="77777777" w:rsidR="00473867" w:rsidRDefault="00473867" w:rsidP="00AD6E9A">
      <w:pPr>
        <w:jc w:val="both"/>
        <w:rPr>
          <w:rFonts w:ascii="Times New Roman" w:hAnsi="Times New Roman" w:cs="Times New Roman"/>
          <w:sz w:val="22"/>
          <w:szCs w:val="22"/>
        </w:rPr>
      </w:pPr>
    </w:p>
    <w:p w14:paraId="079F9B8C" w14:textId="77777777" w:rsidR="00473867" w:rsidRDefault="00473867" w:rsidP="00AD6E9A">
      <w:pPr>
        <w:jc w:val="both"/>
        <w:rPr>
          <w:rFonts w:ascii="Times New Roman" w:hAnsi="Times New Roman" w:cs="Times New Roman"/>
          <w:sz w:val="22"/>
          <w:szCs w:val="22"/>
        </w:rPr>
      </w:pPr>
    </w:p>
    <w:p w14:paraId="111EF6D2" w14:textId="77777777" w:rsidR="00473867" w:rsidRDefault="00473867" w:rsidP="00AD6E9A">
      <w:pPr>
        <w:jc w:val="both"/>
        <w:rPr>
          <w:rFonts w:ascii="Times New Roman" w:hAnsi="Times New Roman" w:cs="Times New Roman"/>
          <w:sz w:val="22"/>
          <w:szCs w:val="22"/>
        </w:rPr>
      </w:pPr>
    </w:p>
    <w:p w14:paraId="6BEF892A" w14:textId="77777777" w:rsidR="00473867" w:rsidRDefault="00473867" w:rsidP="00AD6E9A">
      <w:pPr>
        <w:jc w:val="both"/>
        <w:rPr>
          <w:rFonts w:ascii="Times New Roman" w:hAnsi="Times New Roman" w:cs="Times New Roman"/>
          <w:sz w:val="22"/>
          <w:szCs w:val="22"/>
        </w:rPr>
      </w:pPr>
    </w:p>
    <w:p w14:paraId="5F6DF6E8" w14:textId="77777777" w:rsidR="00473867" w:rsidRDefault="00473867" w:rsidP="00AD6E9A">
      <w:pPr>
        <w:jc w:val="both"/>
        <w:rPr>
          <w:rFonts w:ascii="Times New Roman" w:hAnsi="Times New Roman" w:cs="Times New Roman"/>
          <w:sz w:val="22"/>
          <w:szCs w:val="22"/>
        </w:rPr>
      </w:pPr>
    </w:p>
    <w:p w14:paraId="18A61CCB" w14:textId="77777777" w:rsidR="00473867" w:rsidRDefault="00473867" w:rsidP="00AD6E9A">
      <w:pPr>
        <w:jc w:val="both"/>
        <w:rPr>
          <w:rFonts w:ascii="Times New Roman" w:hAnsi="Times New Roman" w:cs="Times New Roman"/>
          <w:sz w:val="22"/>
          <w:szCs w:val="22"/>
        </w:rPr>
      </w:pPr>
    </w:p>
    <w:p w14:paraId="37AB4A8C" w14:textId="77777777" w:rsidR="00473867" w:rsidRDefault="00473867" w:rsidP="00AD6E9A">
      <w:pPr>
        <w:jc w:val="both"/>
        <w:rPr>
          <w:rFonts w:ascii="Times New Roman" w:hAnsi="Times New Roman" w:cs="Times New Roman"/>
          <w:sz w:val="22"/>
          <w:szCs w:val="22"/>
        </w:rPr>
      </w:pPr>
    </w:p>
    <w:p w14:paraId="4157BC8B" w14:textId="77777777" w:rsidR="00473867" w:rsidRDefault="00473867" w:rsidP="00AD6E9A">
      <w:pPr>
        <w:jc w:val="both"/>
        <w:rPr>
          <w:rFonts w:ascii="Times New Roman" w:hAnsi="Times New Roman" w:cs="Times New Roman"/>
          <w:sz w:val="22"/>
          <w:szCs w:val="22"/>
        </w:rPr>
      </w:pPr>
    </w:p>
    <w:p w14:paraId="5DE8F89C" w14:textId="77777777" w:rsidR="00473867" w:rsidRDefault="00473867" w:rsidP="00AD6E9A">
      <w:pPr>
        <w:jc w:val="both"/>
        <w:rPr>
          <w:rFonts w:ascii="Times New Roman" w:hAnsi="Times New Roman" w:cs="Times New Roman"/>
          <w:sz w:val="22"/>
          <w:szCs w:val="22"/>
        </w:rPr>
      </w:pPr>
    </w:p>
    <w:p w14:paraId="4D9669E3" w14:textId="77777777" w:rsidR="00AD6E9A" w:rsidRPr="00AD6E9A" w:rsidRDefault="00AD6E9A" w:rsidP="00AD6E9A">
      <w:pPr>
        <w:jc w:val="both"/>
        <w:rPr>
          <w:rFonts w:ascii="Times New Roman" w:hAnsi="Times New Roman" w:cs="Times New Roman"/>
          <w:sz w:val="22"/>
          <w:szCs w:val="22"/>
        </w:rPr>
      </w:pPr>
    </w:p>
    <w:p w14:paraId="1E6914EA" w14:textId="77777777" w:rsidR="00AD6E9A" w:rsidRP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 xml:space="preserve">Por otro lado, las exportaciones FOB también tuvieron una fuerte caída durante 2018 (-0.2%) pero en el 2019 se recuperaron llegando a 1.5%, esto derivado del alza de los precios de los principales productos de exportación tales como el azúcar, el café y el banano. Los tres productos más exportados en el 2019, que representan </w:t>
      </w:r>
      <w:r w:rsidR="00473867" w:rsidRPr="00AD6E9A">
        <w:rPr>
          <w:rFonts w:ascii="Times New Roman" w:hAnsi="Times New Roman" w:cs="Times New Roman"/>
          <w:sz w:val="22"/>
          <w:szCs w:val="22"/>
        </w:rPr>
        <w:t>el 24.1</w:t>
      </w:r>
      <w:r w:rsidRPr="00AD6E9A">
        <w:rPr>
          <w:rFonts w:ascii="Times New Roman" w:hAnsi="Times New Roman" w:cs="Times New Roman"/>
          <w:sz w:val="22"/>
          <w:szCs w:val="22"/>
        </w:rPr>
        <w:t>% del total de las exportaciones para dicho año, fueron los artículos de vestuario (13.2%), azúcar (5.8%) y grasas y aceites (5.2%). La variación acumulada anual de los artículos de vestuario estuvo estable durante el primer semestre del 2019, posteriormente tuvo una fuerte desaceleración. El azúcar tuvo una fuerte caída du</w:t>
      </w:r>
      <w:r w:rsidR="00243641">
        <w:rPr>
          <w:rFonts w:ascii="Times New Roman" w:hAnsi="Times New Roman" w:cs="Times New Roman"/>
          <w:sz w:val="22"/>
          <w:szCs w:val="22"/>
        </w:rPr>
        <w:t>rante el 2018 llegando a -23.3%.  S</w:t>
      </w:r>
      <w:r w:rsidRPr="00AD6E9A">
        <w:rPr>
          <w:rFonts w:ascii="Times New Roman" w:hAnsi="Times New Roman" w:cs="Times New Roman"/>
          <w:sz w:val="22"/>
          <w:szCs w:val="22"/>
        </w:rPr>
        <w:t>in embargo, a partir del 2019 empezó a recuperarse dado el aumento del precio internacional del mismo. Las grasas y aceites comestibles tuvieron una disminución en la tasa de crecimiento acumulada para el 2019, ubicándose en -0.3% para el tercer trimestre de 2019.</w:t>
      </w:r>
    </w:p>
    <w:p w14:paraId="40541A9E" w14:textId="77777777" w:rsidR="00AD6E9A" w:rsidRPr="00AD6E9A" w:rsidRDefault="00473867" w:rsidP="00AD6E9A">
      <w:pPr>
        <w:jc w:val="both"/>
        <w:rPr>
          <w:rFonts w:ascii="Times New Roman" w:hAnsi="Times New Roman" w:cs="Times New Roman"/>
          <w:sz w:val="22"/>
          <w:szCs w:val="22"/>
        </w:rPr>
      </w:pPr>
      <w:r w:rsidRPr="00752FDC">
        <w:rPr>
          <w:rFonts w:ascii="Times New Roman" w:hAnsi="Times New Roman" w:cs="Times New Roman"/>
          <w:noProof/>
          <w:lang w:val="es-ES"/>
        </w:rPr>
        <w:lastRenderedPageBreak/>
        <w:drawing>
          <wp:anchor distT="0" distB="0" distL="114300" distR="114300" simplePos="0" relativeHeight="251680768" behindDoc="1" locked="0" layoutInCell="1" allowOverlap="1" wp14:anchorId="0B655500" wp14:editId="497AA4BC">
            <wp:simplePos x="0" y="0"/>
            <wp:positionH relativeFrom="column">
              <wp:posOffset>728980</wp:posOffset>
            </wp:positionH>
            <wp:positionV relativeFrom="paragraph">
              <wp:posOffset>61595</wp:posOffset>
            </wp:positionV>
            <wp:extent cx="4349115" cy="2583815"/>
            <wp:effectExtent l="0" t="0" r="0" b="6985"/>
            <wp:wrapTight wrapText="bothSides">
              <wp:wrapPolygon edited="0">
                <wp:start x="0" y="0"/>
                <wp:lineTo x="0" y="21499"/>
                <wp:lineTo x="21477" y="21499"/>
                <wp:lineTo x="21477" y="0"/>
                <wp:lineTo x="0" y="0"/>
              </wp:wrapPolygon>
            </wp:wrapTight>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14:paraId="758DEF6B" w14:textId="77777777" w:rsidR="00AD6E9A" w:rsidRPr="00AD6E9A" w:rsidRDefault="00AD6E9A" w:rsidP="00AD6E9A">
      <w:pPr>
        <w:jc w:val="both"/>
        <w:rPr>
          <w:rFonts w:ascii="Times New Roman" w:hAnsi="Times New Roman" w:cs="Times New Roman"/>
          <w:sz w:val="22"/>
          <w:szCs w:val="22"/>
        </w:rPr>
      </w:pPr>
    </w:p>
    <w:p w14:paraId="6126DBC6" w14:textId="77777777" w:rsidR="00AD6E9A" w:rsidRPr="00AD6E9A" w:rsidRDefault="00AD6E9A" w:rsidP="00AD6E9A">
      <w:pPr>
        <w:jc w:val="both"/>
        <w:rPr>
          <w:rFonts w:ascii="Times New Roman" w:hAnsi="Times New Roman" w:cs="Times New Roman"/>
          <w:sz w:val="22"/>
          <w:szCs w:val="22"/>
        </w:rPr>
      </w:pPr>
    </w:p>
    <w:p w14:paraId="2ACA172B" w14:textId="77777777" w:rsidR="00AD6E9A" w:rsidRPr="00AD6E9A" w:rsidRDefault="00AD6E9A" w:rsidP="00AD6E9A">
      <w:pPr>
        <w:jc w:val="both"/>
        <w:rPr>
          <w:rFonts w:ascii="Times New Roman" w:hAnsi="Times New Roman" w:cs="Times New Roman"/>
          <w:sz w:val="22"/>
          <w:szCs w:val="22"/>
        </w:rPr>
      </w:pPr>
    </w:p>
    <w:p w14:paraId="25E7971A" w14:textId="77777777" w:rsidR="00AD6E9A" w:rsidRPr="00AD6E9A" w:rsidRDefault="00AD6E9A" w:rsidP="00AD6E9A">
      <w:pPr>
        <w:jc w:val="both"/>
        <w:rPr>
          <w:rFonts w:ascii="Times New Roman" w:hAnsi="Times New Roman" w:cs="Times New Roman"/>
          <w:sz w:val="22"/>
          <w:szCs w:val="22"/>
        </w:rPr>
      </w:pPr>
    </w:p>
    <w:p w14:paraId="409C890D" w14:textId="77777777" w:rsidR="00AD6E9A" w:rsidRPr="00AD6E9A" w:rsidRDefault="00AD6E9A" w:rsidP="00AD6E9A">
      <w:pPr>
        <w:jc w:val="both"/>
        <w:rPr>
          <w:rFonts w:ascii="Times New Roman" w:hAnsi="Times New Roman" w:cs="Times New Roman"/>
          <w:sz w:val="22"/>
          <w:szCs w:val="22"/>
        </w:rPr>
      </w:pPr>
    </w:p>
    <w:p w14:paraId="504291F0" w14:textId="77777777" w:rsidR="00AD6E9A" w:rsidRPr="00AD6E9A" w:rsidRDefault="00AD6E9A" w:rsidP="00AD6E9A">
      <w:pPr>
        <w:jc w:val="both"/>
        <w:rPr>
          <w:rFonts w:ascii="Times New Roman" w:hAnsi="Times New Roman" w:cs="Times New Roman"/>
          <w:sz w:val="22"/>
          <w:szCs w:val="22"/>
        </w:rPr>
      </w:pPr>
    </w:p>
    <w:p w14:paraId="24E57257" w14:textId="77777777" w:rsidR="00AD6E9A" w:rsidRPr="00AD6E9A" w:rsidRDefault="00AD6E9A" w:rsidP="00AD6E9A">
      <w:pPr>
        <w:jc w:val="both"/>
        <w:rPr>
          <w:rFonts w:ascii="Times New Roman" w:hAnsi="Times New Roman" w:cs="Times New Roman"/>
          <w:sz w:val="22"/>
          <w:szCs w:val="22"/>
        </w:rPr>
      </w:pPr>
    </w:p>
    <w:p w14:paraId="11603865" w14:textId="77777777" w:rsidR="00AD6E9A" w:rsidRDefault="00AD6E9A" w:rsidP="00AD6E9A">
      <w:pPr>
        <w:jc w:val="both"/>
        <w:rPr>
          <w:rFonts w:ascii="Times New Roman" w:hAnsi="Times New Roman" w:cs="Times New Roman"/>
          <w:sz w:val="22"/>
          <w:szCs w:val="22"/>
        </w:rPr>
      </w:pPr>
    </w:p>
    <w:p w14:paraId="3360246D" w14:textId="77777777" w:rsidR="00473867" w:rsidRDefault="00473867" w:rsidP="00AD6E9A">
      <w:pPr>
        <w:jc w:val="both"/>
        <w:rPr>
          <w:rFonts w:ascii="Times New Roman" w:hAnsi="Times New Roman" w:cs="Times New Roman"/>
          <w:sz w:val="22"/>
          <w:szCs w:val="22"/>
        </w:rPr>
      </w:pPr>
    </w:p>
    <w:p w14:paraId="0A624A1C" w14:textId="77777777" w:rsidR="00473867" w:rsidRDefault="00473867" w:rsidP="00AD6E9A">
      <w:pPr>
        <w:jc w:val="both"/>
        <w:rPr>
          <w:rFonts w:ascii="Times New Roman" w:hAnsi="Times New Roman" w:cs="Times New Roman"/>
          <w:sz w:val="22"/>
          <w:szCs w:val="22"/>
        </w:rPr>
      </w:pPr>
    </w:p>
    <w:p w14:paraId="77C1C5D9" w14:textId="77777777" w:rsidR="00473867" w:rsidRDefault="00473867" w:rsidP="00AD6E9A">
      <w:pPr>
        <w:jc w:val="both"/>
        <w:rPr>
          <w:rFonts w:ascii="Times New Roman" w:hAnsi="Times New Roman" w:cs="Times New Roman"/>
          <w:sz w:val="22"/>
          <w:szCs w:val="22"/>
        </w:rPr>
      </w:pPr>
    </w:p>
    <w:p w14:paraId="5FD00014" w14:textId="77777777" w:rsidR="00473867" w:rsidRDefault="00473867" w:rsidP="00AD6E9A">
      <w:pPr>
        <w:jc w:val="both"/>
        <w:rPr>
          <w:rFonts w:ascii="Times New Roman" w:hAnsi="Times New Roman" w:cs="Times New Roman"/>
          <w:sz w:val="22"/>
          <w:szCs w:val="22"/>
        </w:rPr>
      </w:pPr>
    </w:p>
    <w:p w14:paraId="499FEEFC" w14:textId="77777777" w:rsidR="00473867" w:rsidRDefault="00473867" w:rsidP="00AD6E9A">
      <w:pPr>
        <w:jc w:val="both"/>
        <w:rPr>
          <w:rFonts w:ascii="Times New Roman" w:hAnsi="Times New Roman" w:cs="Times New Roman"/>
          <w:sz w:val="22"/>
          <w:szCs w:val="22"/>
        </w:rPr>
      </w:pPr>
    </w:p>
    <w:p w14:paraId="17A00CB8" w14:textId="77777777" w:rsidR="00473867" w:rsidRDefault="00473867" w:rsidP="00AD6E9A">
      <w:pPr>
        <w:jc w:val="both"/>
        <w:rPr>
          <w:rFonts w:ascii="Times New Roman" w:hAnsi="Times New Roman" w:cs="Times New Roman"/>
          <w:sz w:val="22"/>
          <w:szCs w:val="22"/>
        </w:rPr>
      </w:pPr>
    </w:p>
    <w:p w14:paraId="7214BA25" w14:textId="77777777" w:rsidR="00473867" w:rsidRDefault="00473867" w:rsidP="00AD6E9A">
      <w:pPr>
        <w:jc w:val="both"/>
        <w:rPr>
          <w:rFonts w:ascii="Times New Roman" w:hAnsi="Times New Roman" w:cs="Times New Roman"/>
          <w:sz w:val="22"/>
          <w:szCs w:val="22"/>
        </w:rPr>
      </w:pPr>
    </w:p>
    <w:p w14:paraId="20360C56" w14:textId="77777777" w:rsidR="00AD6E9A" w:rsidRPr="00AD6E9A" w:rsidRDefault="00AD6E9A" w:rsidP="00AD6E9A">
      <w:pPr>
        <w:jc w:val="both"/>
        <w:rPr>
          <w:rFonts w:ascii="Times New Roman" w:hAnsi="Times New Roman" w:cs="Times New Roman"/>
          <w:sz w:val="22"/>
          <w:szCs w:val="22"/>
        </w:rPr>
      </w:pPr>
    </w:p>
    <w:p w14:paraId="5484127D" w14:textId="77777777" w:rsidR="00473867"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 xml:space="preserve">Otro elemento importante que incide en la relación de Guatemala con el resto del mundo las remesas familiares, las cuales tienen un peso importante en las economías, se observa que durante el 2019 creció 1.1% como proporción del PIB más que el 2018, lo cual es representativo ya que permite dinamizar al consumo, toda vez que estas se destinan en una mayor proporción al consumo en los hogares. </w:t>
      </w:r>
    </w:p>
    <w:p w14:paraId="69C617AE" w14:textId="77777777" w:rsidR="00AD6E9A" w:rsidRP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 xml:space="preserve"> </w:t>
      </w:r>
    </w:p>
    <w:p w14:paraId="6F8758FB" w14:textId="77777777" w:rsid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Dado el movimiento de divisas producto de las operaciones internacionales del país, el tipo de cambio promedio de compra y venta tuvo una leve tendencia a la depreciación en el año 2019 pasando de Q7.52 a Q7.70 por dólar. Lo cual tuvo un efecto representativo en las exportaciones, importaciones y remesas.</w:t>
      </w:r>
    </w:p>
    <w:p w14:paraId="366D8F2B" w14:textId="77777777" w:rsidR="00473867" w:rsidRPr="00AD6E9A" w:rsidRDefault="00473867" w:rsidP="00AD6E9A">
      <w:pPr>
        <w:jc w:val="both"/>
        <w:rPr>
          <w:rFonts w:ascii="Times New Roman" w:hAnsi="Times New Roman" w:cs="Times New Roman"/>
          <w:sz w:val="22"/>
          <w:szCs w:val="22"/>
        </w:rPr>
      </w:pPr>
    </w:p>
    <w:p w14:paraId="241A335F" w14:textId="77777777" w:rsidR="00AD6E9A" w:rsidRP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 xml:space="preserve">En términos generales el comportamiento del tipo de cambio del quetzal frente al dólar estadounidense se explica, principalmente, por dos factores. El primero, se asocia al importante flujo de divisas por remesas familiares que se ha registrado en los últimos años </w:t>
      </w:r>
      <w:r w:rsidR="00C84436">
        <w:rPr>
          <w:rFonts w:ascii="Times New Roman" w:hAnsi="Times New Roman" w:cs="Times New Roman"/>
          <w:sz w:val="22"/>
          <w:szCs w:val="22"/>
        </w:rPr>
        <w:t>y</w:t>
      </w:r>
      <w:r w:rsidRPr="00AD6E9A">
        <w:rPr>
          <w:rFonts w:ascii="Times New Roman" w:hAnsi="Times New Roman" w:cs="Times New Roman"/>
          <w:sz w:val="22"/>
          <w:szCs w:val="22"/>
        </w:rPr>
        <w:t xml:space="preserve"> a la ralentización en el crecimiento del valor de las exportaciones registrado desde enero 2018 recuperándose levemente en el 2019 como se indicó anteriormente, que obedece a la disminución de los precios internacionales, así como al menor volumen exportado de algunos productos de exportación.  </w:t>
      </w:r>
    </w:p>
    <w:p w14:paraId="1C3199AF" w14:textId="77777777" w:rsidR="00AD6E9A" w:rsidRPr="00AD6E9A" w:rsidRDefault="00795274" w:rsidP="00AD6E9A">
      <w:pPr>
        <w:jc w:val="both"/>
        <w:rPr>
          <w:rFonts w:ascii="Times New Roman" w:hAnsi="Times New Roman" w:cs="Times New Roman"/>
          <w:sz w:val="22"/>
          <w:szCs w:val="22"/>
        </w:rPr>
      </w:pPr>
      <w:r w:rsidRPr="00752FDC">
        <w:rPr>
          <w:rFonts w:ascii="Times New Roman" w:hAnsi="Times New Roman" w:cs="Times New Roman"/>
          <w:noProof/>
          <w:lang w:val="es-ES"/>
        </w:rPr>
        <w:drawing>
          <wp:anchor distT="0" distB="0" distL="114300" distR="114300" simplePos="0" relativeHeight="251682816" behindDoc="1" locked="0" layoutInCell="1" allowOverlap="1" wp14:anchorId="010EA1EF" wp14:editId="2966F4F0">
            <wp:simplePos x="0" y="0"/>
            <wp:positionH relativeFrom="column">
              <wp:posOffset>928370</wp:posOffset>
            </wp:positionH>
            <wp:positionV relativeFrom="paragraph">
              <wp:posOffset>73660</wp:posOffset>
            </wp:positionV>
            <wp:extent cx="4102735" cy="2607945"/>
            <wp:effectExtent l="0" t="0" r="12065" b="1905"/>
            <wp:wrapTight wrapText="bothSides">
              <wp:wrapPolygon edited="0">
                <wp:start x="0" y="0"/>
                <wp:lineTo x="0" y="21458"/>
                <wp:lineTo x="21563" y="21458"/>
                <wp:lineTo x="21563" y="0"/>
                <wp:lineTo x="0" y="0"/>
              </wp:wrapPolygon>
            </wp:wrapTight>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35E17DB4" w14:textId="77777777" w:rsidR="00AD6E9A" w:rsidRPr="00AD6E9A" w:rsidRDefault="00AD6E9A" w:rsidP="00AD6E9A">
      <w:pPr>
        <w:jc w:val="both"/>
        <w:rPr>
          <w:rFonts w:ascii="Times New Roman" w:hAnsi="Times New Roman" w:cs="Times New Roman"/>
          <w:sz w:val="22"/>
          <w:szCs w:val="22"/>
        </w:rPr>
      </w:pPr>
    </w:p>
    <w:p w14:paraId="26A045E6" w14:textId="77777777" w:rsidR="00AD6E9A" w:rsidRPr="00AD6E9A" w:rsidRDefault="00AD6E9A" w:rsidP="00AD6E9A">
      <w:pPr>
        <w:jc w:val="both"/>
        <w:rPr>
          <w:rFonts w:ascii="Times New Roman" w:hAnsi="Times New Roman" w:cs="Times New Roman"/>
          <w:sz w:val="22"/>
          <w:szCs w:val="22"/>
        </w:rPr>
      </w:pPr>
    </w:p>
    <w:p w14:paraId="6DA6446C" w14:textId="77777777" w:rsidR="00AD6E9A" w:rsidRPr="00AD6E9A" w:rsidRDefault="00AD6E9A" w:rsidP="00AD6E9A">
      <w:pPr>
        <w:jc w:val="both"/>
        <w:rPr>
          <w:rFonts w:ascii="Times New Roman" w:hAnsi="Times New Roman" w:cs="Times New Roman"/>
          <w:sz w:val="22"/>
          <w:szCs w:val="22"/>
        </w:rPr>
      </w:pPr>
    </w:p>
    <w:p w14:paraId="1E9BC219" w14:textId="77777777" w:rsidR="00AD6E9A" w:rsidRPr="00AD6E9A" w:rsidRDefault="00AD6E9A" w:rsidP="00AD6E9A">
      <w:pPr>
        <w:jc w:val="both"/>
        <w:rPr>
          <w:rFonts w:ascii="Times New Roman" w:hAnsi="Times New Roman" w:cs="Times New Roman"/>
          <w:sz w:val="22"/>
          <w:szCs w:val="22"/>
        </w:rPr>
      </w:pPr>
    </w:p>
    <w:p w14:paraId="5871EB0F" w14:textId="77777777" w:rsidR="00AD6E9A" w:rsidRPr="00AD6E9A" w:rsidRDefault="00AD6E9A" w:rsidP="00AD6E9A">
      <w:pPr>
        <w:jc w:val="both"/>
        <w:rPr>
          <w:rFonts w:ascii="Times New Roman" w:hAnsi="Times New Roman" w:cs="Times New Roman"/>
          <w:sz w:val="22"/>
          <w:szCs w:val="22"/>
        </w:rPr>
      </w:pPr>
    </w:p>
    <w:p w14:paraId="25537E36" w14:textId="77777777" w:rsidR="00AD6E9A" w:rsidRPr="00AD6E9A" w:rsidRDefault="00AD6E9A" w:rsidP="00AD6E9A">
      <w:pPr>
        <w:jc w:val="both"/>
        <w:rPr>
          <w:rFonts w:ascii="Times New Roman" w:hAnsi="Times New Roman" w:cs="Times New Roman"/>
          <w:sz w:val="22"/>
          <w:szCs w:val="22"/>
        </w:rPr>
      </w:pPr>
      <w:r w:rsidRPr="00AD6E9A">
        <w:rPr>
          <w:rFonts w:ascii="Times New Roman" w:hAnsi="Times New Roman" w:cs="Times New Roman"/>
          <w:sz w:val="22"/>
          <w:szCs w:val="22"/>
        </w:rPr>
        <w:t xml:space="preserve">. </w:t>
      </w:r>
    </w:p>
    <w:p w14:paraId="0F1D9657" w14:textId="77777777" w:rsidR="00AD6E9A" w:rsidRPr="00AD6E9A" w:rsidRDefault="00AD6E9A" w:rsidP="00AD6E9A">
      <w:pPr>
        <w:jc w:val="both"/>
        <w:rPr>
          <w:rFonts w:ascii="Times New Roman" w:hAnsi="Times New Roman" w:cs="Times New Roman"/>
          <w:sz w:val="22"/>
          <w:szCs w:val="22"/>
        </w:rPr>
      </w:pPr>
    </w:p>
    <w:p w14:paraId="7D1D4E56" w14:textId="77777777" w:rsidR="00AD6E9A" w:rsidRPr="00AD6E9A" w:rsidRDefault="00AD6E9A" w:rsidP="00AD6E9A">
      <w:pPr>
        <w:jc w:val="both"/>
        <w:rPr>
          <w:rFonts w:ascii="Times New Roman" w:hAnsi="Times New Roman" w:cs="Times New Roman"/>
          <w:sz w:val="22"/>
          <w:szCs w:val="22"/>
        </w:rPr>
      </w:pPr>
    </w:p>
    <w:p w14:paraId="68532510" w14:textId="77777777" w:rsidR="00AD6E9A" w:rsidRPr="00AD6E9A" w:rsidRDefault="00AD6E9A" w:rsidP="00AD6E9A">
      <w:pPr>
        <w:jc w:val="both"/>
        <w:rPr>
          <w:rFonts w:ascii="Times New Roman" w:hAnsi="Times New Roman" w:cs="Times New Roman"/>
          <w:sz w:val="22"/>
          <w:szCs w:val="22"/>
        </w:rPr>
      </w:pPr>
    </w:p>
    <w:p w14:paraId="58C1BF56" w14:textId="77777777" w:rsidR="00AD6E9A" w:rsidRPr="00AD6E9A" w:rsidRDefault="00AD6E9A" w:rsidP="00AD6E9A">
      <w:pPr>
        <w:jc w:val="both"/>
        <w:rPr>
          <w:rFonts w:ascii="Times New Roman" w:hAnsi="Times New Roman" w:cs="Times New Roman"/>
          <w:sz w:val="22"/>
          <w:szCs w:val="22"/>
        </w:rPr>
      </w:pPr>
    </w:p>
    <w:p w14:paraId="1BD62EFF" w14:textId="77777777" w:rsidR="00AD6E9A" w:rsidRPr="00AD6E9A" w:rsidRDefault="00AD6E9A" w:rsidP="00AD6E9A">
      <w:pPr>
        <w:jc w:val="both"/>
        <w:rPr>
          <w:rFonts w:ascii="Times New Roman" w:hAnsi="Times New Roman" w:cs="Times New Roman"/>
          <w:sz w:val="22"/>
          <w:szCs w:val="22"/>
        </w:rPr>
      </w:pPr>
    </w:p>
    <w:p w14:paraId="02D59D92" w14:textId="77777777" w:rsidR="001D2C47" w:rsidRPr="00113A1E" w:rsidRDefault="001D2C47" w:rsidP="00AD6E9A">
      <w:pPr>
        <w:jc w:val="both"/>
        <w:rPr>
          <w:rFonts w:ascii="Times New Roman" w:hAnsi="Times New Roman" w:cs="Times New Roman"/>
          <w:lang w:val="es-MX"/>
        </w:rPr>
      </w:pPr>
    </w:p>
    <w:p w14:paraId="580A8E9A" w14:textId="77777777" w:rsidR="001D2C47" w:rsidRPr="00113A1E" w:rsidRDefault="001D2C47" w:rsidP="001D2C47">
      <w:pPr>
        <w:rPr>
          <w:rFonts w:ascii="Times New Roman" w:hAnsi="Times New Roman" w:cs="Times New Roman"/>
          <w:color w:val="FF0000"/>
          <w:sz w:val="22"/>
          <w:lang w:val="es-GT"/>
        </w:rPr>
      </w:pPr>
    </w:p>
    <w:p w14:paraId="280D9C5D" w14:textId="77777777" w:rsidR="001D2C47" w:rsidRPr="00113A1E" w:rsidRDefault="001D2C47" w:rsidP="001D2C47">
      <w:pPr>
        <w:rPr>
          <w:rFonts w:ascii="Times New Roman" w:hAnsi="Times New Roman" w:cs="Times New Roman"/>
          <w:color w:val="FF0000"/>
          <w:sz w:val="22"/>
          <w:lang w:val="es-GT"/>
        </w:rPr>
      </w:pPr>
    </w:p>
    <w:p w14:paraId="2D347447" w14:textId="77777777" w:rsidR="001D2C47" w:rsidRPr="00113A1E" w:rsidRDefault="001D2C47" w:rsidP="001D2C47">
      <w:pPr>
        <w:jc w:val="both"/>
        <w:rPr>
          <w:rFonts w:ascii="Times New Roman" w:hAnsi="Times New Roman" w:cs="Times New Roman"/>
          <w:bCs/>
          <w:color w:val="FF0000"/>
          <w:lang w:val="es-GT"/>
        </w:rPr>
      </w:pPr>
      <w:r w:rsidRPr="00113A1E">
        <w:rPr>
          <w:rFonts w:ascii="Times New Roman" w:hAnsi="Times New Roman" w:cs="Times New Roman"/>
          <w:bCs/>
          <w:color w:val="FF0000"/>
          <w:lang w:val="es-GT"/>
        </w:rPr>
        <w:t xml:space="preserve"> </w:t>
      </w:r>
    </w:p>
    <w:p w14:paraId="505D8F20" w14:textId="77777777" w:rsidR="001D2C47" w:rsidRPr="00113A1E" w:rsidRDefault="001D2C47" w:rsidP="001D2C47">
      <w:pPr>
        <w:rPr>
          <w:color w:val="FF0000"/>
        </w:rPr>
      </w:pPr>
    </w:p>
    <w:p w14:paraId="30489578" w14:textId="77777777" w:rsidR="00D5619D" w:rsidRDefault="00D5619D" w:rsidP="000B5E1C">
      <w:pPr>
        <w:rPr>
          <w:rFonts w:ascii="Times New Roman" w:hAnsi="Times New Roman" w:cs="Times New Roman"/>
          <w:color w:val="FF0000"/>
          <w:sz w:val="14"/>
        </w:rPr>
      </w:pPr>
    </w:p>
    <w:p w14:paraId="6B9AE413" w14:textId="77777777" w:rsidR="000B5E1C" w:rsidRPr="00113A1E" w:rsidRDefault="000B5E1C" w:rsidP="00AD6E9A">
      <w:pPr>
        <w:rPr>
          <w:rFonts w:ascii="Times New Roman" w:hAnsi="Times New Roman" w:cs="Times New Roman"/>
          <w:color w:val="FF0000"/>
          <w:lang w:val="es-MX"/>
        </w:rPr>
      </w:pPr>
    </w:p>
    <w:sectPr w:rsidR="000B5E1C" w:rsidRPr="00113A1E" w:rsidSect="005329C2">
      <w:headerReference w:type="default" r:id="rId34"/>
      <w:footerReference w:type="default" r:id="rId35"/>
      <w:headerReference w:type="first" r:id="rId36"/>
      <w:footerReference w:type="first" r:id="rId37"/>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39C5" w14:textId="77777777" w:rsidR="001B501F" w:rsidRDefault="001B501F" w:rsidP="000B5E1C">
      <w:r>
        <w:separator/>
      </w:r>
    </w:p>
  </w:endnote>
  <w:endnote w:type="continuationSeparator" w:id="0">
    <w:p w14:paraId="13034D06" w14:textId="77777777" w:rsidR="001B501F" w:rsidRDefault="001B501F" w:rsidP="000B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color w:val="1F497D" w:themeColor="text2"/>
        <w:lang w:val="es-ES"/>
      </w:rPr>
      <w:id w:val="1089358670"/>
      <w:docPartObj>
        <w:docPartGallery w:val="Page Numbers (Bottom of Page)"/>
        <w:docPartUnique/>
      </w:docPartObj>
    </w:sdtPr>
    <w:sdtEndPr/>
    <w:sdtContent>
      <w:p w14:paraId="37044282" w14:textId="61C85928" w:rsidR="00714DD2" w:rsidRPr="00AC45C7" w:rsidRDefault="00714DD2">
        <w:pPr>
          <w:pStyle w:val="Piedepgina"/>
          <w:jc w:val="right"/>
          <w:rPr>
            <w:rFonts w:ascii="Times New Roman" w:hAnsi="Times New Roman" w:cs="Times New Roman"/>
            <w:i/>
            <w:color w:val="1F497D" w:themeColor="text2"/>
          </w:rPr>
        </w:pPr>
        <w:r>
          <w:rPr>
            <w:rFonts w:ascii="Times New Roman" w:hAnsi="Times New Roman" w:cs="Times New Roman"/>
            <w:i/>
            <w:noProof/>
            <w:color w:val="1F497D" w:themeColor="text2"/>
            <w:lang w:val="es-ES"/>
          </w:rPr>
          <mc:AlternateContent>
            <mc:Choice Requires="wps">
              <w:drawing>
                <wp:anchor distT="0" distB="0" distL="114300" distR="114300" simplePos="0" relativeHeight="251655680" behindDoc="0" locked="0" layoutInCell="1" allowOverlap="1" wp14:anchorId="1B4743A9" wp14:editId="17FB757A">
                  <wp:simplePos x="0" y="0"/>
                  <wp:positionH relativeFrom="column">
                    <wp:posOffset>77580</wp:posOffset>
                  </wp:positionH>
                  <wp:positionV relativeFrom="paragraph">
                    <wp:posOffset>-58006</wp:posOffset>
                  </wp:positionV>
                  <wp:extent cx="6027089" cy="47708"/>
                  <wp:effectExtent l="0" t="0" r="12065" b="28575"/>
                  <wp:wrapNone/>
                  <wp:docPr id="43" name="43 Rectángulo"/>
                  <wp:cNvGraphicFramePr/>
                  <a:graphic xmlns:a="http://schemas.openxmlformats.org/drawingml/2006/main">
                    <a:graphicData uri="http://schemas.microsoft.com/office/word/2010/wordprocessingShape">
                      <wps:wsp>
                        <wps:cNvSpPr/>
                        <wps:spPr>
                          <a:xfrm>
                            <a:off x="0" y="0"/>
                            <a:ext cx="6027089" cy="47708"/>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C3BC318" id="43 Rectángulo" o:spid="_x0000_s1026" style="position:absolute;margin-left:6.1pt;margin-top:-4.55pt;width:474.55pt;height:3.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" fillcolor="#8aabd3 [2132]" strokeweight="2pt">
                  <v:fill color2="#f2f2f2 [3052]" rotate="t" angle="90" colors="0 #9ab5e4;50463f #c2d1ed;58327f #e1e8f5;64881f #f2f2f2" focus="100%" type="gradient">
                    <o:fill v:ext="view" type="gradientUnscaled"/>
                  </v:fill>
                </v:rect>
              </w:pict>
            </mc:Fallback>
          </mc:AlternateContent>
        </w:r>
        <w:r w:rsidRPr="00AC45C7">
          <w:rPr>
            <w:rFonts w:ascii="Times New Roman" w:hAnsi="Times New Roman" w:cs="Times New Roman"/>
            <w:i/>
            <w:color w:val="1F497D" w:themeColor="text2"/>
            <w:lang w:val="es-ES"/>
          </w:rPr>
          <w:t xml:space="preserve">Página | </w:t>
        </w:r>
        <w:r w:rsidRPr="00AC45C7">
          <w:rPr>
            <w:rFonts w:ascii="Times New Roman" w:hAnsi="Times New Roman" w:cs="Times New Roman"/>
            <w:i/>
            <w:color w:val="1F497D" w:themeColor="text2"/>
          </w:rPr>
          <w:fldChar w:fldCharType="begin"/>
        </w:r>
        <w:r w:rsidRPr="00AC45C7">
          <w:rPr>
            <w:rFonts w:ascii="Times New Roman" w:hAnsi="Times New Roman" w:cs="Times New Roman"/>
            <w:i/>
            <w:color w:val="1F497D" w:themeColor="text2"/>
          </w:rPr>
          <w:instrText>PAGE   \* MERGEFORMAT</w:instrText>
        </w:r>
        <w:r w:rsidRPr="00AC45C7">
          <w:rPr>
            <w:rFonts w:ascii="Times New Roman" w:hAnsi="Times New Roman" w:cs="Times New Roman"/>
            <w:i/>
            <w:color w:val="1F497D" w:themeColor="text2"/>
          </w:rPr>
          <w:fldChar w:fldCharType="separate"/>
        </w:r>
        <w:r w:rsidR="000F42B0" w:rsidRPr="000F42B0">
          <w:rPr>
            <w:rFonts w:ascii="Times New Roman" w:hAnsi="Times New Roman" w:cs="Times New Roman"/>
            <w:i/>
            <w:noProof/>
            <w:color w:val="1F497D" w:themeColor="text2"/>
            <w:lang w:val="es-ES"/>
          </w:rPr>
          <w:t>28</w:t>
        </w:r>
        <w:r w:rsidRPr="00AC45C7">
          <w:rPr>
            <w:rFonts w:ascii="Times New Roman" w:hAnsi="Times New Roman" w:cs="Times New Roman"/>
            <w:i/>
            <w:color w:val="1F497D" w:themeColor="text2"/>
          </w:rPr>
          <w:fldChar w:fldCharType="end"/>
        </w:r>
        <w:r w:rsidRPr="00AC45C7">
          <w:rPr>
            <w:rFonts w:ascii="Times New Roman" w:hAnsi="Times New Roman" w:cs="Times New Roman"/>
            <w:i/>
            <w:color w:val="1F497D" w:themeColor="text2"/>
            <w:lang w:val="es-ES"/>
          </w:rPr>
          <w:t xml:space="preserve"> </w:t>
        </w:r>
      </w:p>
    </w:sdtContent>
  </w:sdt>
  <w:p w14:paraId="39784CD2" w14:textId="77777777" w:rsidR="00714DD2" w:rsidRPr="00D5619D" w:rsidRDefault="00714DD2">
    <w:pPr>
      <w:pStyle w:val="Piedepgina"/>
      <w:rPr>
        <w:rFonts w:ascii="Times New Roman" w:hAnsi="Times New Roman" w:cs="Times New Roman"/>
        <w:i/>
        <w:color w:val="1F497D" w:themeColor="text2"/>
      </w:rPr>
    </w:pPr>
    <w:r w:rsidRPr="00D5619D">
      <w:rPr>
        <w:rFonts w:ascii="Times New Roman" w:hAnsi="Times New Roman" w:cs="Times New Roman"/>
        <w:i/>
        <w:color w:val="1F497D" w:themeColor="text2"/>
      </w:rPr>
      <w:t>Informe de desempeño de la Política Fiscal 201</w:t>
    </w:r>
    <w:r>
      <w:rPr>
        <w:rFonts w:ascii="Times New Roman" w:hAnsi="Times New Roman" w:cs="Times New Roman"/>
        <w:i/>
        <w:color w:val="1F497D" w:themeColor="text2"/>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37582" w14:textId="77777777" w:rsidR="00714DD2" w:rsidRDefault="00714DD2">
    <w:pPr>
      <w:pStyle w:val="Piedepgina"/>
    </w:pPr>
    <w:r>
      <w:rPr>
        <w:rFonts w:ascii="Times New Roman" w:hAnsi="Times New Roman" w:cs="Times New Roman"/>
        <w:i/>
        <w:noProof/>
        <w:color w:val="1F497D" w:themeColor="text2"/>
        <w:lang w:val="es-ES"/>
      </w:rPr>
      <mc:AlternateContent>
        <mc:Choice Requires="wps">
          <w:drawing>
            <wp:anchor distT="0" distB="0" distL="114300" distR="114300" simplePos="0" relativeHeight="251664384" behindDoc="0" locked="0" layoutInCell="1" allowOverlap="1" wp14:anchorId="2C67F3FC" wp14:editId="2B07D3AE">
              <wp:simplePos x="0" y="0"/>
              <wp:positionH relativeFrom="column">
                <wp:posOffset>77580</wp:posOffset>
              </wp:positionH>
              <wp:positionV relativeFrom="paragraph">
                <wp:posOffset>-206568</wp:posOffset>
              </wp:positionV>
              <wp:extent cx="5931315" cy="47625"/>
              <wp:effectExtent l="0" t="0" r="12700" b="28575"/>
              <wp:wrapNone/>
              <wp:docPr id="45" name="45 Rectángulo"/>
              <wp:cNvGraphicFramePr/>
              <a:graphic xmlns:a="http://schemas.openxmlformats.org/drawingml/2006/main">
                <a:graphicData uri="http://schemas.microsoft.com/office/word/2010/wordprocessingShape">
                  <wps:wsp>
                    <wps:cNvSpPr/>
                    <wps:spPr>
                      <a:xfrm>
                        <a:off x="0" y="0"/>
                        <a:ext cx="5931315"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2683C41" id="45 Rectángulo" o:spid="_x0000_s1026" style="position:absolute;margin-left:6.1pt;margin-top:-16.25pt;width:467.05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" fillcolor="#8aabd3 [2132]" strokeweight="2pt">
              <v:fill color2="#f2f2f2 [3052]" rotate="t" angle="90" colors="0 #9ab5e4;50463f #c2d1ed;58327f #e1e8f5;64881f #f2f2f2"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39A61" w14:textId="77777777" w:rsidR="001B501F" w:rsidRDefault="001B501F" w:rsidP="000B5E1C">
      <w:r>
        <w:separator/>
      </w:r>
    </w:p>
  </w:footnote>
  <w:footnote w:type="continuationSeparator" w:id="0">
    <w:p w14:paraId="6FBF51A9" w14:textId="77777777" w:rsidR="001B501F" w:rsidRDefault="001B501F" w:rsidP="000B5E1C">
      <w:r>
        <w:continuationSeparator/>
      </w:r>
    </w:p>
  </w:footnote>
  <w:footnote w:id="1">
    <w:p w14:paraId="66507879" w14:textId="77777777" w:rsidR="00714DD2" w:rsidRPr="004E78E7" w:rsidRDefault="00714DD2" w:rsidP="0021699A">
      <w:pPr>
        <w:pStyle w:val="Textonotapie"/>
        <w:ind w:left="142" w:hanging="142"/>
        <w:jc w:val="both"/>
        <w:rPr>
          <w:rFonts w:ascii="Times New Roman" w:hAnsi="Times New Roman" w:cs="Times New Roman"/>
          <w:lang w:val="es-MX"/>
        </w:rPr>
      </w:pPr>
      <w:r w:rsidRPr="004E78E7">
        <w:rPr>
          <w:rStyle w:val="Refdenotaalpie"/>
          <w:rFonts w:ascii="Times New Roman" w:hAnsi="Times New Roman" w:cs="Times New Roman"/>
        </w:rPr>
        <w:footnoteRef/>
      </w:r>
      <w:r w:rsidRPr="004E78E7">
        <w:rPr>
          <w:rFonts w:ascii="Times New Roman" w:hAnsi="Times New Roman" w:cs="Times New Roman"/>
        </w:rPr>
        <w:t xml:space="preserve"> </w:t>
      </w:r>
      <w:r w:rsidRPr="004E78E7">
        <w:rPr>
          <w:rFonts w:ascii="Times New Roman" w:hAnsi="Times New Roman" w:cs="Times New Roman"/>
          <w:lang w:val="es-MX"/>
        </w:rPr>
        <w:t xml:space="preserve">Esta brecha incluye Q </w:t>
      </w:r>
      <w:r>
        <w:rPr>
          <w:rFonts w:ascii="Times New Roman" w:hAnsi="Times New Roman" w:cs="Times New Roman"/>
          <w:lang w:val="es-MX"/>
        </w:rPr>
        <w:t xml:space="preserve">42.5 </w:t>
      </w:r>
      <w:r w:rsidRPr="004E78E7">
        <w:rPr>
          <w:rFonts w:ascii="Times New Roman" w:hAnsi="Times New Roman" w:cs="Times New Roman"/>
          <w:lang w:val="es-MX"/>
        </w:rPr>
        <w:t xml:space="preserve">millones de los impuestos no administrados por la SAT, por lo que la brecha de la recaudación a cargo de la SAT fue de </w:t>
      </w:r>
      <w:r>
        <w:rPr>
          <w:rFonts w:ascii="Times New Roman" w:hAnsi="Times New Roman" w:cs="Times New Roman"/>
          <w:lang w:val="es-MX"/>
        </w:rPr>
        <w:t>Q1,391.6</w:t>
      </w:r>
      <w:r w:rsidRPr="004E78E7">
        <w:rPr>
          <w:rFonts w:ascii="Times New Roman" w:hAnsi="Times New Roman" w:cs="Times New Roman"/>
          <w:lang w:val="es-MX"/>
        </w:rPr>
        <w:t xml:space="preserve"> mi</w:t>
      </w:r>
      <w:r>
        <w:rPr>
          <w:rFonts w:ascii="Times New Roman" w:hAnsi="Times New Roman" w:cs="Times New Roman"/>
          <w:lang w:val="es-MX"/>
        </w:rPr>
        <w:t>llones, para una ejecución de 97.8</w:t>
      </w:r>
      <w:r w:rsidRPr="004E78E7">
        <w:rPr>
          <w:rFonts w:ascii="Times New Roman" w:hAnsi="Times New Roman" w:cs="Times New Roman"/>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444E" w14:textId="77777777" w:rsidR="00714DD2" w:rsidRPr="00AC45C7" w:rsidRDefault="00714DD2" w:rsidP="00AC45C7">
    <w:pPr>
      <w:pStyle w:val="Encabezado"/>
      <w:jc w:val="right"/>
      <w:rPr>
        <w:rFonts w:ascii="Times New Roman" w:hAnsi="Times New Roman" w:cs="Times New Roman"/>
        <w:i/>
        <w:color w:val="1F497D" w:themeColor="text2"/>
      </w:rPr>
    </w:pPr>
    <w:r>
      <w:rPr>
        <w:rFonts w:ascii="Times New Roman" w:hAnsi="Times New Roman" w:cs="Times New Roman"/>
        <w:i/>
        <w:noProof/>
        <w:color w:val="1F497D" w:themeColor="text2"/>
        <w:lang w:val="es-ES"/>
      </w:rPr>
      <mc:AlternateContent>
        <mc:Choice Requires="wps">
          <w:drawing>
            <wp:anchor distT="0" distB="0" distL="114300" distR="114300" simplePos="0" relativeHeight="251657728" behindDoc="0" locked="0" layoutInCell="1" allowOverlap="1" wp14:anchorId="26DEA52F" wp14:editId="4673C80D">
              <wp:simplePos x="0" y="0"/>
              <wp:positionH relativeFrom="column">
                <wp:posOffset>1421351</wp:posOffset>
              </wp:positionH>
              <wp:positionV relativeFrom="paragraph">
                <wp:posOffset>313110</wp:posOffset>
              </wp:positionV>
              <wp:extent cx="4683014" cy="45719"/>
              <wp:effectExtent l="0" t="0" r="22860" b="12065"/>
              <wp:wrapNone/>
              <wp:docPr id="44" name="44 Rectángulo"/>
              <wp:cNvGraphicFramePr/>
              <a:graphic xmlns:a="http://schemas.openxmlformats.org/drawingml/2006/main">
                <a:graphicData uri="http://schemas.microsoft.com/office/word/2010/wordprocessingShape">
                  <wps:wsp>
                    <wps:cNvSpPr/>
                    <wps:spPr>
                      <a:xfrm>
                        <a:off x="0" y="0"/>
                        <a:ext cx="4683014" cy="45719"/>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6BF6E21D" id="44 Rectángulo" o:spid="_x0000_s1026" style="position:absolute;margin-left:111.9pt;margin-top:24.65pt;width:368.75pt;height:3.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" fillcolor="#8aabd3 [2132]" strokeweight="2pt">
              <v:fill color2="#f2f2f2 [3052]" rotate="t" angle="90" colors="0 #9ab5e4;50463f #c2d1ed;58327f #e1e8f5;64881f #f2f2f2" focus="100%" type="gradient">
                <o:fill v:ext="view" type="gradientUnscaled"/>
              </v:fill>
            </v:rect>
          </w:pict>
        </mc:Fallback>
      </mc:AlternateContent>
    </w:r>
    <w:r>
      <w:rPr>
        <w:noProof/>
        <w:lang w:val="es-ES"/>
      </w:rPr>
      <w:drawing>
        <wp:anchor distT="0" distB="0" distL="114300" distR="114300" simplePos="0" relativeHeight="251664896" behindDoc="0" locked="0" layoutInCell="1" allowOverlap="1" wp14:anchorId="62CE7B9A" wp14:editId="2668BDD4">
          <wp:simplePos x="0" y="0"/>
          <wp:positionH relativeFrom="column">
            <wp:posOffset>-63611</wp:posOffset>
          </wp:positionH>
          <wp:positionV relativeFrom="paragraph">
            <wp:posOffset>-286882</wp:posOffset>
          </wp:positionV>
          <wp:extent cx="1598212" cy="723976"/>
          <wp:effectExtent l="0" t="0" r="2540" b="0"/>
          <wp:wrapNone/>
          <wp:docPr id="5" name="Imagen 5"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12" cy="723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5C7">
      <w:rPr>
        <w:rFonts w:ascii="Times New Roman" w:hAnsi="Times New Roman" w:cs="Times New Roman"/>
        <w:i/>
        <w:color w:val="1F497D" w:themeColor="text2"/>
      </w:rPr>
      <w:t>Dirección de Análisis y Política Fiscal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8C581" w14:textId="77777777" w:rsidR="00714DD2" w:rsidRPr="005329C2" w:rsidRDefault="00714DD2" w:rsidP="005329C2">
    <w:pPr>
      <w:pStyle w:val="Encabezado"/>
      <w:jc w:val="right"/>
      <w:rPr>
        <w:rFonts w:ascii="Times New Roman" w:hAnsi="Times New Roman" w:cs="Times New Roman"/>
        <w:i/>
        <w:color w:val="1F497D" w:themeColor="text2"/>
      </w:rPr>
    </w:pPr>
    <w:r>
      <w:rPr>
        <w:rFonts w:ascii="Times New Roman" w:hAnsi="Times New Roman" w:cs="Times New Roman"/>
        <w:i/>
        <w:noProof/>
        <w:color w:val="1F497D" w:themeColor="text2"/>
        <w:lang w:val="es-ES"/>
      </w:rPr>
      <mc:AlternateContent>
        <mc:Choice Requires="wps">
          <w:drawing>
            <wp:anchor distT="0" distB="0" distL="114300" distR="114300" simplePos="0" relativeHeight="251660800" behindDoc="0" locked="0" layoutInCell="1" allowOverlap="1" wp14:anchorId="24D67CF3" wp14:editId="53842F86">
              <wp:simplePos x="0" y="0"/>
              <wp:positionH relativeFrom="column">
                <wp:posOffset>1413400</wp:posOffset>
              </wp:positionH>
              <wp:positionV relativeFrom="paragraph">
                <wp:posOffset>344915</wp:posOffset>
              </wp:positionV>
              <wp:extent cx="4595853" cy="47625"/>
              <wp:effectExtent l="0" t="0" r="14605" b="28575"/>
              <wp:wrapNone/>
              <wp:docPr id="46" name="46 Rectángulo"/>
              <wp:cNvGraphicFramePr/>
              <a:graphic xmlns:a="http://schemas.openxmlformats.org/drawingml/2006/main">
                <a:graphicData uri="http://schemas.microsoft.com/office/word/2010/wordprocessingShape">
                  <wps:wsp>
                    <wps:cNvSpPr/>
                    <wps:spPr>
                      <a:xfrm>
                        <a:off x="0" y="0"/>
                        <a:ext cx="4595853" cy="47625"/>
                      </a:xfrm>
                      <a:prstGeom prst="rect">
                        <a:avLst/>
                      </a:prstGeom>
                      <a:gradFill flip="none" rotWithShape="1">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0" scaled="0"/>
                        <a:tileRect/>
                      </a:gradFill>
                      <a:ln>
                        <a:gradFill>
                          <a:gsLst>
                            <a:gs pos="0">
                              <a:schemeClr val="accent1">
                                <a:tint val="66000"/>
                                <a:satMod val="160000"/>
                              </a:schemeClr>
                            </a:gs>
                            <a:gs pos="77000">
                              <a:schemeClr val="accent1">
                                <a:tint val="44500"/>
                                <a:satMod val="160000"/>
                              </a:schemeClr>
                            </a:gs>
                            <a:gs pos="99000">
                              <a:schemeClr val="bg1">
                                <a:lumMod val="95000"/>
                              </a:schemeClr>
                            </a:gs>
                            <a:gs pos="89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D8E5E70" id="46 Rectángulo" o:spid="_x0000_s1026" style="position:absolute;margin-left:111.3pt;margin-top:27.15pt;width:361.9pt;height:3.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" fillcolor="#8aabd3 [2132]" strokeweight="2pt">
              <v:fill color2="#f2f2f2 [3052]" rotate="t" angle="90" colors="0 #9ab5e4;50463f #c2d1ed;58327f #e1e8f5;64881f #f2f2f2" focus="100%" type="gradient">
                <o:fill v:ext="view" type="gradientUnscaled"/>
              </v:fill>
            </v:rect>
          </w:pict>
        </mc:Fallback>
      </mc:AlternateContent>
    </w:r>
    <w:r>
      <w:rPr>
        <w:noProof/>
        <w:lang w:val="es-ES"/>
      </w:rPr>
      <w:drawing>
        <wp:anchor distT="0" distB="0" distL="114300" distR="114300" simplePos="0" relativeHeight="251662848" behindDoc="0" locked="0" layoutInCell="1" allowOverlap="1" wp14:anchorId="111FF8D5" wp14:editId="1299ABFE">
          <wp:simplePos x="0" y="0"/>
          <wp:positionH relativeFrom="column">
            <wp:posOffset>0</wp:posOffset>
          </wp:positionH>
          <wp:positionV relativeFrom="paragraph">
            <wp:posOffset>-294833</wp:posOffset>
          </wp:positionV>
          <wp:extent cx="1598212" cy="723976"/>
          <wp:effectExtent l="0" t="0" r="2540" b="0"/>
          <wp:wrapNone/>
          <wp:docPr id="4" name="Imagen 4" descr="Resultado de imagen para gobierno de guate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bierno de guatem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12" cy="723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19D">
      <w:rPr>
        <w:rFonts w:ascii="Times New Roman" w:hAnsi="Times New Roman" w:cs="Times New Roman"/>
        <w:i/>
        <w:color w:val="1F497D" w:themeColor="text2"/>
        <w:sz w:val="28"/>
      </w:rPr>
      <w:t>Dirección de Análisis y Política Fiscal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60D"/>
    <w:multiLevelType w:val="hybridMultilevel"/>
    <w:tmpl w:val="5652F5FA"/>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1">
    <w:nsid w:val="111A32CD"/>
    <w:multiLevelType w:val="hybridMultilevel"/>
    <w:tmpl w:val="6818CFE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30B3E59"/>
    <w:multiLevelType w:val="hybridMultilevel"/>
    <w:tmpl w:val="F832278A"/>
    <w:lvl w:ilvl="0" w:tplc="4142F532">
      <w:start w:val="1"/>
      <w:numFmt w:val="low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45536B5"/>
    <w:multiLevelType w:val="hybridMultilevel"/>
    <w:tmpl w:val="02E2FB34"/>
    <w:lvl w:ilvl="0" w:tplc="2E828656">
      <w:start w:val="1"/>
      <w:numFmt w:val="decimal"/>
      <w:lvlText w:val="%1.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16811248"/>
    <w:multiLevelType w:val="hybridMultilevel"/>
    <w:tmpl w:val="2E12EF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20E5232B"/>
    <w:multiLevelType w:val="hybridMultilevel"/>
    <w:tmpl w:val="E06C4B02"/>
    <w:lvl w:ilvl="0" w:tplc="47281706">
      <w:start w:val="1"/>
      <w:numFmt w:val="bullet"/>
      <w:lvlText w:val="•"/>
      <w:lvlJc w:val="left"/>
      <w:pPr>
        <w:tabs>
          <w:tab w:val="num" w:pos="720"/>
        </w:tabs>
        <w:ind w:left="720" w:hanging="360"/>
      </w:pPr>
      <w:rPr>
        <w:rFonts w:ascii="Arial" w:hAnsi="Arial" w:hint="default"/>
      </w:rPr>
    </w:lvl>
    <w:lvl w:ilvl="1" w:tplc="100A0017">
      <w:start w:val="1"/>
      <w:numFmt w:val="lowerLetter"/>
      <w:lvlText w:val="%2)"/>
      <w:lvlJc w:val="left"/>
      <w:pPr>
        <w:tabs>
          <w:tab w:val="num" w:pos="1440"/>
        </w:tabs>
        <w:ind w:left="1440" w:hanging="360"/>
      </w:pPr>
      <w:rPr>
        <w:rFonts w:hint="default"/>
      </w:rPr>
    </w:lvl>
    <w:lvl w:ilvl="2" w:tplc="1C30B89C" w:tentative="1">
      <w:start w:val="1"/>
      <w:numFmt w:val="bullet"/>
      <w:lvlText w:val="•"/>
      <w:lvlJc w:val="left"/>
      <w:pPr>
        <w:tabs>
          <w:tab w:val="num" w:pos="2160"/>
        </w:tabs>
        <w:ind w:left="2160" w:hanging="360"/>
      </w:pPr>
      <w:rPr>
        <w:rFonts w:ascii="Arial" w:hAnsi="Arial" w:hint="default"/>
      </w:rPr>
    </w:lvl>
    <w:lvl w:ilvl="3" w:tplc="BC8E2AC2" w:tentative="1">
      <w:start w:val="1"/>
      <w:numFmt w:val="bullet"/>
      <w:lvlText w:val="•"/>
      <w:lvlJc w:val="left"/>
      <w:pPr>
        <w:tabs>
          <w:tab w:val="num" w:pos="2880"/>
        </w:tabs>
        <w:ind w:left="2880" w:hanging="360"/>
      </w:pPr>
      <w:rPr>
        <w:rFonts w:ascii="Arial" w:hAnsi="Arial" w:hint="default"/>
      </w:rPr>
    </w:lvl>
    <w:lvl w:ilvl="4" w:tplc="A130603C" w:tentative="1">
      <w:start w:val="1"/>
      <w:numFmt w:val="bullet"/>
      <w:lvlText w:val="•"/>
      <w:lvlJc w:val="left"/>
      <w:pPr>
        <w:tabs>
          <w:tab w:val="num" w:pos="3600"/>
        </w:tabs>
        <w:ind w:left="3600" w:hanging="360"/>
      </w:pPr>
      <w:rPr>
        <w:rFonts w:ascii="Arial" w:hAnsi="Arial" w:hint="default"/>
      </w:rPr>
    </w:lvl>
    <w:lvl w:ilvl="5" w:tplc="347CF7B6" w:tentative="1">
      <w:start w:val="1"/>
      <w:numFmt w:val="bullet"/>
      <w:lvlText w:val="•"/>
      <w:lvlJc w:val="left"/>
      <w:pPr>
        <w:tabs>
          <w:tab w:val="num" w:pos="4320"/>
        </w:tabs>
        <w:ind w:left="4320" w:hanging="360"/>
      </w:pPr>
      <w:rPr>
        <w:rFonts w:ascii="Arial" w:hAnsi="Arial" w:hint="default"/>
      </w:rPr>
    </w:lvl>
    <w:lvl w:ilvl="6" w:tplc="9580CE46" w:tentative="1">
      <w:start w:val="1"/>
      <w:numFmt w:val="bullet"/>
      <w:lvlText w:val="•"/>
      <w:lvlJc w:val="left"/>
      <w:pPr>
        <w:tabs>
          <w:tab w:val="num" w:pos="5040"/>
        </w:tabs>
        <w:ind w:left="5040" w:hanging="360"/>
      </w:pPr>
      <w:rPr>
        <w:rFonts w:ascii="Arial" w:hAnsi="Arial" w:hint="default"/>
      </w:rPr>
    </w:lvl>
    <w:lvl w:ilvl="7" w:tplc="1304CE74" w:tentative="1">
      <w:start w:val="1"/>
      <w:numFmt w:val="bullet"/>
      <w:lvlText w:val="•"/>
      <w:lvlJc w:val="left"/>
      <w:pPr>
        <w:tabs>
          <w:tab w:val="num" w:pos="5760"/>
        </w:tabs>
        <w:ind w:left="5760" w:hanging="360"/>
      </w:pPr>
      <w:rPr>
        <w:rFonts w:ascii="Arial" w:hAnsi="Arial" w:hint="default"/>
      </w:rPr>
    </w:lvl>
    <w:lvl w:ilvl="8" w:tplc="EBA26016" w:tentative="1">
      <w:start w:val="1"/>
      <w:numFmt w:val="bullet"/>
      <w:lvlText w:val="•"/>
      <w:lvlJc w:val="left"/>
      <w:pPr>
        <w:tabs>
          <w:tab w:val="num" w:pos="6480"/>
        </w:tabs>
        <w:ind w:left="6480" w:hanging="360"/>
      </w:pPr>
      <w:rPr>
        <w:rFonts w:ascii="Arial" w:hAnsi="Arial" w:hint="default"/>
      </w:rPr>
    </w:lvl>
  </w:abstractNum>
  <w:abstractNum w:abstractNumId="6">
    <w:nsid w:val="27605102"/>
    <w:multiLevelType w:val="hybridMultilevel"/>
    <w:tmpl w:val="FEA4A058"/>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7">
    <w:nsid w:val="2B756652"/>
    <w:multiLevelType w:val="hybridMultilevel"/>
    <w:tmpl w:val="4C3CF3C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2CEE5E3C"/>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D3D32D9"/>
    <w:multiLevelType w:val="hybridMultilevel"/>
    <w:tmpl w:val="D6B8F3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2D5A09C0"/>
    <w:multiLevelType w:val="hybridMultilevel"/>
    <w:tmpl w:val="92F073A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2F3A7D94"/>
    <w:multiLevelType w:val="hybridMultilevel"/>
    <w:tmpl w:val="D4A449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31A24AD2"/>
    <w:multiLevelType w:val="multilevel"/>
    <w:tmpl w:val="0C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3">
    <w:nsid w:val="38E61988"/>
    <w:multiLevelType w:val="hybridMultilevel"/>
    <w:tmpl w:val="7D04A81C"/>
    <w:lvl w:ilvl="0" w:tplc="A1F83D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4">
    <w:nsid w:val="39344CF8"/>
    <w:multiLevelType w:val="hybridMultilevel"/>
    <w:tmpl w:val="39F4D9A0"/>
    <w:lvl w:ilvl="0" w:tplc="100A0017">
      <w:start w:val="1"/>
      <w:numFmt w:val="lowerLetter"/>
      <w:lvlText w:val="%1)"/>
      <w:lvlJc w:val="left"/>
      <w:pPr>
        <w:tabs>
          <w:tab w:val="num" w:pos="1428"/>
        </w:tabs>
        <w:ind w:left="1428" w:hanging="360"/>
      </w:pPr>
      <w:rPr>
        <w:rFonts w:hint="default"/>
      </w:rPr>
    </w:lvl>
    <w:lvl w:ilvl="1" w:tplc="88A822C4" w:tentative="1">
      <w:start w:val="1"/>
      <w:numFmt w:val="bullet"/>
      <w:lvlText w:val="•"/>
      <w:lvlJc w:val="left"/>
      <w:pPr>
        <w:tabs>
          <w:tab w:val="num" w:pos="2148"/>
        </w:tabs>
        <w:ind w:left="2148" w:hanging="360"/>
      </w:pPr>
      <w:rPr>
        <w:rFonts w:ascii="Arial" w:hAnsi="Arial" w:hint="default"/>
      </w:rPr>
    </w:lvl>
    <w:lvl w:ilvl="2" w:tplc="0A663566" w:tentative="1">
      <w:start w:val="1"/>
      <w:numFmt w:val="bullet"/>
      <w:lvlText w:val="•"/>
      <w:lvlJc w:val="left"/>
      <w:pPr>
        <w:tabs>
          <w:tab w:val="num" w:pos="2868"/>
        </w:tabs>
        <w:ind w:left="2868" w:hanging="360"/>
      </w:pPr>
      <w:rPr>
        <w:rFonts w:ascii="Arial" w:hAnsi="Arial" w:hint="default"/>
      </w:rPr>
    </w:lvl>
    <w:lvl w:ilvl="3" w:tplc="FC0AC50E" w:tentative="1">
      <w:start w:val="1"/>
      <w:numFmt w:val="bullet"/>
      <w:lvlText w:val="•"/>
      <w:lvlJc w:val="left"/>
      <w:pPr>
        <w:tabs>
          <w:tab w:val="num" w:pos="3588"/>
        </w:tabs>
        <w:ind w:left="3588" w:hanging="360"/>
      </w:pPr>
      <w:rPr>
        <w:rFonts w:ascii="Arial" w:hAnsi="Arial" w:hint="default"/>
      </w:rPr>
    </w:lvl>
    <w:lvl w:ilvl="4" w:tplc="2F2C20D6" w:tentative="1">
      <w:start w:val="1"/>
      <w:numFmt w:val="bullet"/>
      <w:lvlText w:val="•"/>
      <w:lvlJc w:val="left"/>
      <w:pPr>
        <w:tabs>
          <w:tab w:val="num" w:pos="4308"/>
        </w:tabs>
        <w:ind w:left="4308" w:hanging="360"/>
      </w:pPr>
      <w:rPr>
        <w:rFonts w:ascii="Arial" w:hAnsi="Arial" w:hint="default"/>
      </w:rPr>
    </w:lvl>
    <w:lvl w:ilvl="5" w:tplc="3D765614" w:tentative="1">
      <w:start w:val="1"/>
      <w:numFmt w:val="bullet"/>
      <w:lvlText w:val="•"/>
      <w:lvlJc w:val="left"/>
      <w:pPr>
        <w:tabs>
          <w:tab w:val="num" w:pos="5028"/>
        </w:tabs>
        <w:ind w:left="5028" w:hanging="360"/>
      </w:pPr>
      <w:rPr>
        <w:rFonts w:ascii="Arial" w:hAnsi="Arial" w:hint="default"/>
      </w:rPr>
    </w:lvl>
    <w:lvl w:ilvl="6" w:tplc="D7B4C0EE" w:tentative="1">
      <w:start w:val="1"/>
      <w:numFmt w:val="bullet"/>
      <w:lvlText w:val="•"/>
      <w:lvlJc w:val="left"/>
      <w:pPr>
        <w:tabs>
          <w:tab w:val="num" w:pos="5748"/>
        </w:tabs>
        <w:ind w:left="5748" w:hanging="360"/>
      </w:pPr>
      <w:rPr>
        <w:rFonts w:ascii="Arial" w:hAnsi="Arial" w:hint="default"/>
      </w:rPr>
    </w:lvl>
    <w:lvl w:ilvl="7" w:tplc="FFBC65E4" w:tentative="1">
      <w:start w:val="1"/>
      <w:numFmt w:val="bullet"/>
      <w:lvlText w:val="•"/>
      <w:lvlJc w:val="left"/>
      <w:pPr>
        <w:tabs>
          <w:tab w:val="num" w:pos="6468"/>
        </w:tabs>
        <w:ind w:left="6468" w:hanging="360"/>
      </w:pPr>
      <w:rPr>
        <w:rFonts w:ascii="Arial" w:hAnsi="Arial" w:hint="default"/>
      </w:rPr>
    </w:lvl>
    <w:lvl w:ilvl="8" w:tplc="7AD008E2" w:tentative="1">
      <w:start w:val="1"/>
      <w:numFmt w:val="bullet"/>
      <w:lvlText w:val="•"/>
      <w:lvlJc w:val="left"/>
      <w:pPr>
        <w:tabs>
          <w:tab w:val="num" w:pos="7188"/>
        </w:tabs>
        <w:ind w:left="7188" w:hanging="360"/>
      </w:pPr>
      <w:rPr>
        <w:rFonts w:ascii="Arial" w:hAnsi="Arial" w:hint="default"/>
      </w:rPr>
    </w:lvl>
  </w:abstractNum>
  <w:abstractNum w:abstractNumId="15">
    <w:nsid w:val="3F4E4675"/>
    <w:multiLevelType w:val="hybridMultilevel"/>
    <w:tmpl w:val="592A14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41F878AD"/>
    <w:multiLevelType w:val="multilevel"/>
    <w:tmpl w:val="6BE6B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3772FF"/>
    <w:multiLevelType w:val="multilevel"/>
    <w:tmpl w:val="8960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455B36"/>
    <w:multiLevelType w:val="hybridMultilevel"/>
    <w:tmpl w:val="2F9A9654"/>
    <w:lvl w:ilvl="0" w:tplc="DB6E8538">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nsid w:val="50587C29"/>
    <w:multiLevelType w:val="hybridMultilevel"/>
    <w:tmpl w:val="21D2FB3A"/>
    <w:lvl w:ilvl="0" w:tplc="100A0017">
      <w:start w:val="1"/>
      <w:numFmt w:val="lowerLetter"/>
      <w:lvlText w:val="%1)"/>
      <w:lvlJc w:val="left"/>
      <w:pPr>
        <w:ind w:left="1776" w:hanging="360"/>
      </w:p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20">
    <w:nsid w:val="523C077D"/>
    <w:multiLevelType w:val="multilevel"/>
    <w:tmpl w:val="43220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777B9E"/>
    <w:multiLevelType w:val="hybridMultilevel"/>
    <w:tmpl w:val="3F0047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nsid w:val="58741E90"/>
    <w:multiLevelType w:val="multilevel"/>
    <w:tmpl w:val="58DEA22A"/>
    <w:lvl w:ilvl="0">
      <w:start w:val="1"/>
      <w:numFmt w:val="upperRoman"/>
      <w:lvlText w:val="%1."/>
      <w:lvlJc w:val="left"/>
      <w:pPr>
        <w:ind w:left="720" w:hanging="720"/>
      </w:pPr>
      <w:rPr>
        <w:rFonts w:hint="default"/>
      </w:rPr>
    </w:lvl>
    <w:lvl w:ilvl="1">
      <w:start w:val="3"/>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8B02801"/>
    <w:multiLevelType w:val="hybridMultilevel"/>
    <w:tmpl w:val="CDF2324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5C403D22"/>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CE5754F"/>
    <w:multiLevelType w:val="hybridMultilevel"/>
    <w:tmpl w:val="66D0A5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nsid w:val="5D1A7293"/>
    <w:multiLevelType w:val="hybridMultilevel"/>
    <w:tmpl w:val="574693B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nsid w:val="5E9B22BF"/>
    <w:multiLevelType w:val="hybridMultilevel"/>
    <w:tmpl w:val="7D0EE6BA"/>
    <w:lvl w:ilvl="0" w:tplc="FD3A4A76">
      <w:start w:val="1"/>
      <w:numFmt w:val="lowerLetter"/>
      <w:lvlText w:val="%1."/>
      <w:lvlJc w:val="left"/>
      <w:pPr>
        <w:ind w:left="720" w:hanging="360"/>
      </w:pPr>
      <w:rPr>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5E9E267F"/>
    <w:multiLevelType w:val="hybridMultilevel"/>
    <w:tmpl w:val="B18CB37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9">
    <w:nsid w:val="627D15BE"/>
    <w:multiLevelType w:val="multilevel"/>
    <w:tmpl w:val="E6A25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9C3A2A"/>
    <w:multiLevelType w:val="hybridMultilevel"/>
    <w:tmpl w:val="36860404"/>
    <w:lvl w:ilvl="0" w:tplc="46F0C8B4">
      <w:start w:val="1"/>
      <w:numFmt w:val="bullet"/>
      <w:lvlText w:val="•"/>
      <w:lvlJc w:val="left"/>
      <w:pPr>
        <w:tabs>
          <w:tab w:val="num" w:pos="720"/>
        </w:tabs>
        <w:ind w:left="720" w:hanging="360"/>
      </w:pPr>
      <w:rPr>
        <w:rFonts w:ascii="Arial" w:hAnsi="Arial" w:hint="default"/>
      </w:rPr>
    </w:lvl>
    <w:lvl w:ilvl="1" w:tplc="3640B6EE">
      <w:start w:val="82"/>
      <w:numFmt w:val="bullet"/>
      <w:lvlText w:val=""/>
      <w:lvlJc w:val="left"/>
      <w:pPr>
        <w:tabs>
          <w:tab w:val="num" w:pos="1440"/>
        </w:tabs>
        <w:ind w:left="1440" w:hanging="360"/>
      </w:pPr>
      <w:rPr>
        <w:rFonts w:ascii="Wingdings" w:hAnsi="Wingdings" w:hint="default"/>
      </w:rPr>
    </w:lvl>
    <w:lvl w:ilvl="2" w:tplc="803E46F8">
      <w:start w:val="82"/>
      <w:numFmt w:val="bullet"/>
      <w:lvlText w:val=""/>
      <w:lvlJc w:val="left"/>
      <w:pPr>
        <w:tabs>
          <w:tab w:val="num" w:pos="2160"/>
        </w:tabs>
        <w:ind w:left="2160" w:hanging="360"/>
      </w:pPr>
      <w:rPr>
        <w:rFonts w:ascii="Wingdings" w:hAnsi="Wingdings" w:hint="default"/>
      </w:rPr>
    </w:lvl>
    <w:lvl w:ilvl="3" w:tplc="E9BEBE16" w:tentative="1">
      <w:start w:val="1"/>
      <w:numFmt w:val="bullet"/>
      <w:lvlText w:val="•"/>
      <w:lvlJc w:val="left"/>
      <w:pPr>
        <w:tabs>
          <w:tab w:val="num" w:pos="2880"/>
        </w:tabs>
        <w:ind w:left="2880" w:hanging="360"/>
      </w:pPr>
      <w:rPr>
        <w:rFonts w:ascii="Arial" w:hAnsi="Arial" w:hint="default"/>
      </w:rPr>
    </w:lvl>
    <w:lvl w:ilvl="4" w:tplc="E7928B86" w:tentative="1">
      <w:start w:val="1"/>
      <w:numFmt w:val="bullet"/>
      <w:lvlText w:val="•"/>
      <w:lvlJc w:val="left"/>
      <w:pPr>
        <w:tabs>
          <w:tab w:val="num" w:pos="3600"/>
        </w:tabs>
        <w:ind w:left="3600" w:hanging="360"/>
      </w:pPr>
      <w:rPr>
        <w:rFonts w:ascii="Arial" w:hAnsi="Arial" w:hint="default"/>
      </w:rPr>
    </w:lvl>
    <w:lvl w:ilvl="5" w:tplc="FA6205C2" w:tentative="1">
      <w:start w:val="1"/>
      <w:numFmt w:val="bullet"/>
      <w:lvlText w:val="•"/>
      <w:lvlJc w:val="left"/>
      <w:pPr>
        <w:tabs>
          <w:tab w:val="num" w:pos="4320"/>
        </w:tabs>
        <w:ind w:left="4320" w:hanging="360"/>
      </w:pPr>
      <w:rPr>
        <w:rFonts w:ascii="Arial" w:hAnsi="Arial" w:hint="default"/>
      </w:rPr>
    </w:lvl>
    <w:lvl w:ilvl="6" w:tplc="3B56D9A4" w:tentative="1">
      <w:start w:val="1"/>
      <w:numFmt w:val="bullet"/>
      <w:lvlText w:val="•"/>
      <w:lvlJc w:val="left"/>
      <w:pPr>
        <w:tabs>
          <w:tab w:val="num" w:pos="5040"/>
        </w:tabs>
        <w:ind w:left="5040" w:hanging="360"/>
      </w:pPr>
      <w:rPr>
        <w:rFonts w:ascii="Arial" w:hAnsi="Arial" w:hint="default"/>
      </w:rPr>
    </w:lvl>
    <w:lvl w:ilvl="7" w:tplc="FF32ECCC" w:tentative="1">
      <w:start w:val="1"/>
      <w:numFmt w:val="bullet"/>
      <w:lvlText w:val="•"/>
      <w:lvlJc w:val="left"/>
      <w:pPr>
        <w:tabs>
          <w:tab w:val="num" w:pos="5760"/>
        </w:tabs>
        <w:ind w:left="5760" w:hanging="360"/>
      </w:pPr>
      <w:rPr>
        <w:rFonts w:ascii="Arial" w:hAnsi="Arial" w:hint="default"/>
      </w:rPr>
    </w:lvl>
    <w:lvl w:ilvl="8" w:tplc="DE920C2A" w:tentative="1">
      <w:start w:val="1"/>
      <w:numFmt w:val="bullet"/>
      <w:lvlText w:val="•"/>
      <w:lvlJc w:val="left"/>
      <w:pPr>
        <w:tabs>
          <w:tab w:val="num" w:pos="6480"/>
        </w:tabs>
        <w:ind w:left="6480" w:hanging="360"/>
      </w:pPr>
      <w:rPr>
        <w:rFonts w:ascii="Arial" w:hAnsi="Arial" w:hint="default"/>
      </w:rPr>
    </w:lvl>
  </w:abstractNum>
  <w:abstractNum w:abstractNumId="31">
    <w:nsid w:val="6C3E5119"/>
    <w:multiLevelType w:val="hybridMultilevel"/>
    <w:tmpl w:val="D05E2C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nsid w:val="70CB5DA4"/>
    <w:multiLevelType w:val="hybridMultilevel"/>
    <w:tmpl w:val="E174D1C4"/>
    <w:lvl w:ilvl="0" w:tplc="80D2798C">
      <w:start w:val="1"/>
      <w:numFmt w:val="decimal"/>
      <w:lvlText w:val="%1."/>
      <w:lvlJc w:val="left"/>
      <w:pPr>
        <w:ind w:left="720" w:hanging="360"/>
      </w:pPr>
      <w:rPr>
        <w:b/>
      </w:rPr>
    </w:lvl>
    <w:lvl w:ilvl="1" w:tplc="100A0017">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nsid w:val="73985C45"/>
    <w:multiLevelType w:val="hybridMultilevel"/>
    <w:tmpl w:val="0C14AC04"/>
    <w:lvl w:ilvl="0" w:tplc="100A0017">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34">
    <w:nsid w:val="75050691"/>
    <w:multiLevelType w:val="hybridMultilevel"/>
    <w:tmpl w:val="ED325860"/>
    <w:lvl w:ilvl="0" w:tplc="BDAE2E86">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nsid w:val="7BD86473"/>
    <w:multiLevelType w:val="hybridMultilevel"/>
    <w:tmpl w:val="AFA85F1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nsid w:val="7E490913"/>
    <w:multiLevelType w:val="hybridMultilevel"/>
    <w:tmpl w:val="8D88FC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7">
    <w:nsid w:val="7FC208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1"/>
  </w:num>
  <w:num w:numId="3">
    <w:abstractNumId w:val="10"/>
  </w:num>
  <w:num w:numId="4">
    <w:abstractNumId w:val="9"/>
  </w:num>
  <w:num w:numId="5">
    <w:abstractNumId w:val="25"/>
  </w:num>
  <w:num w:numId="6">
    <w:abstractNumId w:val="35"/>
  </w:num>
  <w:num w:numId="7">
    <w:abstractNumId w:val="26"/>
  </w:num>
  <w:num w:numId="8">
    <w:abstractNumId w:val="4"/>
  </w:num>
  <w:num w:numId="9">
    <w:abstractNumId w:val="3"/>
  </w:num>
  <w:num w:numId="10">
    <w:abstractNumId w:val="16"/>
  </w:num>
  <w:num w:numId="11">
    <w:abstractNumId w:val="17"/>
  </w:num>
  <w:num w:numId="12">
    <w:abstractNumId w:val="20"/>
  </w:num>
  <w:num w:numId="13">
    <w:abstractNumId w:val="27"/>
  </w:num>
  <w:num w:numId="14">
    <w:abstractNumId w:val="23"/>
  </w:num>
  <w:num w:numId="15">
    <w:abstractNumId w:val="5"/>
  </w:num>
  <w:num w:numId="16">
    <w:abstractNumId w:val="0"/>
  </w:num>
  <w:num w:numId="17">
    <w:abstractNumId w:val="14"/>
  </w:num>
  <w:num w:numId="18">
    <w:abstractNumId w:val="19"/>
  </w:num>
  <w:num w:numId="19">
    <w:abstractNumId w:val="30"/>
  </w:num>
  <w:num w:numId="20">
    <w:abstractNumId w:val="13"/>
  </w:num>
  <w:num w:numId="21">
    <w:abstractNumId w:val="32"/>
  </w:num>
  <w:num w:numId="22">
    <w:abstractNumId w:val="33"/>
  </w:num>
  <w:num w:numId="23">
    <w:abstractNumId w:val="12"/>
  </w:num>
  <w:num w:numId="24">
    <w:abstractNumId w:val="12"/>
  </w:num>
  <w:num w:numId="25">
    <w:abstractNumId w:val="6"/>
  </w:num>
  <w:num w:numId="26">
    <w:abstractNumId w:val="2"/>
  </w:num>
  <w:num w:numId="27">
    <w:abstractNumId w:val="31"/>
  </w:num>
  <w:num w:numId="28">
    <w:abstractNumId w:val="7"/>
  </w:num>
  <w:num w:numId="29">
    <w:abstractNumId w:val="11"/>
  </w:num>
  <w:num w:numId="30">
    <w:abstractNumId w:val="34"/>
  </w:num>
  <w:num w:numId="31">
    <w:abstractNumId w:val="1"/>
  </w:num>
  <w:num w:numId="32">
    <w:abstractNumId w:val="29"/>
  </w:num>
  <w:num w:numId="33">
    <w:abstractNumId w:val="36"/>
  </w:num>
  <w:num w:numId="34">
    <w:abstractNumId w:val="15"/>
  </w:num>
  <w:num w:numId="35">
    <w:abstractNumId w:val="8"/>
  </w:num>
  <w:num w:numId="36">
    <w:abstractNumId w:val="37"/>
  </w:num>
  <w:num w:numId="37">
    <w:abstractNumId w:val="28"/>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98"/>
    <w:rsid w:val="000002AE"/>
    <w:rsid w:val="00000530"/>
    <w:rsid w:val="00023DC8"/>
    <w:rsid w:val="00031A96"/>
    <w:rsid w:val="00033312"/>
    <w:rsid w:val="00045570"/>
    <w:rsid w:val="00062E16"/>
    <w:rsid w:val="00063CB5"/>
    <w:rsid w:val="00065991"/>
    <w:rsid w:val="0007319D"/>
    <w:rsid w:val="00082E65"/>
    <w:rsid w:val="0008380C"/>
    <w:rsid w:val="0008775B"/>
    <w:rsid w:val="00090AF4"/>
    <w:rsid w:val="000B5E1C"/>
    <w:rsid w:val="000B6143"/>
    <w:rsid w:val="000C0470"/>
    <w:rsid w:val="000C5BDD"/>
    <w:rsid w:val="000D29F4"/>
    <w:rsid w:val="000D2F4D"/>
    <w:rsid w:val="000D365F"/>
    <w:rsid w:val="000D58D6"/>
    <w:rsid w:val="000F0DA3"/>
    <w:rsid w:val="000F42B0"/>
    <w:rsid w:val="001043AB"/>
    <w:rsid w:val="001057E4"/>
    <w:rsid w:val="001111A3"/>
    <w:rsid w:val="00112A52"/>
    <w:rsid w:val="00113A1E"/>
    <w:rsid w:val="00121349"/>
    <w:rsid w:val="0012656D"/>
    <w:rsid w:val="00131D79"/>
    <w:rsid w:val="001628C8"/>
    <w:rsid w:val="001703DF"/>
    <w:rsid w:val="001B2958"/>
    <w:rsid w:val="001B501F"/>
    <w:rsid w:val="001C5F1C"/>
    <w:rsid w:val="001C6301"/>
    <w:rsid w:val="001D2C47"/>
    <w:rsid w:val="001D41AC"/>
    <w:rsid w:val="001E4E3D"/>
    <w:rsid w:val="001E7182"/>
    <w:rsid w:val="001F67A2"/>
    <w:rsid w:val="001F7025"/>
    <w:rsid w:val="00206BA3"/>
    <w:rsid w:val="0021699A"/>
    <w:rsid w:val="002171B6"/>
    <w:rsid w:val="0022065E"/>
    <w:rsid w:val="0022319A"/>
    <w:rsid w:val="00241428"/>
    <w:rsid w:val="00243641"/>
    <w:rsid w:val="00243DA8"/>
    <w:rsid w:val="00244A1B"/>
    <w:rsid w:val="00250EA9"/>
    <w:rsid w:val="00252AFC"/>
    <w:rsid w:val="002663D9"/>
    <w:rsid w:val="00271558"/>
    <w:rsid w:val="00286B2D"/>
    <w:rsid w:val="002A60BD"/>
    <w:rsid w:val="002B7931"/>
    <w:rsid w:val="002D05A5"/>
    <w:rsid w:val="002D0BE6"/>
    <w:rsid w:val="002D7AF6"/>
    <w:rsid w:val="002E3C2D"/>
    <w:rsid w:val="00300F2D"/>
    <w:rsid w:val="00303B1F"/>
    <w:rsid w:val="0032588B"/>
    <w:rsid w:val="0033184E"/>
    <w:rsid w:val="00333816"/>
    <w:rsid w:val="0036359B"/>
    <w:rsid w:val="00364844"/>
    <w:rsid w:val="00383208"/>
    <w:rsid w:val="00383E04"/>
    <w:rsid w:val="003A2B85"/>
    <w:rsid w:val="003B560F"/>
    <w:rsid w:val="003C0FB9"/>
    <w:rsid w:val="003C338B"/>
    <w:rsid w:val="003C5975"/>
    <w:rsid w:val="003C773C"/>
    <w:rsid w:val="003E32DE"/>
    <w:rsid w:val="003F28D0"/>
    <w:rsid w:val="003F5841"/>
    <w:rsid w:val="003F6C74"/>
    <w:rsid w:val="00406A74"/>
    <w:rsid w:val="00407755"/>
    <w:rsid w:val="00421AD9"/>
    <w:rsid w:val="00432E87"/>
    <w:rsid w:val="00436454"/>
    <w:rsid w:val="00444BDC"/>
    <w:rsid w:val="00457E5B"/>
    <w:rsid w:val="0046297C"/>
    <w:rsid w:val="00463E5D"/>
    <w:rsid w:val="00465802"/>
    <w:rsid w:val="00473867"/>
    <w:rsid w:val="00474CD6"/>
    <w:rsid w:val="00476B36"/>
    <w:rsid w:val="00481A30"/>
    <w:rsid w:val="00484F19"/>
    <w:rsid w:val="004C7688"/>
    <w:rsid w:val="004F2A43"/>
    <w:rsid w:val="004F7BE1"/>
    <w:rsid w:val="0050318F"/>
    <w:rsid w:val="00504015"/>
    <w:rsid w:val="00504C85"/>
    <w:rsid w:val="00505912"/>
    <w:rsid w:val="005176B4"/>
    <w:rsid w:val="00522E54"/>
    <w:rsid w:val="00523F70"/>
    <w:rsid w:val="0052459C"/>
    <w:rsid w:val="005329C2"/>
    <w:rsid w:val="00534328"/>
    <w:rsid w:val="005360E7"/>
    <w:rsid w:val="00541296"/>
    <w:rsid w:val="0054409D"/>
    <w:rsid w:val="00545F8F"/>
    <w:rsid w:val="005460B1"/>
    <w:rsid w:val="005639BA"/>
    <w:rsid w:val="00574C98"/>
    <w:rsid w:val="00575577"/>
    <w:rsid w:val="005A5F09"/>
    <w:rsid w:val="005B2CCD"/>
    <w:rsid w:val="005C2BD0"/>
    <w:rsid w:val="005C5656"/>
    <w:rsid w:val="005C740C"/>
    <w:rsid w:val="005E6093"/>
    <w:rsid w:val="00602DF4"/>
    <w:rsid w:val="00621318"/>
    <w:rsid w:val="006227DA"/>
    <w:rsid w:val="00624E2C"/>
    <w:rsid w:val="0063084D"/>
    <w:rsid w:val="00631186"/>
    <w:rsid w:val="0063193D"/>
    <w:rsid w:val="00637486"/>
    <w:rsid w:val="00647EB3"/>
    <w:rsid w:val="00653100"/>
    <w:rsid w:val="00660FB3"/>
    <w:rsid w:val="006907C5"/>
    <w:rsid w:val="00691446"/>
    <w:rsid w:val="006924C1"/>
    <w:rsid w:val="00694C06"/>
    <w:rsid w:val="00694C5F"/>
    <w:rsid w:val="006A7A0B"/>
    <w:rsid w:val="006D1884"/>
    <w:rsid w:val="006D5B3B"/>
    <w:rsid w:val="006E1820"/>
    <w:rsid w:val="006E7C12"/>
    <w:rsid w:val="00705989"/>
    <w:rsid w:val="00713598"/>
    <w:rsid w:val="00714DD2"/>
    <w:rsid w:val="00724C04"/>
    <w:rsid w:val="00725702"/>
    <w:rsid w:val="00731678"/>
    <w:rsid w:val="00741476"/>
    <w:rsid w:val="00754057"/>
    <w:rsid w:val="00770433"/>
    <w:rsid w:val="00785371"/>
    <w:rsid w:val="00785922"/>
    <w:rsid w:val="00786F76"/>
    <w:rsid w:val="00795274"/>
    <w:rsid w:val="00796C04"/>
    <w:rsid w:val="007A47E6"/>
    <w:rsid w:val="007C04D7"/>
    <w:rsid w:val="007C418C"/>
    <w:rsid w:val="007D29A4"/>
    <w:rsid w:val="007D425C"/>
    <w:rsid w:val="007E3BA0"/>
    <w:rsid w:val="007E7F22"/>
    <w:rsid w:val="007F23CB"/>
    <w:rsid w:val="007F4A25"/>
    <w:rsid w:val="007F6D2F"/>
    <w:rsid w:val="00816F44"/>
    <w:rsid w:val="00841B12"/>
    <w:rsid w:val="00847B8D"/>
    <w:rsid w:val="00864A8B"/>
    <w:rsid w:val="00892DE1"/>
    <w:rsid w:val="00895C38"/>
    <w:rsid w:val="008A2E42"/>
    <w:rsid w:val="008B6DDB"/>
    <w:rsid w:val="008C0B31"/>
    <w:rsid w:val="008C5A14"/>
    <w:rsid w:val="008D1935"/>
    <w:rsid w:val="008D1F1F"/>
    <w:rsid w:val="008E29AA"/>
    <w:rsid w:val="008F29E8"/>
    <w:rsid w:val="00910869"/>
    <w:rsid w:val="0091511B"/>
    <w:rsid w:val="00917901"/>
    <w:rsid w:val="00920C04"/>
    <w:rsid w:val="009421FB"/>
    <w:rsid w:val="00943DE6"/>
    <w:rsid w:val="00961634"/>
    <w:rsid w:val="00961C06"/>
    <w:rsid w:val="00972718"/>
    <w:rsid w:val="00977BE7"/>
    <w:rsid w:val="00984A5F"/>
    <w:rsid w:val="00984ECC"/>
    <w:rsid w:val="00985B25"/>
    <w:rsid w:val="00985D4E"/>
    <w:rsid w:val="009A2F32"/>
    <w:rsid w:val="009A707D"/>
    <w:rsid w:val="009B072A"/>
    <w:rsid w:val="009D769A"/>
    <w:rsid w:val="009E0D8B"/>
    <w:rsid w:val="00A020E2"/>
    <w:rsid w:val="00A20023"/>
    <w:rsid w:val="00A27335"/>
    <w:rsid w:val="00A27F00"/>
    <w:rsid w:val="00A34F85"/>
    <w:rsid w:val="00A43CC4"/>
    <w:rsid w:val="00A44F6E"/>
    <w:rsid w:val="00A5604A"/>
    <w:rsid w:val="00A6081A"/>
    <w:rsid w:val="00A733F0"/>
    <w:rsid w:val="00A74565"/>
    <w:rsid w:val="00A75A8C"/>
    <w:rsid w:val="00A80087"/>
    <w:rsid w:val="00A81B28"/>
    <w:rsid w:val="00A82646"/>
    <w:rsid w:val="00A84E2D"/>
    <w:rsid w:val="00A86B20"/>
    <w:rsid w:val="00AB13A0"/>
    <w:rsid w:val="00AC2EA5"/>
    <w:rsid w:val="00AC45C7"/>
    <w:rsid w:val="00AD458F"/>
    <w:rsid w:val="00AD4A33"/>
    <w:rsid w:val="00AD6E9A"/>
    <w:rsid w:val="00AD7B47"/>
    <w:rsid w:val="00AE00A2"/>
    <w:rsid w:val="00AE3BB3"/>
    <w:rsid w:val="00AF4618"/>
    <w:rsid w:val="00B10811"/>
    <w:rsid w:val="00B2083B"/>
    <w:rsid w:val="00B2217D"/>
    <w:rsid w:val="00B2225A"/>
    <w:rsid w:val="00B37FD3"/>
    <w:rsid w:val="00B40FD8"/>
    <w:rsid w:val="00B46A75"/>
    <w:rsid w:val="00B51DF4"/>
    <w:rsid w:val="00B77F00"/>
    <w:rsid w:val="00B818EB"/>
    <w:rsid w:val="00BA51FA"/>
    <w:rsid w:val="00BA57FB"/>
    <w:rsid w:val="00BB0B76"/>
    <w:rsid w:val="00BB0EF5"/>
    <w:rsid w:val="00BC01B9"/>
    <w:rsid w:val="00BC48EA"/>
    <w:rsid w:val="00BD4D7B"/>
    <w:rsid w:val="00BE7C94"/>
    <w:rsid w:val="00C12990"/>
    <w:rsid w:val="00C21EC0"/>
    <w:rsid w:val="00C25D82"/>
    <w:rsid w:val="00C44114"/>
    <w:rsid w:val="00C57558"/>
    <w:rsid w:val="00C61388"/>
    <w:rsid w:val="00C669DC"/>
    <w:rsid w:val="00C717C0"/>
    <w:rsid w:val="00C71D5C"/>
    <w:rsid w:val="00C7496B"/>
    <w:rsid w:val="00C84436"/>
    <w:rsid w:val="00C84639"/>
    <w:rsid w:val="00CA7EF3"/>
    <w:rsid w:val="00CB51B2"/>
    <w:rsid w:val="00CC462B"/>
    <w:rsid w:val="00CC4A96"/>
    <w:rsid w:val="00CD22B8"/>
    <w:rsid w:val="00CD68C8"/>
    <w:rsid w:val="00CF7B4B"/>
    <w:rsid w:val="00D1104A"/>
    <w:rsid w:val="00D23E26"/>
    <w:rsid w:val="00D318FE"/>
    <w:rsid w:val="00D40B20"/>
    <w:rsid w:val="00D428D4"/>
    <w:rsid w:val="00D43598"/>
    <w:rsid w:val="00D44214"/>
    <w:rsid w:val="00D467CA"/>
    <w:rsid w:val="00D54885"/>
    <w:rsid w:val="00D5619D"/>
    <w:rsid w:val="00D66D34"/>
    <w:rsid w:val="00D8619A"/>
    <w:rsid w:val="00D87446"/>
    <w:rsid w:val="00DA2B77"/>
    <w:rsid w:val="00DC3569"/>
    <w:rsid w:val="00DD1645"/>
    <w:rsid w:val="00DD1859"/>
    <w:rsid w:val="00DD3165"/>
    <w:rsid w:val="00DD5841"/>
    <w:rsid w:val="00E0158E"/>
    <w:rsid w:val="00E01930"/>
    <w:rsid w:val="00E0207B"/>
    <w:rsid w:val="00E11F2E"/>
    <w:rsid w:val="00E139CB"/>
    <w:rsid w:val="00E14CCD"/>
    <w:rsid w:val="00E2009B"/>
    <w:rsid w:val="00E20F9B"/>
    <w:rsid w:val="00E263F5"/>
    <w:rsid w:val="00E317DF"/>
    <w:rsid w:val="00E33B45"/>
    <w:rsid w:val="00E353E5"/>
    <w:rsid w:val="00E357EE"/>
    <w:rsid w:val="00E3771E"/>
    <w:rsid w:val="00E37841"/>
    <w:rsid w:val="00E4611D"/>
    <w:rsid w:val="00E50994"/>
    <w:rsid w:val="00E52033"/>
    <w:rsid w:val="00E520CE"/>
    <w:rsid w:val="00E56779"/>
    <w:rsid w:val="00E56C87"/>
    <w:rsid w:val="00E6019E"/>
    <w:rsid w:val="00E64612"/>
    <w:rsid w:val="00E66A98"/>
    <w:rsid w:val="00E670E3"/>
    <w:rsid w:val="00E678F7"/>
    <w:rsid w:val="00E92762"/>
    <w:rsid w:val="00E96044"/>
    <w:rsid w:val="00EA34D1"/>
    <w:rsid w:val="00EA37AC"/>
    <w:rsid w:val="00EB2532"/>
    <w:rsid w:val="00ED039D"/>
    <w:rsid w:val="00EE52DF"/>
    <w:rsid w:val="00EF5CE1"/>
    <w:rsid w:val="00F00B41"/>
    <w:rsid w:val="00F04E67"/>
    <w:rsid w:val="00F15F18"/>
    <w:rsid w:val="00F3006C"/>
    <w:rsid w:val="00F34A58"/>
    <w:rsid w:val="00F35C6D"/>
    <w:rsid w:val="00F4141C"/>
    <w:rsid w:val="00F474A5"/>
    <w:rsid w:val="00F5532E"/>
    <w:rsid w:val="00F75211"/>
    <w:rsid w:val="00F76322"/>
    <w:rsid w:val="00F95946"/>
    <w:rsid w:val="00F973BC"/>
    <w:rsid w:val="00F97928"/>
    <w:rsid w:val="00FA17E4"/>
    <w:rsid w:val="00FA3597"/>
    <w:rsid w:val="00FA7929"/>
    <w:rsid w:val="00FB4C3F"/>
    <w:rsid w:val="00FC61AD"/>
    <w:rsid w:val="00FD05D9"/>
    <w:rsid w:val="00FD68CD"/>
    <w:rsid w:val="00FE2E9A"/>
    <w:rsid w:val="00FE7391"/>
    <w:rsid w:val="00FF5F7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9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325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43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C047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3598"/>
    <w:rPr>
      <w:rFonts w:asciiTheme="majorHAnsi" w:eastAsiaTheme="majorEastAsia" w:hAnsiTheme="majorHAnsi" w:cstheme="majorBidi"/>
      <w:b/>
      <w:bCs/>
      <w:color w:val="4F81BD" w:themeColor="accent1"/>
      <w:sz w:val="26"/>
      <w:szCs w:val="26"/>
      <w:lang w:val="es-ES_tradnl" w:eastAsia="es-ES"/>
    </w:rPr>
  </w:style>
  <w:style w:type="paragraph" w:styleId="Prrafodelista">
    <w:name w:val="List Paragraph"/>
    <w:basedOn w:val="Normal"/>
    <w:uiPriority w:val="34"/>
    <w:qFormat/>
    <w:rsid w:val="00D43598"/>
    <w:pPr>
      <w:ind w:left="720"/>
      <w:contextualSpacing/>
    </w:pPr>
    <w:rPr>
      <w:rFonts w:eastAsiaTheme="minorHAnsi"/>
      <w:sz w:val="22"/>
      <w:szCs w:val="22"/>
      <w:lang w:val="es-GT" w:eastAsia="en-US"/>
    </w:rPr>
  </w:style>
  <w:style w:type="paragraph" w:customStyle="1" w:styleId="Default">
    <w:name w:val="Default"/>
    <w:rsid w:val="00D4359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D4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8CD"/>
    <w:pPr>
      <w:spacing w:before="100" w:beforeAutospacing="1" w:after="100" w:afterAutospacing="1"/>
    </w:pPr>
    <w:rPr>
      <w:rFonts w:ascii="Times New Roman" w:hAnsi="Times New Roman" w:cs="Times New Roman"/>
      <w:lang w:val="es-GT" w:eastAsia="es-GT"/>
    </w:rPr>
  </w:style>
  <w:style w:type="paragraph" w:styleId="Textonotapie">
    <w:name w:val="footnote text"/>
    <w:basedOn w:val="Normal"/>
    <w:link w:val="TextonotapieCar"/>
    <w:uiPriority w:val="99"/>
    <w:semiHidden/>
    <w:unhideWhenUsed/>
    <w:rsid w:val="000B5E1C"/>
    <w:rPr>
      <w:rFonts w:eastAsiaTheme="minorHAnsi"/>
      <w:sz w:val="20"/>
      <w:szCs w:val="20"/>
      <w:lang w:val="es-GT" w:eastAsia="en-US"/>
    </w:rPr>
  </w:style>
  <w:style w:type="character" w:customStyle="1" w:styleId="TextonotapieCar">
    <w:name w:val="Texto nota pie Car"/>
    <w:basedOn w:val="Fuentedeprrafopredeter"/>
    <w:link w:val="Textonotapie"/>
    <w:uiPriority w:val="99"/>
    <w:semiHidden/>
    <w:rsid w:val="000B5E1C"/>
    <w:rPr>
      <w:sz w:val="20"/>
      <w:szCs w:val="20"/>
    </w:rPr>
  </w:style>
  <w:style w:type="character" w:styleId="Refdenotaalpie">
    <w:name w:val="footnote reference"/>
    <w:basedOn w:val="Fuentedeprrafopredeter"/>
    <w:uiPriority w:val="99"/>
    <w:semiHidden/>
    <w:unhideWhenUsed/>
    <w:rsid w:val="000B5E1C"/>
    <w:rPr>
      <w:vertAlign w:val="superscript"/>
    </w:rPr>
  </w:style>
  <w:style w:type="table" w:styleId="Cuadrculaclara-nfasis1">
    <w:name w:val="Light Grid Accent 1"/>
    <w:basedOn w:val="Tablanormal"/>
    <w:uiPriority w:val="62"/>
    <w:rsid w:val="000B5E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5">
    <w:name w:val="Light Shading Accent 5"/>
    <w:basedOn w:val="Tablanormal"/>
    <w:uiPriority w:val="60"/>
    <w:rsid w:val="000B5E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inespaciado">
    <w:name w:val="No Spacing"/>
    <w:link w:val="SinespaciadoCar"/>
    <w:uiPriority w:val="1"/>
    <w:qFormat/>
    <w:rsid w:val="000B5E1C"/>
    <w:pPr>
      <w:spacing w:after="0" w:line="240" w:lineRule="auto"/>
    </w:pPr>
  </w:style>
  <w:style w:type="character" w:customStyle="1" w:styleId="SinespaciadoCar">
    <w:name w:val="Sin espaciado Car"/>
    <w:basedOn w:val="Fuentedeprrafopredeter"/>
    <w:link w:val="Sinespaciado"/>
    <w:uiPriority w:val="1"/>
    <w:locked/>
    <w:rsid w:val="000B5E1C"/>
  </w:style>
  <w:style w:type="paragraph" w:styleId="Ttulo">
    <w:name w:val="Title"/>
    <w:basedOn w:val="Normal"/>
    <w:next w:val="Normal"/>
    <w:link w:val="TtuloCar"/>
    <w:uiPriority w:val="10"/>
    <w:qFormat/>
    <w:rsid w:val="00325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GT" w:eastAsia="es-GT"/>
    </w:rPr>
  </w:style>
  <w:style w:type="character" w:customStyle="1" w:styleId="TtuloCar">
    <w:name w:val="Título Car"/>
    <w:basedOn w:val="Fuentedeprrafopredeter"/>
    <w:link w:val="Ttulo"/>
    <w:uiPriority w:val="10"/>
    <w:rsid w:val="0032588B"/>
    <w:rPr>
      <w:rFonts w:asciiTheme="majorHAnsi" w:eastAsiaTheme="majorEastAsia" w:hAnsiTheme="majorHAnsi" w:cstheme="majorBidi"/>
      <w:color w:val="17365D" w:themeColor="text2" w:themeShade="BF"/>
      <w:spacing w:val="5"/>
      <w:kern w:val="28"/>
      <w:sz w:val="52"/>
      <w:szCs w:val="52"/>
      <w:lang w:eastAsia="es-GT"/>
    </w:rPr>
  </w:style>
  <w:style w:type="paragraph" w:styleId="Subttulo">
    <w:name w:val="Subtitle"/>
    <w:basedOn w:val="Normal"/>
    <w:next w:val="Normal"/>
    <w:link w:val="SubttuloCar"/>
    <w:uiPriority w:val="11"/>
    <w:qFormat/>
    <w:rsid w:val="0032588B"/>
    <w:pPr>
      <w:numPr>
        <w:ilvl w:val="1"/>
      </w:numPr>
      <w:spacing w:after="200" w:line="276" w:lineRule="auto"/>
    </w:pPr>
    <w:rPr>
      <w:rFonts w:asciiTheme="majorHAnsi" w:eastAsiaTheme="majorEastAsia" w:hAnsiTheme="majorHAnsi" w:cstheme="majorBidi"/>
      <w:i/>
      <w:iCs/>
      <w:color w:val="4F81BD" w:themeColor="accent1"/>
      <w:spacing w:val="15"/>
      <w:lang w:val="es-GT" w:eastAsia="es-GT"/>
    </w:rPr>
  </w:style>
  <w:style w:type="character" w:customStyle="1" w:styleId="SubttuloCar">
    <w:name w:val="Subtítulo Car"/>
    <w:basedOn w:val="Fuentedeprrafopredeter"/>
    <w:link w:val="Subttulo"/>
    <w:uiPriority w:val="11"/>
    <w:rsid w:val="0032588B"/>
    <w:rPr>
      <w:rFonts w:asciiTheme="majorHAnsi" w:eastAsiaTheme="majorEastAsia" w:hAnsiTheme="majorHAnsi" w:cstheme="majorBidi"/>
      <w:i/>
      <w:iCs/>
      <w:color w:val="4F81BD" w:themeColor="accent1"/>
      <w:spacing w:val="15"/>
      <w:sz w:val="24"/>
      <w:szCs w:val="24"/>
      <w:lang w:eastAsia="es-GT"/>
    </w:rPr>
  </w:style>
  <w:style w:type="character" w:customStyle="1" w:styleId="Ttulo1Car">
    <w:name w:val="Título 1 Car"/>
    <w:basedOn w:val="Fuentedeprrafopredeter"/>
    <w:link w:val="Ttulo1"/>
    <w:uiPriority w:val="9"/>
    <w:rsid w:val="0032588B"/>
    <w:rPr>
      <w:rFonts w:asciiTheme="majorHAnsi" w:eastAsiaTheme="majorEastAsia" w:hAnsiTheme="majorHAnsi" w:cstheme="majorBidi"/>
      <w:b/>
      <w:bCs/>
      <w:color w:val="365F91" w:themeColor="accent1" w:themeShade="BF"/>
      <w:sz w:val="28"/>
      <w:szCs w:val="28"/>
      <w:lang w:val="es-ES_tradnl" w:eastAsia="es-ES"/>
    </w:rPr>
  </w:style>
  <w:style w:type="paragraph" w:styleId="TtulodeTDC">
    <w:name w:val="TOC Heading"/>
    <w:basedOn w:val="Ttulo1"/>
    <w:next w:val="Normal"/>
    <w:uiPriority w:val="39"/>
    <w:semiHidden/>
    <w:unhideWhenUsed/>
    <w:qFormat/>
    <w:rsid w:val="0032588B"/>
    <w:pPr>
      <w:spacing w:line="276" w:lineRule="auto"/>
      <w:outlineLvl w:val="9"/>
    </w:pPr>
    <w:rPr>
      <w:lang w:val="es-GT" w:eastAsia="es-GT"/>
    </w:rPr>
  </w:style>
  <w:style w:type="paragraph" w:styleId="TDC1">
    <w:name w:val="toc 1"/>
    <w:basedOn w:val="Normal"/>
    <w:next w:val="Normal"/>
    <w:autoRedefine/>
    <w:uiPriority w:val="39"/>
    <w:unhideWhenUsed/>
    <w:rsid w:val="0054409D"/>
    <w:pPr>
      <w:tabs>
        <w:tab w:val="left" w:pos="440"/>
        <w:tab w:val="right" w:leader="dot" w:pos="9394"/>
      </w:tabs>
      <w:spacing w:after="100"/>
    </w:pPr>
    <w:rPr>
      <w:rFonts w:ascii="Times New Roman" w:eastAsiaTheme="majorEastAsia" w:hAnsi="Times New Roman" w:cs="Times New Roman"/>
      <w:b/>
      <w:bCs/>
      <w:noProof/>
      <w:sz w:val="22"/>
    </w:rPr>
  </w:style>
  <w:style w:type="paragraph" w:styleId="TDC2">
    <w:name w:val="toc 2"/>
    <w:basedOn w:val="Normal"/>
    <w:next w:val="Normal"/>
    <w:autoRedefine/>
    <w:uiPriority w:val="39"/>
    <w:unhideWhenUsed/>
    <w:rsid w:val="0054409D"/>
    <w:pPr>
      <w:tabs>
        <w:tab w:val="left" w:pos="880"/>
        <w:tab w:val="right" w:leader="dot" w:pos="9356"/>
      </w:tabs>
      <w:spacing w:after="100"/>
      <w:ind w:left="709" w:hanging="567"/>
    </w:pPr>
  </w:style>
  <w:style w:type="character" w:styleId="Hipervnculo">
    <w:name w:val="Hyperlink"/>
    <w:basedOn w:val="Fuentedeprrafopredeter"/>
    <w:uiPriority w:val="99"/>
    <w:unhideWhenUsed/>
    <w:rsid w:val="0032588B"/>
    <w:rPr>
      <w:color w:val="0000FF" w:themeColor="hyperlink"/>
      <w:u w:val="single"/>
    </w:rPr>
  </w:style>
  <w:style w:type="paragraph" w:styleId="Encabezado">
    <w:name w:val="header"/>
    <w:basedOn w:val="Normal"/>
    <w:link w:val="EncabezadoCar"/>
    <w:uiPriority w:val="99"/>
    <w:unhideWhenUsed/>
    <w:rsid w:val="00AC45C7"/>
    <w:pPr>
      <w:tabs>
        <w:tab w:val="center" w:pos="4419"/>
        <w:tab w:val="right" w:pos="8838"/>
      </w:tabs>
    </w:pPr>
  </w:style>
  <w:style w:type="character" w:customStyle="1" w:styleId="EncabezadoCar">
    <w:name w:val="Encabezado Car"/>
    <w:basedOn w:val="Fuentedeprrafopredeter"/>
    <w:link w:val="Encabezado"/>
    <w:uiPriority w:val="99"/>
    <w:rsid w:val="00AC45C7"/>
    <w:rPr>
      <w:rFonts w:eastAsiaTheme="minorEastAsia"/>
      <w:sz w:val="24"/>
      <w:szCs w:val="24"/>
      <w:lang w:val="es-ES_tradnl" w:eastAsia="es-ES"/>
    </w:rPr>
  </w:style>
  <w:style w:type="paragraph" w:styleId="Piedepgina">
    <w:name w:val="footer"/>
    <w:basedOn w:val="Normal"/>
    <w:link w:val="PiedepginaCar"/>
    <w:uiPriority w:val="99"/>
    <w:unhideWhenUsed/>
    <w:rsid w:val="00AC45C7"/>
    <w:pPr>
      <w:tabs>
        <w:tab w:val="center" w:pos="4419"/>
        <w:tab w:val="right" w:pos="8838"/>
      </w:tabs>
    </w:pPr>
  </w:style>
  <w:style w:type="character" w:customStyle="1" w:styleId="PiedepginaCar">
    <w:name w:val="Pie de página Car"/>
    <w:basedOn w:val="Fuentedeprrafopredeter"/>
    <w:link w:val="Piedepgina"/>
    <w:uiPriority w:val="99"/>
    <w:rsid w:val="00AC45C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B7931"/>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31"/>
    <w:rPr>
      <w:rFonts w:ascii="Tahoma" w:eastAsiaTheme="minorEastAsia" w:hAnsi="Tahoma" w:cs="Tahoma"/>
      <w:sz w:val="16"/>
      <w:szCs w:val="16"/>
      <w:lang w:val="es-ES_tradnl" w:eastAsia="es-ES"/>
    </w:rPr>
  </w:style>
  <w:style w:type="character" w:customStyle="1" w:styleId="Ttulo3Car">
    <w:name w:val="Título 3 Car"/>
    <w:basedOn w:val="Fuentedeprrafopredeter"/>
    <w:link w:val="Ttulo3"/>
    <w:uiPriority w:val="9"/>
    <w:semiHidden/>
    <w:rsid w:val="000C0470"/>
    <w:rPr>
      <w:rFonts w:asciiTheme="majorHAnsi" w:eastAsiaTheme="majorEastAsia" w:hAnsiTheme="majorHAnsi" w:cstheme="majorBidi"/>
      <w:color w:val="243F60" w:themeColor="accent1" w:themeShade="7F"/>
      <w:sz w:val="24"/>
      <w:szCs w:val="24"/>
      <w:lang w:val="es-ES_tradnl" w:eastAsia="es-ES"/>
    </w:rPr>
  </w:style>
  <w:style w:type="paragraph" w:customStyle="1" w:styleId="Ttulo11">
    <w:name w:val="Título 11"/>
    <w:basedOn w:val="Normal"/>
    <w:rsid w:val="000C0470"/>
    <w:pPr>
      <w:numPr>
        <w:numId w:val="23"/>
      </w:numPr>
    </w:pPr>
  </w:style>
  <w:style w:type="paragraph" w:customStyle="1" w:styleId="Ttulo21">
    <w:name w:val="Título 21"/>
    <w:basedOn w:val="Normal"/>
    <w:rsid w:val="000C0470"/>
    <w:pPr>
      <w:numPr>
        <w:ilvl w:val="1"/>
        <w:numId w:val="23"/>
      </w:numPr>
    </w:pPr>
  </w:style>
  <w:style w:type="paragraph" w:customStyle="1" w:styleId="Ttulo31">
    <w:name w:val="Título 31"/>
    <w:basedOn w:val="Normal"/>
    <w:rsid w:val="000C0470"/>
    <w:pPr>
      <w:numPr>
        <w:ilvl w:val="2"/>
        <w:numId w:val="23"/>
      </w:numPr>
    </w:pPr>
  </w:style>
  <w:style w:type="paragraph" w:customStyle="1" w:styleId="Ttulo41">
    <w:name w:val="Título 41"/>
    <w:basedOn w:val="Normal"/>
    <w:rsid w:val="000C0470"/>
    <w:pPr>
      <w:numPr>
        <w:ilvl w:val="3"/>
        <w:numId w:val="23"/>
      </w:numPr>
    </w:pPr>
  </w:style>
  <w:style w:type="paragraph" w:customStyle="1" w:styleId="Ttulo51">
    <w:name w:val="Título 51"/>
    <w:basedOn w:val="Normal"/>
    <w:rsid w:val="000C0470"/>
    <w:pPr>
      <w:numPr>
        <w:ilvl w:val="4"/>
        <w:numId w:val="23"/>
      </w:numPr>
    </w:pPr>
  </w:style>
  <w:style w:type="paragraph" w:customStyle="1" w:styleId="Ttulo61">
    <w:name w:val="Título 61"/>
    <w:basedOn w:val="Normal"/>
    <w:rsid w:val="000C0470"/>
    <w:pPr>
      <w:numPr>
        <w:ilvl w:val="5"/>
        <w:numId w:val="23"/>
      </w:numPr>
    </w:pPr>
  </w:style>
  <w:style w:type="paragraph" w:customStyle="1" w:styleId="Ttulo71">
    <w:name w:val="Título 71"/>
    <w:basedOn w:val="Normal"/>
    <w:rsid w:val="000C0470"/>
    <w:pPr>
      <w:numPr>
        <w:ilvl w:val="6"/>
        <w:numId w:val="23"/>
      </w:numPr>
    </w:pPr>
  </w:style>
  <w:style w:type="paragraph" w:customStyle="1" w:styleId="Ttulo81">
    <w:name w:val="Título 81"/>
    <w:basedOn w:val="Normal"/>
    <w:rsid w:val="000C0470"/>
    <w:pPr>
      <w:numPr>
        <w:ilvl w:val="7"/>
        <w:numId w:val="23"/>
      </w:numPr>
    </w:pPr>
  </w:style>
  <w:style w:type="paragraph" w:customStyle="1" w:styleId="Ttulo91">
    <w:name w:val="Título 91"/>
    <w:basedOn w:val="Normal"/>
    <w:rsid w:val="000C0470"/>
    <w:pPr>
      <w:numPr>
        <w:ilvl w:val="8"/>
        <w:numId w:val="23"/>
      </w:numPr>
    </w:pPr>
  </w:style>
  <w:style w:type="paragraph" w:styleId="TDC3">
    <w:name w:val="toc 3"/>
    <w:basedOn w:val="Normal"/>
    <w:next w:val="Normal"/>
    <w:autoRedefine/>
    <w:uiPriority w:val="39"/>
    <w:unhideWhenUsed/>
    <w:rsid w:val="0054409D"/>
    <w:pPr>
      <w:tabs>
        <w:tab w:val="left" w:pos="1134"/>
        <w:tab w:val="right" w:leader="dot" w:pos="9394"/>
      </w:tabs>
      <w:spacing w:after="100"/>
      <w:ind w:left="1134" w:hanging="708"/>
    </w:pPr>
  </w:style>
  <w:style w:type="paragraph" w:customStyle="1" w:styleId="BodyText2Sgl">
    <w:name w:val="Body Text 2 Sgl"/>
    <w:basedOn w:val="Normal"/>
    <w:qFormat/>
    <w:rsid w:val="00EE52DF"/>
    <w:pPr>
      <w:spacing w:after="240"/>
      <w:ind w:firstLine="720"/>
    </w:pPr>
    <w:rPr>
      <w:rFonts w:ascii="Times New Roman" w:eastAsiaTheme="minorHAnsi" w:hAnsi="Times New Roman"/>
      <w:sz w:val="20"/>
      <w:lang w:val="en-US" w:eastAsia="en-US"/>
    </w:rPr>
  </w:style>
  <w:style w:type="paragraph" w:styleId="Textoindependiente">
    <w:name w:val="Body Text"/>
    <w:basedOn w:val="Normal"/>
    <w:link w:val="TextoindependienteCar"/>
    <w:uiPriority w:val="99"/>
    <w:unhideWhenUsed/>
    <w:rsid w:val="00EE52DF"/>
    <w:pPr>
      <w:spacing w:after="120" w:line="259" w:lineRule="auto"/>
    </w:pPr>
    <w:rPr>
      <w:rFonts w:eastAsiaTheme="minorHAnsi"/>
      <w:sz w:val="22"/>
      <w:szCs w:val="22"/>
      <w:lang w:val="es-GT" w:eastAsia="en-US"/>
    </w:rPr>
  </w:style>
  <w:style w:type="character" w:customStyle="1" w:styleId="TextoindependienteCar">
    <w:name w:val="Texto independiente Car"/>
    <w:basedOn w:val="Fuentedeprrafopredeter"/>
    <w:link w:val="Textoindependiente"/>
    <w:uiPriority w:val="99"/>
    <w:rsid w:val="00EE52DF"/>
  </w:style>
  <w:style w:type="character" w:styleId="Refdecomentario">
    <w:name w:val="annotation reference"/>
    <w:basedOn w:val="Fuentedeprrafopredeter"/>
    <w:uiPriority w:val="99"/>
    <w:semiHidden/>
    <w:unhideWhenUsed/>
    <w:rsid w:val="00082E65"/>
    <w:rPr>
      <w:sz w:val="16"/>
      <w:szCs w:val="16"/>
    </w:rPr>
  </w:style>
  <w:style w:type="paragraph" w:styleId="Textocomentario">
    <w:name w:val="annotation text"/>
    <w:basedOn w:val="Normal"/>
    <w:link w:val="TextocomentarioCar"/>
    <w:uiPriority w:val="99"/>
    <w:semiHidden/>
    <w:unhideWhenUsed/>
    <w:rsid w:val="00082E65"/>
    <w:rPr>
      <w:sz w:val="20"/>
      <w:szCs w:val="20"/>
    </w:rPr>
  </w:style>
  <w:style w:type="character" w:customStyle="1" w:styleId="TextocomentarioCar">
    <w:name w:val="Texto comentario Car"/>
    <w:basedOn w:val="Fuentedeprrafopredeter"/>
    <w:link w:val="Textocomentario"/>
    <w:uiPriority w:val="99"/>
    <w:semiHidden/>
    <w:rsid w:val="00082E6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82E65"/>
    <w:rPr>
      <w:b/>
      <w:bCs/>
    </w:rPr>
  </w:style>
  <w:style w:type="character" w:customStyle="1" w:styleId="AsuntodelcomentarioCar">
    <w:name w:val="Asunto del comentario Car"/>
    <w:basedOn w:val="TextocomentarioCar"/>
    <w:link w:val="Asuntodelcomentario"/>
    <w:uiPriority w:val="99"/>
    <w:semiHidden/>
    <w:rsid w:val="00082E65"/>
    <w:rPr>
      <w:rFonts w:eastAsiaTheme="minorEastAsia"/>
      <w:b/>
      <w:bCs/>
      <w:sz w:val="20"/>
      <w:szCs w:val="20"/>
      <w:lang w:val="es-ES_tradnl" w:eastAsia="es-ES"/>
    </w:rPr>
  </w:style>
  <w:style w:type="paragraph" w:styleId="Revisin">
    <w:name w:val="Revision"/>
    <w:hidden/>
    <w:uiPriority w:val="99"/>
    <w:semiHidden/>
    <w:rsid w:val="0054409D"/>
    <w:pPr>
      <w:spacing w:after="0" w:line="240" w:lineRule="auto"/>
    </w:pPr>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9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3258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435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C047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3598"/>
    <w:rPr>
      <w:rFonts w:asciiTheme="majorHAnsi" w:eastAsiaTheme="majorEastAsia" w:hAnsiTheme="majorHAnsi" w:cstheme="majorBidi"/>
      <w:b/>
      <w:bCs/>
      <w:color w:val="4F81BD" w:themeColor="accent1"/>
      <w:sz w:val="26"/>
      <w:szCs w:val="26"/>
      <w:lang w:val="es-ES_tradnl" w:eastAsia="es-ES"/>
    </w:rPr>
  </w:style>
  <w:style w:type="paragraph" w:styleId="Prrafodelista">
    <w:name w:val="List Paragraph"/>
    <w:basedOn w:val="Normal"/>
    <w:uiPriority w:val="34"/>
    <w:qFormat/>
    <w:rsid w:val="00D43598"/>
    <w:pPr>
      <w:ind w:left="720"/>
      <w:contextualSpacing/>
    </w:pPr>
    <w:rPr>
      <w:rFonts w:eastAsiaTheme="minorHAnsi"/>
      <w:sz w:val="22"/>
      <w:szCs w:val="22"/>
      <w:lang w:val="es-GT" w:eastAsia="en-US"/>
    </w:rPr>
  </w:style>
  <w:style w:type="paragraph" w:customStyle="1" w:styleId="Default">
    <w:name w:val="Default"/>
    <w:rsid w:val="00D4359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D4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8CD"/>
    <w:pPr>
      <w:spacing w:before="100" w:beforeAutospacing="1" w:after="100" w:afterAutospacing="1"/>
    </w:pPr>
    <w:rPr>
      <w:rFonts w:ascii="Times New Roman" w:hAnsi="Times New Roman" w:cs="Times New Roman"/>
      <w:lang w:val="es-GT" w:eastAsia="es-GT"/>
    </w:rPr>
  </w:style>
  <w:style w:type="paragraph" w:styleId="Textonotapie">
    <w:name w:val="footnote text"/>
    <w:basedOn w:val="Normal"/>
    <w:link w:val="TextonotapieCar"/>
    <w:uiPriority w:val="99"/>
    <w:semiHidden/>
    <w:unhideWhenUsed/>
    <w:rsid w:val="000B5E1C"/>
    <w:rPr>
      <w:rFonts w:eastAsiaTheme="minorHAnsi"/>
      <w:sz w:val="20"/>
      <w:szCs w:val="20"/>
      <w:lang w:val="es-GT" w:eastAsia="en-US"/>
    </w:rPr>
  </w:style>
  <w:style w:type="character" w:customStyle="1" w:styleId="TextonotapieCar">
    <w:name w:val="Texto nota pie Car"/>
    <w:basedOn w:val="Fuentedeprrafopredeter"/>
    <w:link w:val="Textonotapie"/>
    <w:uiPriority w:val="99"/>
    <w:semiHidden/>
    <w:rsid w:val="000B5E1C"/>
    <w:rPr>
      <w:sz w:val="20"/>
      <w:szCs w:val="20"/>
    </w:rPr>
  </w:style>
  <w:style w:type="character" w:styleId="Refdenotaalpie">
    <w:name w:val="footnote reference"/>
    <w:basedOn w:val="Fuentedeprrafopredeter"/>
    <w:uiPriority w:val="99"/>
    <w:semiHidden/>
    <w:unhideWhenUsed/>
    <w:rsid w:val="000B5E1C"/>
    <w:rPr>
      <w:vertAlign w:val="superscript"/>
    </w:rPr>
  </w:style>
  <w:style w:type="table" w:styleId="Cuadrculaclara-nfasis1">
    <w:name w:val="Light Grid Accent 1"/>
    <w:basedOn w:val="Tablanormal"/>
    <w:uiPriority w:val="62"/>
    <w:rsid w:val="000B5E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claro-nfasis5">
    <w:name w:val="Light Shading Accent 5"/>
    <w:basedOn w:val="Tablanormal"/>
    <w:uiPriority w:val="60"/>
    <w:rsid w:val="000B5E1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inespaciado">
    <w:name w:val="No Spacing"/>
    <w:link w:val="SinespaciadoCar"/>
    <w:uiPriority w:val="1"/>
    <w:qFormat/>
    <w:rsid w:val="000B5E1C"/>
    <w:pPr>
      <w:spacing w:after="0" w:line="240" w:lineRule="auto"/>
    </w:pPr>
  </w:style>
  <w:style w:type="character" w:customStyle="1" w:styleId="SinespaciadoCar">
    <w:name w:val="Sin espaciado Car"/>
    <w:basedOn w:val="Fuentedeprrafopredeter"/>
    <w:link w:val="Sinespaciado"/>
    <w:uiPriority w:val="1"/>
    <w:locked/>
    <w:rsid w:val="000B5E1C"/>
  </w:style>
  <w:style w:type="paragraph" w:styleId="Ttulo">
    <w:name w:val="Title"/>
    <w:basedOn w:val="Normal"/>
    <w:next w:val="Normal"/>
    <w:link w:val="TtuloCar"/>
    <w:uiPriority w:val="10"/>
    <w:qFormat/>
    <w:rsid w:val="00325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GT" w:eastAsia="es-GT"/>
    </w:rPr>
  </w:style>
  <w:style w:type="character" w:customStyle="1" w:styleId="TtuloCar">
    <w:name w:val="Título Car"/>
    <w:basedOn w:val="Fuentedeprrafopredeter"/>
    <w:link w:val="Ttulo"/>
    <w:uiPriority w:val="10"/>
    <w:rsid w:val="0032588B"/>
    <w:rPr>
      <w:rFonts w:asciiTheme="majorHAnsi" w:eastAsiaTheme="majorEastAsia" w:hAnsiTheme="majorHAnsi" w:cstheme="majorBidi"/>
      <w:color w:val="17365D" w:themeColor="text2" w:themeShade="BF"/>
      <w:spacing w:val="5"/>
      <w:kern w:val="28"/>
      <w:sz w:val="52"/>
      <w:szCs w:val="52"/>
      <w:lang w:eastAsia="es-GT"/>
    </w:rPr>
  </w:style>
  <w:style w:type="paragraph" w:styleId="Subttulo">
    <w:name w:val="Subtitle"/>
    <w:basedOn w:val="Normal"/>
    <w:next w:val="Normal"/>
    <w:link w:val="SubttuloCar"/>
    <w:uiPriority w:val="11"/>
    <w:qFormat/>
    <w:rsid w:val="0032588B"/>
    <w:pPr>
      <w:numPr>
        <w:ilvl w:val="1"/>
      </w:numPr>
      <w:spacing w:after="200" w:line="276" w:lineRule="auto"/>
    </w:pPr>
    <w:rPr>
      <w:rFonts w:asciiTheme="majorHAnsi" w:eastAsiaTheme="majorEastAsia" w:hAnsiTheme="majorHAnsi" w:cstheme="majorBidi"/>
      <w:i/>
      <w:iCs/>
      <w:color w:val="4F81BD" w:themeColor="accent1"/>
      <w:spacing w:val="15"/>
      <w:lang w:val="es-GT" w:eastAsia="es-GT"/>
    </w:rPr>
  </w:style>
  <w:style w:type="character" w:customStyle="1" w:styleId="SubttuloCar">
    <w:name w:val="Subtítulo Car"/>
    <w:basedOn w:val="Fuentedeprrafopredeter"/>
    <w:link w:val="Subttulo"/>
    <w:uiPriority w:val="11"/>
    <w:rsid w:val="0032588B"/>
    <w:rPr>
      <w:rFonts w:asciiTheme="majorHAnsi" w:eastAsiaTheme="majorEastAsia" w:hAnsiTheme="majorHAnsi" w:cstheme="majorBidi"/>
      <w:i/>
      <w:iCs/>
      <w:color w:val="4F81BD" w:themeColor="accent1"/>
      <w:spacing w:val="15"/>
      <w:sz w:val="24"/>
      <w:szCs w:val="24"/>
      <w:lang w:eastAsia="es-GT"/>
    </w:rPr>
  </w:style>
  <w:style w:type="character" w:customStyle="1" w:styleId="Ttulo1Car">
    <w:name w:val="Título 1 Car"/>
    <w:basedOn w:val="Fuentedeprrafopredeter"/>
    <w:link w:val="Ttulo1"/>
    <w:uiPriority w:val="9"/>
    <w:rsid w:val="0032588B"/>
    <w:rPr>
      <w:rFonts w:asciiTheme="majorHAnsi" w:eastAsiaTheme="majorEastAsia" w:hAnsiTheme="majorHAnsi" w:cstheme="majorBidi"/>
      <w:b/>
      <w:bCs/>
      <w:color w:val="365F91" w:themeColor="accent1" w:themeShade="BF"/>
      <w:sz w:val="28"/>
      <w:szCs w:val="28"/>
      <w:lang w:val="es-ES_tradnl" w:eastAsia="es-ES"/>
    </w:rPr>
  </w:style>
  <w:style w:type="paragraph" w:styleId="TtulodeTDC">
    <w:name w:val="TOC Heading"/>
    <w:basedOn w:val="Ttulo1"/>
    <w:next w:val="Normal"/>
    <w:uiPriority w:val="39"/>
    <w:semiHidden/>
    <w:unhideWhenUsed/>
    <w:qFormat/>
    <w:rsid w:val="0032588B"/>
    <w:pPr>
      <w:spacing w:line="276" w:lineRule="auto"/>
      <w:outlineLvl w:val="9"/>
    </w:pPr>
    <w:rPr>
      <w:lang w:val="es-GT" w:eastAsia="es-GT"/>
    </w:rPr>
  </w:style>
  <w:style w:type="paragraph" w:styleId="TDC1">
    <w:name w:val="toc 1"/>
    <w:basedOn w:val="Normal"/>
    <w:next w:val="Normal"/>
    <w:autoRedefine/>
    <w:uiPriority w:val="39"/>
    <w:unhideWhenUsed/>
    <w:rsid w:val="0054409D"/>
    <w:pPr>
      <w:tabs>
        <w:tab w:val="left" w:pos="440"/>
        <w:tab w:val="right" w:leader="dot" w:pos="9394"/>
      </w:tabs>
      <w:spacing w:after="100"/>
    </w:pPr>
    <w:rPr>
      <w:rFonts w:ascii="Times New Roman" w:eastAsiaTheme="majorEastAsia" w:hAnsi="Times New Roman" w:cs="Times New Roman"/>
      <w:b/>
      <w:bCs/>
      <w:noProof/>
      <w:sz w:val="22"/>
    </w:rPr>
  </w:style>
  <w:style w:type="paragraph" w:styleId="TDC2">
    <w:name w:val="toc 2"/>
    <w:basedOn w:val="Normal"/>
    <w:next w:val="Normal"/>
    <w:autoRedefine/>
    <w:uiPriority w:val="39"/>
    <w:unhideWhenUsed/>
    <w:rsid w:val="0054409D"/>
    <w:pPr>
      <w:tabs>
        <w:tab w:val="left" w:pos="880"/>
        <w:tab w:val="right" w:leader="dot" w:pos="9356"/>
      </w:tabs>
      <w:spacing w:after="100"/>
      <w:ind w:left="709" w:hanging="567"/>
    </w:pPr>
  </w:style>
  <w:style w:type="character" w:styleId="Hipervnculo">
    <w:name w:val="Hyperlink"/>
    <w:basedOn w:val="Fuentedeprrafopredeter"/>
    <w:uiPriority w:val="99"/>
    <w:unhideWhenUsed/>
    <w:rsid w:val="0032588B"/>
    <w:rPr>
      <w:color w:val="0000FF" w:themeColor="hyperlink"/>
      <w:u w:val="single"/>
    </w:rPr>
  </w:style>
  <w:style w:type="paragraph" w:styleId="Encabezado">
    <w:name w:val="header"/>
    <w:basedOn w:val="Normal"/>
    <w:link w:val="EncabezadoCar"/>
    <w:uiPriority w:val="99"/>
    <w:unhideWhenUsed/>
    <w:rsid w:val="00AC45C7"/>
    <w:pPr>
      <w:tabs>
        <w:tab w:val="center" w:pos="4419"/>
        <w:tab w:val="right" w:pos="8838"/>
      </w:tabs>
    </w:pPr>
  </w:style>
  <w:style w:type="character" w:customStyle="1" w:styleId="EncabezadoCar">
    <w:name w:val="Encabezado Car"/>
    <w:basedOn w:val="Fuentedeprrafopredeter"/>
    <w:link w:val="Encabezado"/>
    <w:uiPriority w:val="99"/>
    <w:rsid w:val="00AC45C7"/>
    <w:rPr>
      <w:rFonts w:eastAsiaTheme="minorEastAsia"/>
      <w:sz w:val="24"/>
      <w:szCs w:val="24"/>
      <w:lang w:val="es-ES_tradnl" w:eastAsia="es-ES"/>
    </w:rPr>
  </w:style>
  <w:style w:type="paragraph" w:styleId="Piedepgina">
    <w:name w:val="footer"/>
    <w:basedOn w:val="Normal"/>
    <w:link w:val="PiedepginaCar"/>
    <w:uiPriority w:val="99"/>
    <w:unhideWhenUsed/>
    <w:rsid w:val="00AC45C7"/>
    <w:pPr>
      <w:tabs>
        <w:tab w:val="center" w:pos="4419"/>
        <w:tab w:val="right" w:pos="8838"/>
      </w:tabs>
    </w:pPr>
  </w:style>
  <w:style w:type="character" w:customStyle="1" w:styleId="PiedepginaCar">
    <w:name w:val="Pie de página Car"/>
    <w:basedOn w:val="Fuentedeprrafopredeter"/>
    <w:link w:val="Piedepgina"/>
    <w:uiPriority w:val="99"/>
    <w:rsid w:val="00AC45C7"/>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2B7931"/>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31"/>
    <w:rPr>
      <w:rFonts w:ascii="Tahoma" w:eastAsiaTheme="minorEastAsia" w:hAnsi="Tahoma" w:cs="Tahoma"/>
      <w:sz w:val="16"/>
      <w:szCs w:val="16"/>
      <w:lang w:val="es-ES_tradnl" w:eastAsia="es-ES"/>
    </w:rPr>
  </w:style>
  <w:style w:type="character" w:customStyle="1" w:styleId="Ttulo3Car">
    <w:name w:val="Título 3 Car"/>
    <w:basedOn w:val="Fuentedeprrafopredeter"/>
    <w:link w:val="Ttulo3"/>
    <w:uiPriority w:val="9"/>
    <w:semiHidden/>
    <w:rsid w:val="000C0470"/>
    <w:rPr>
      <w:rFonts w:asciiTheme="majorHAnsi" w:eastAsiaTheme="majorEastAsia" w:hAnsiTheme="majorHAnsi" w:cstheme="majorBidi"/>
      <w:color w:val="243F60" w:themeColor="accent1" w:themeShade="7F"/>
      <w:sz w:val="24"/>
      <w:szCs w:val="24"/>
      <w:lang w:val="es-ES_tradnl" w:eastAsia="es-ES"/>
    </w:rPr>
  </w:style>
  <w:style w:type="paragraph" w:customStyle="1" w:styleId="Ttulo11">
    <w:name w:val="Título 11"/>
    <w:basedOn w:val="Normal"/>
    <w:rsid w:val="000C0470"/>
    <w:pPr>
      <w:numPr>
        <w:numId w:val="23"/>
      </w:numPr>
    </w:pPr>
  </w:style>
  <w:style w:type="paragraph" w:customStyle="1" w:styleId="Ttulo21">
    <w:name w:val="Título 21"/>
    <w:basedOn w:val="Normal"/>
    <w:rsid w:val="000C0470"/>
    <w:pPr>
      <w:numPr>
        <w:ilvl w:val="1"/>
        <w:numId w:val="23"/>
      </w:numPr>
    </w:pPr>
  </w:style>
  <w:style w:type="paragraph" w:customStyle="1" w:styleId="Ttulo31">
    <w:name w:val="Título 31"/>
    <w:basedOn w:val="Normal"/>
    <w:rsid w:val="000C0470"/>
    <w:pPr>
      <w:numPr>
        <w:ilvl w:val="2"/>
        <w:numId w:val="23"/>
      </w:numPr>
    </w:pPr>
  </w:style>
  <w:style w:type="paragraph" w:customStyle="1" w:styleId="Ttulo41">
    <w:name w:val="Título 41"/>
    <w:basedOn w:val="Normal"/>
    <w:rsid w:val="000C0470"/>
    <w:pPr>
      <w:numPr>
        <w:ilvl w:val="3"/>
        <w:numId w:val="23"/>
      </w:numPr>
    </w:pPr>
  </w:style>
  <w:style w:type="paragraph" w:customStyle="1" w:styleId="Ttulo51">
    <w:name w:val="Título 51"/>
    <w:basedOn w:val="Normal"/>
    <w:rsid w:val="000C0470"/>
    <w:pPr>
      <w:numPr>
        <w:ilvl w:val="4"/>
        <w:numId w:val="23"/>
      </w:numPr>
    </w:pPr>
  </w:style>
  <w:style w:type="paragraph" w:customStyle="1" w:styleId="Ttulo61">
    <w:name w:val="Título 61"/>
    <w:basedOn w:val="Normal"/>
    <w:rsid w:val="000C0470"/>
    <w:pPr>
      <w:numPr>
        <w:ilvl w:val="5"/>
        <w:numId w:val="23"/>
      </w:numPr>
    </w:pPr>
  </w:style>
  <w:style w:type="paragraph" w:customStyle="1" w:styleId="Ttulo71">
    <w:name w:val="Título 71"/>
    <w:basedOn w:val="Normal"/>
    <w:rsid w:val="000C0470"/>
    <w:pPr>
      <w:numPr>
        <w:ilvl w:val="6"/>
        <w:numId w:val="23"/>
      </w:numPr>
    </w:pPr>
  </w:style>
  <w:style w:type="paragraph" w:customStyle="1" w:styleId="Ttulo81">
    <w:name w:val="Título 81"/>
    <w:basedOn w:val="Normal"/>
    <w:rsid w:val="000C0470"/>
    <w:pPr>
      <w:numPr>
        <w:ilvl w:val="7"/>
        <w:numId w:val="23"/>
      </w:numPr>
    </w:pPr>
  </w:style>
  <w:style w:type="paragraph" w:customStyle="1" w:styleId="Ttulo91">
    <w:name w:val="Título 91"/>
    <w:basedOn w:val="Normal"/>
    <w:rsid w:val="000C0470"/>
    <w:pPr>
      <w:numPr>
        <w:ilvl w:val="8"/>
        <w:numId w:val="23"/>
      </w:numPr>
    </w:pPr>
  </w:style>
  <w:style w:type="paragraph" w:styleId="TDC3">
    <w:name w:val="toc 3"/>
    <w:basedOn w:val="Normal"/>
    <w:next w:val="Normal"/>
    <w:autoRedefine/>
    <w:uiPriority w:val="39"/>
    <w:unhideWhenUsed/>
    <w:rsid w:val="0054409D"/>
    <w:pPr>
      <w:tabs>
        <w:tab w:val="left" w:pos="1134"/>
        <w:tab w:val="right" w:leader="dot" w:pos="9394"/>
      </w:tabs>
      <w:spacing w:after="100"/>
      <w:ind w:left="1134" w:hanging="708"/>
    </w:pPr>
  </w:style>
  <w:style w:type="paragraph" w:customStyle="1" w:styleId="BodyText2Sgl">
    <w:name w:val="Body Text 2 Sgl"/>
    <w:basedOn w:val="Normal"/>
    <w:qFormat/>
    <w:rsid w:val="00EE52DF"/>
    <w:pPr>
      <w:spacing w:after="240"/>
      <w:ind w:firstLine="720"/>
    </w:pPr>
    <w:rPr>
      <w:rFonts w:ascii="Times New Roman" w:eastAsiaTheme="minorHAnsi" w:hAnsi="Times New Roman"/>
      <w:sz w:val="20"/>
      <w:lang w:val="en-US" w:eastAsia="en-US"/>
    </w:rPr>
  </w:style>
  <w:style w:type="paragraph" w:styleId="Textoindependiente">
    <w:name w:val="Body Text"/>
    <w:basedOn w:val="Normal"/>
    <w:link w:val="TextoindependienteCar"/>
    <w:uiPriority w:val="99"/>
    <w:unhideWhenUsed/>
    <w:rsid w:val="00EE52DF"/>
    <w:pPr>
      <w:spacing w:after="120" w:line="259" w:lineRule="auto"/>
    </w:pPr>
    <w:rPr>
      <w:rFonts w:eastAsiaTheme="minorHAnsi"/>
      <w:sz w:val="22"/>
      <w:szCs w:val="22"/>
      <w:lang w:val="es-GT" w:eastAsia="en-US"/>
    </w:rPr>
  </w:style>
  <w:style w:type="character" w:customStyle="1" w:styleId="TextoindependienteCar">
    <w:name w:val="Texto independiente Car"/>
    <w:basedOn w:val="Fuentedeprrafopredeter"/>
    <w:link w:val="Textoindependiente"/>
    <w:uiPriority w:val="99"/>
    <w:rsid w:val="00EE52DF"/>
  </w:style>
  <w:style w:type="character" w:styleId="Refdecomentario">
    <w:name w:val="annotation reference"/>
    <w:basedOn w:val="Fuentedeprrafopredeter"/>
    <w:uiPriority w:val="99"/>
    <w:semiHidden/>
    <w:unhideWhenUsed/>
    <w:rsid w:val="00082E65"/>
    <w:rPr>
      <w:sz w:val="16"/>
      <w:szCs w:val="16"/>
    </w:rPr>
  </w:style>
  <w:style w:type="paragraph" w:styleId="Textocomentario">
    <w:name w:val="annotation text"/>
    <w:basedOn w:val="Normal"/>
    <w:link w:val="TextocomentarioCar"/>
    <w:uiPriority w:val="99"/>
    <w:semiHidden/>
    <w:unhideWhenUsed/>
    <w:rsid w:val="00082E65"/>
    <w:rPr>
      <w:sz w:val="20"/>
      <w:szCs w:val="20"/>
    </w:rPr>
  </w:style>
  <w:style w:type="character" w:customStyle="1" w:styleId="TextocomentarioCar">
    <w:name w:val="Texto comentario Car"/>
    <w:basedOn w:val="Fuentedeprrafopredeter"/>
    <w:link w:val="Textocomentario"/>
    <w:uiPriority w:val="99"/>
    <w:semiHidden/>
    <w:rsid w:val="00082E6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82E65"/>
    <w:rPr>
      <w:b/>
      <w:bCs/>
    </w:rPr>
  </w:style>
  <w:style w:type="character" w:customStyle="1" w:styleId="AsuntodelcomentarioCar">
    <w:name w:val="Asunto del comentario Car"/>
    <w:basedOn w:val="TextocomentarioCar"/>
    <w:link w:val="Asuntodelcomentario"/>
    <w:uiPriority w:val="99"/>
    <w:semiHidden/>
    <w:rsid w:val="00082E65"/>
    <w:rPr>
      <w:rFonts w:eastAsiaTheme="minorEastAsia"/>
      <w:b/>
      <w:bCs/>
      <w:sz w:val="20"/>
      <w:szCs w:val="20"/>
      <w:lang w:val="es-ES_tradnl" w:eastAsia="es-ES"/>
    </w:rPr>
  </w:style>
  <w:style w:type="paragraph" w:styleId="Revisin">
    <w:name w:val="Revision"/>
    <w:hidden/>
    <w:uiPriority w:val="99"/>
    <w:semiHidden/>
    <w:rsid w:val="0054409D"/>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91794">
      <w:bodyDiv w:val="1"/>
      <w:marLeft w:val="0"/>
      <w:marRight w:val="0"/>
      <w:marTop w:val="0"/>
      <w:marBottom w:val="0"/>
      <w:divBdr>
        <w:top w:val="none" w:sz="0" w:space="0" w:color="auto"/>
        <w:left w:val="none" w:sz="0" w:space="0" w:color="auto"/>
        <w:bottom w:val="none" w:sz="0" w:space="0" w:color="auto"/>
        <w:right w:val="none" w:sz="0" w:space="0" w:color="auto"/>
      </w:divBdr>
    </w:div>
    <w:div w:id="1036812108">
      <w:bodyDiv w:val="1"/>
      <w:marLeft w:val="0"/>
      <w:marRight w:val="0"/>
      <w:marTop w:val="0"/>
      <w:marBottom w:val="0"/>
      <w:divBdr>
        <w:top w:val="none" w:sz="0" w:space="0" w:color="auto"/>
        <w:left w:val="none" w:sz="0" w:space="0" w:color="auto"/>
        <w:bottom w:val="none" w:sz="0" w:space="0" w:color="auto"/>
        <w:right w:val="none" w:sz="0" w:space="0" w:color="auto"/>
      </w:divBdr>
    </w:div>
    <w:div w:id="1148786281">
      <w:bodyDiv w:val="1"/>
      <w:marLeft w:val="0"/>
      <w:marRight w:val="0"/>
      <w:marTop w:val="0"/>
      <w:marBottom w:val="0"/>
      <w:divBdr>
        <w:top w:val="none" w:sz="0" w:space="0" w:color="auto"/>
        <w:left w:val="none" w:sz="0" w:space="0" w:color="auto"/>
        <w:bottom w:val="none" w:sz="0" w:space="0" w:color="auto"/>
        <w:right w:val="none" w:sz="0" w:space="0" w:color="auto"/>
      </w:divBdr>
    </w:div>
    <w:div w:id="1731222267">
      <w:bodyDiv w:val="1"/>
      <w:marLeft w:val="0"/>
      <w:marRight w:val="0"/>
      <w:marTop w:val="0"/>
      <w:marBottom w:val="0"/>
      <w:divBdr>
        <w:top w:val="none" w:sz="0" w:space="0" w:color="auto"/>
        <w:left w:val="none" w:sz="0" w:space="0" w:color="auto"/>
        <w:bottom w:val="none" w:sz="0" w:space="0" w:color="auto"/>
        <w:right w:val="none" w:sz="0" w:space="0" w:color="auto"/>
      </w:divBdr>
    </w:div>
    <w:div w:id="1905945296">
      <w:bodyDiv w:val="1"/>
      <w:marLeft w:val="0"/>
      <w:marRight w:val="0"/>
      <w:marTop w:val="0"/>
      <w:marBottom w:val="0"/>
      <w:divBdr>
        <w:top w:val="none" w:sz="0" w:space="0" w:color="auto"/>
        <w:left w:val="none" w:sz="0" w:space="0" w:color="auto"/>
        <w:bottom w:val="none" w:sz="0" w:space="0" w:color="auto"/>
        <w:right w:val="none" w:sz="0" w:space="0" w:color="auto"/>
      </w:divBdr>
    </w:div>
    <w:div w:id="21323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emf"/><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oleObject" Target="file:///C:\Users\seargueta\Desktop\Informes%202020\PAPTN%202016-2020.xlsx" TargetMode="External"/><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hpirique\Documents\Informaci&#243;n%20Laboral\2020\Enero\PIB\NUEVO%20PIB.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hpirique\Documents\Informaci&#243;n%20Laboral\2020\Enero\PIB%20X%20Actividad%20Economica%202019-2020.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psantizo\Desktop\INF\dat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hpirique\AppData\Local\Microsoft\Windows\INetCache\Content.Outlook\UUP896A6\conciliacion_com_ext_aduana.xls" TargetMode="Externa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psantizo\Desktop\INF\data.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psantizo\Desktop\INF\data.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hpirique\Documents\Informaci&#243;n%20Laboral\2020\Enero\pim02%20TIPO%20DE%20CAMBIO.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100"/>
              <a:t>Variación Interanual de la Recaudación Tributaria</a:t>
            </a:r>
          </a:p>
          <a:p>
            <a:pPr>
              <a:defRPr sz="100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n-US" sz="1000" b="0"/>
              <a:t>Porcentajes</a:t>
            </a:r>
          </a:p>
        </c:rich>
      </c:tx>
      <c:layout>
        <c:manualLayout>
          <c:xMode val="edge"/>
          <c:yMode val="edge"/>
          <c:x val="0.14507791017415214"/>
          <c:y val="0"/>
        </c:manualLayout>
      </c:layout>
      <c:overlay val="0"/>
      <c:spPr>
        <a:noFill/>
        <a:ln>
          <a:noFill/>
        </a:ln>
        <a:effectLst/>
      </c:spPr>
    </c:title>
    <c:autoTitleDeleted val="0"/>
    <c:plotArea>
      <c:layout>
        <c:manualLayout>
          <c:layoutTarget val="inner"/>
          <c:xMode val="edge"/>
          <c:yMode val="edge"/>
          <c:x val="8.6576079031787698E-2"/>
          <c:y val="0.18449612403100776"/>
          <c:w val="0.86712762467191606"/>
          <c:h val="0.61080754440578644"/>
        </c:manualLayout>
      </c:layout>
      <c:bubbleChart>
        <c:varyColors val="0"/>
        <c:ser>
          <c:idx val="0"/>
          <c:order val="0"/>
          <c:tx>
            <c:strRef>
              <c:f>Hoja1!$B$1</c:f>
              <c:strCache>
                <c:ptCount val="1"/>
                <c:pt idx="0">
                  <c:v>Variación Interanual</c:v>
                </c:pt>
              </c:strCache>
            </c:strRef>
          </c:tx>
          <c:spPr>
            <a:solidFill>
              <a:srgbClr val="0070C0"/>
            </a:solidFill>
            <a:ln>
              <a:noFill/>
            </a:ln>
            <a:effectLst>
              <a:glow rad="63500">
                <a:schemeClr val="accent2">
                  <a:satMod val="175000"/>
                  <a:alpha val="40000"/>
                </a:schemeClr>
              </a:glow>
            </a:effectLst>
          </c:spPr>
          <c:invertIfNegative val="0"/>
          <c:dLbls>
            <c:spPr>
              <a:noFill/>
              <a:ln>
                <a:noFill/>
              </a:ln>
              <a:effectLst/>
            </c:spPr>
            <c:txPr>
              <a:bodyPr rot="0" spcFirstLastPara="1" vertOverflow="ellipsis" vert="horz" wrap="square" anchor="ctr" anchorCtr="0"/>
              <a:lstStyle/>
              <a:p>
                <a:pPr algn="ct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E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xVal>
            <c:numRef>
              <c:f>Hoja1!$A$2:$A$6</c:f>
              <c:numCache>
                <c:formatCode>General</c:formatCode>
                <c:ptCount val="5"/>
                <c:pt idx="0">
                  <c:v>2015</c:v>
                </c:pt>
                <c:pt idx="1">
                  <c:v>2016</c:v>
                </c:pt>
                <c:pt idx="2">
                  <c:v>2017</c:v>
                </c:pt>
                <c:pt idx="3">
                  <c:v>2018</c:v>
                </c:pt>
                <c:pt idx="4">
                  <c:v>2019</c:v>
                </c:pt>
              </c:numCache>
            </c:numRef>
          </c:xVal>
          <c:yVal>
            <c:numRef>
              <c:f>Hoja1!$B$2:$B$6</c:f>
              <c:numCache>
                <c:formatCode>0.0%</c:formatCode>
                <c:ptCount val="5"/>
                <c:pt idx="0">
                  <c:v>1.2909630908197967E-2</c:v>
                </c:pt>
                <c:pt idx="1">
                  <c:v>8.8048669447153394E-2</c:v>
                </c:pt>
                <c:pt idx="2">
                  <c:v>4.7541789066846363E-2</c:v>
                </c:pt>
                <c:pt idx="3">
                  <c:v>3.7990172845810299E-2</c:v>
                </c:pt>
                <c:pt idx="4">
                  <c:v>6.3872322224258316E-2</c:v>
                </c:pt>
              </c:numCache>
            </c:numRef>
          </c:yVal>
          <c:bubbleSize>
            <c:numRef>
              <c:f>Hoja1!$C$2:$C$6</c:f>
              <c:numCache>
                <c:formatCode>0.0%</c:formatCode>
                <c:ptCount val="5"/>
                <c:pt idx="0">
                  <c:v>4.6622565567002006E-2</c:v>
                </c:pt>
                <c:pt idx="1">
                  <c:v>4.6622565567002006E-2</c:v>
                </c:pt>
                <c:pt idx="2">
                  <c:v>4.6622565567002006E-2</c:v>
                </c:pt>
                <c:pt idx="3">
                  <c:v>4.6622565567002006E-2</c:v>
                </c:pt>
                <c:pt idx="4">
                  <c:v>4.6622565567002006E-2</c:v>
                </c:pt>
              </c:numCache>
            </c:numRef>
          </c:bubbleSize>
          <c:bubble3D val="1"/>
          <c:extLst xmlns:c16r2="http://schemas.microsoft.com/office/drawing/2015/06/chart">
            <c:ext xmlns:c16="http://schemas.microsoft.com/office/drawing/2014/chart" uri="{C3380CC4-5D6E-409C-BE32-E72D297353CC}">
              <c16:uniqueId val="{00000000-EF96-4980-AA34-719D9ACD2C72}"/>
            </c:ext>
          </c:extLst>
        </c:ser>
        <c:dLbls>
          <c:dLblPos val="ctr"/>
          <c:showLegendKey val="0"/>
          <c:showVal val="1"/>
          <c:showCatName val="0"/>
          <c:showSerName val="0"/>
          <c:showPercent val="0"/>
          <c:showBubbleSize val="0"/>
        </c:dLbls>
        <c:bubbleScale val="100"/>
        <c:showNegBubbles val="0"/>
        <c:axId val="55076736"/>
        <c:axId val="55079680"/>
      </c:bubbleChart>
      <c:valAx>
        <c:axId val="55076736"/>
        <c:scaling>
          <c:orientation val="minMax"/>
          <c:max val="2020"/>
          <c:min val="2014"/>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low"/>
        <c:spPr>
          <a:noFill/>
          <a:ln>
            <a:solidFill>
              <a:schemeClr val="dk1">
                <a:lumMod val="25000"/>
                <a:lumOff val="75000"/>
              </a:schemeClr>
            </a:solidFill>
          </a:ln>
          <a:effectLst/>
        </c:spPr>
        <c:txPr>
          <a:bodyPr rot="-60000000" spcFirstLastPara="1" vertOverflow="ellipsis" vert="horz" wrap="square" anchor="ctr" anchorCtr="1"/>
          <a:lstStyle/>
          <a:p>
            <a:pPr>
              <a:defRPr sz="900" b="1" i="0" u="none" strike="noStrike" kern="1200" cap="none" spc="0" normalizeH="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es-ES"/>
          </a:p>
        </c:txPr>
        <c:crossAx val="55079680"/>
        <c:crosses val="autoZero"/>
        <c:crossBetween val="midCat"/>
        <c:majorUnit val="1"/>
        <c:minorUnit val="1"/>
      </c:valAx>
      <c:valAx>
        <c:axId val="55079680"/>
        <c:scaling>
          <c:orientation val="minMax"/>
          <c:max val="0.12000000000000001"/>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solidFill>
              <a:schemeClr val="dk1">
                <a:lumMod val="25000"/>
                <a:lumOff val="75000"/>
              </a:schemeClr>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55076736"/>
        <c:crosses val="autoZero"/>
        <c:crossBetween val="midCat"/>
      </c:valAx>
      <c:spPr>
        <a:pattFill prst="ltDnDiag">
          <a:fgClr>
            <a:srgbClr val="000000">
              <a:alpha val="0"/>
            </a:srgbClr>
          </a:fgClr>
          <a:bgClr>
            <a:srgbClr val="FFFFFF"/>
          </a:bgClr>
        </a:patt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76807719687415"/>
          <c:y val="3.6852956250291197E-2"/>
          <c:w val="0.86434391720077086"/>
          <c:h val="0.83880049387317712"/>
        </c:manualLayout>
      </c:layout>
      <c:lineChart>
        <c:grouping val="standard"/>
        <c:varyColors val="0"/>
        <c:ser>
          <c:idx val="0"/>
          <c:order val="0"/>
          <c:tx>
            <c:strRef>
              <c:f>Hoja1!$B$1</c:f>
              <c:strCache>
                <c:ptCount val="1"/>
                <c:pt idx="0">
                  <c:v>Carga Trib</c:v>
                </c:pt>
              </c:strCache>
            </c:strRef>
          </c:tx>
          <c:spPr>
            <a:ln>
              <a:solidFill>
                <a:schemeClr val="tx1"/>
              </a:solidFill>
            </a:ln>
          </c:spPr>
          <c:marker>
            <c:symbol val="circle"/>
            <c:size val="5"/>
            <c:spPr>
              <a:solidFill>
                <a:schemeClr val="tx1"/>
              </a:solidFill>
            </c:spPr>
          </c:marker>
          <c:dLbls>
            <c:dLbl>
              <c:idx val="0"/>
              <c:layout>
                <c:manualLayout>
                  <c:x val="-6.7190669371196748E-2"/>
                  <c:y val="-7.35921023109715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316-4D2A-B8CF-E0468E344850}"/>
                </c:ext>
              </c:extLst>
            </c:dLbl>
            <c:dLbl>
              <c:idx val="1"/>
              <c:layout>
                <c:manualLayout>
                  <c:x val="-5.4513184584178496E-2"/>
                  <c:y val="-5.115548575274848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16-4D2A-B8CF-E0468E344850}"/>
                </c:ext>
              </c:extLst>
            </c:dLbl>
            <c:dLbl>
              <c:idx val="2"/>
              <c:layout>
                <c:manualLayout>
                  <c:x val="-3.8032454361054766E-3"/>
                  <c:y val="-2.871886919452546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316-4D2A-B8CF-E0468E344850}"/>
                </c:ext>
              </c:extLst>
            </c:dLbl>
            <c:dLbl>
              <c:idx val="4"/>
              <c:layout>
                <c:manualLayout>
                  <c:x val="-4.9442190669371194E-2"/>
                  <c:y val="-5.564280906439308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316-4D2A-B8CF-E0468E344850}"/>
                </c:ext>
              </c:extLst>
            </c:dLbl>
            <c:dLbl>
              <c:idx val="6"/>
              <c:layout>
                <c:manualLayout>
                  <c:x val="-5.5043751908751708E-2"/>
                  <c:y val="7.20156892195427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316-4D2A-B8CF-E0468E344850}"/>
                </c:ext>
              </c:extLst>
            </c:dLbl>
            <c:dLbl>
              <c:idx val="7"/>
              <c:layout>
                <c:manualLayout>
                  <c:x val="-2.2649353408472149E-2"/>
                  <c:y val="8.45973756296836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316-4D2A-B8CF-E0468E344850}"/>
                </c:ext>
              </c:extLst>
            </c:dLbl>
            <c:spPr>
              <a:noFill/>
              <a:ln>
                <a:noFill/>
              </a:ln>
              <a:effectLst/>
            </c:spPr>
            <c:txPr>
              <a:bodyPr/>
              <a:lstStyle/>
              <a:p>
                <a:pPr>
                  <a:defRPr sz="800" b="1"/>
                </a:pPr>
                <a:endParaRPr lang="es-E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Hoja1!$A$2:$A$9</c:f>
              <c:numCache>
                <c:formatCode>General</c:formatCode>
                <c:ptCount val="8"/>
                <c:pt idx="0">
                  <c:v>2012</c:v>
                </c:pt>
                <c:pt idx="1">
                  <c:v>2013</c:v>
                </c:pt>
                <c:pt idx="2">
                  <c:v>2014</c:v>
                </c:pt>
                <c:pt idx="3">
                  <c:v>2015</c:v>
                </c:pt>
                <c:pt idx="4">
                  <c:v>2016</c:v>
                </c:pt>
                <c:pt idx="5">
                  <c:v>2017</c:v>
                </c:pt>
                <c:pt idx="6">
                  <c:v>2018</c:v>
                </c:pt>
                <c:pt idx="7">
                  <c:v>2019</c:v>
                </c:pt>
              </c:numCache>
            </c:numRef>
          </c:cat>
          <c:val>
            <c:numRef>
              <c:f>Hoja1!$B$2:$B$9</c:f>
              <c:numCache>
                <c:formatCode>0.00%</c:formatCode>
                <c:ptCount val="8"/>
                <c:pt idx="0">
                  <c:v>0.10953264737896941</c:v>
                </c:pt>
                <c:pt idx="1">
                  <c:v>0.11128102100853253</c:v>
                </c:pt>
                <c:pt idx="2">
                  <c:v>0.10975636503565742</c:v>
                </c:pt>
                <c:pt idx="3">
                  <c:v>0.10447132574294761</c:v>
                </c:pt>
                <c:pt idx="4">
                  <c:v>0.10778007543348501</c:v>
                </c:pt>
                <c:pt idx="5">
                  <c:v>0.10780762405563374</c:v>
                </c:pt>
                <c:pt idx="6">
                  <c:v>0.10729099477692232</c:v>
                </c:pt>
                <c:pt idx="7">
                  <c:v>0.10711299711851782</c:v>
                </c:pt>
              </c:numCache>
            </c:numRef>
          </c:val>
          <c:smooth val="0"/>
          <c:extLst xmlns:c16r2="http://schemas.microsoft.com/office/drawing/2015/06/chart">
            <c:ext xmlns:c16="http://schemas.microsoft.com/office/drawing/2014/chart" uri="{C3380CC4-5D6E-409C-BE32-E72D297353CC}">
              <c16:uniqueId val="{00000006-1316-4D2A-B8CF-E0468E344850}"/>
            </c:ext>
          </c:extLst>
        </c:ser>
        <c:dLbls>
          <c:showLegendKey val="0"/>
          <c:showVal val="0"/>
          <c:showCatName val="0"/>
          <c:showSerName val="0"/>
          <c:showPercent val="0"/>
          <c:showBubbleSize val="0"/>
        </c:dLbls>
        <c:marker val="1"/>
        <c:smooth val="0"/>
        <c:axId val="72945664"/>
        <c:axId val="72947200"/>
      </c:lineChart>
      <c:catAx>
        <c:axId val="72945664"/>
        <c:scaling>
          <c:orientation val="minMax"/>
        </c:scaling>
        <c:delete val="0"/>
        <c:axPos val="b"/>
        <c:numFmt formatCode="General" sourceLinked="1"/>
        <c:majorTickMark val="out"/>
        <c:minorTickMark val="none"/>
        <c:tickLblPos val="low"/>
        <c:txPr>
          <a:bodyPr/>
          <a:lstStyle/>
          <a:p>
            <a:pPr>
              <a:defRPr sz="900" b="0"/>
            </a:pPr>
            <a:endParaRPr lang="es-ES"/>
          </a:p>
        </c:txPr>
        <c:crossAx val="72947200"/>
        <c:crosses val="autoZero"/>
        <c:auto val="1"/>
        <c:lblAlgn val="ctr"/>
        <c:lblOffset val="100"/>
        <c:noMultiLvlLbl val="0"/>
      </c:catAx>
      <c:valAx>
        <c:axId val="72947200"/>
        <c:scaling>
          <c:orientation val="minMax"/>
          <c:max val="0.12000000000000001"/>
          <c:min val="9.0000000000000024E-2"/>
        </c:scaling>
        <c:delete val="0"/>
        <c:axPos val="l"/>
        <c:numFmt formatCode="0.0%" sourceLinked="0"/>
        <c:majorTickMark val="out"/>
        <c:minorTickMark val="none"/>
        <c:tickLblPos val="nextTo"/>
        <c:txPr>
          <a:bodyPr/>
          <a:lstStyle/>
          <a:p>
            <a:pPr>
              <a:defRPr sz="900" b="0"/>
            </a:pPr>
            <a:endParaRPr lang="es-ES"/>
          </a:p>
        </c:txPr>
        <c:crossAx val="7294566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224418412408798E-2"/>
          <c:y val="2.6355565644217774E-2"/>
          <c:w val="0.88694861472697906"/>
          <c:h val="0.78806631583112408"/>
        </c:manualLayout>
      </c:layout>
      <c:barChart>
        <c:barDir val="col"/>
        <c:grouping val="clustered"/>
        <c:varyColors val="0"/>
        <c:ser>
          <c:idx val="0"/>
          <c:order val="0"/>
          <c:tx>
            <c:strRef>
              <c:f>Hoja1!$A$2</c:f>
              <c:strCache>
                <c:ptCount val="1"/>
                <c:pt idx="0">
                  <c:v>2019</c:v>
                </c:pt>
              </c:strCache>
            </c:strRef>
          </c:tx>
          <c:spPr>
            <a:solidFill>
              <a:schemeClr val="accent1"/>
            </a:solidFill>
            <a:ln>
              <a:noFill/>
            </a:ln>
            <a:effectLst>
              <a:outerShdw blurRad="50800" dist="38100" dir="18900000" algn="bl" rotWithShape="0">
                <a:prstClr val="black">
                  <a:alpha val="40000"/>
                </a:prst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Hoja1!$B$1:$M$1</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Hoja1!$B$2:$M$2</c:f>
              <c:numCache>
                <c:formatCode>General</c:formatCode>
                <c:ptCount val="12"/>
                <c:pt idx="0">
                  <c:v>20.7</c:v>
                </c:pt>
                <c:pt idx="1">
                  <c:v>17.600000000000001</c:v>
                </c:pt>
                <c:pt idx="2">
                  <c:v>18.2</c:v>
                </c:pt>
                <c:pt idx="3">
                  <c:v>20.7</c:v>
                </c:pt>
                <c:pt idx="4">
                  <c:v>17.600000000000001</c:v>
                </c:pt>
                <c:pt idx="5">
                  <c:v>16.5</c:v>
                </c:pt>
                <c:pt idx="6">
                  <c:v>14</c:v>
                </c:pt>
                <c:pt idx="7">
                  <c:v>13.1</c:v>
                </c:pt>
                <c:pt idx="8">
                  <c:v>13.2</c:v>
                </c:pt>
                <c:pt idx="9">
                  <c:v>13.1</c:v>
                </c:pt>
                <c:pt idx="10">
                  <c:v>11.4</c:v>
                </c:pt>
                <c:pt idx="11">
                  <c:v>9.8000000000000007</c:v>
                </c:pt>
              </c:numCache>
            </c:numRef>
          </c:val>
          <c:extLst xmlns:c16r2="http://schemas.microsoft.com/office/drawing/2015/06/chart">
            <c:ext xmlns:c16="http://schemas.microsoft.com/office/drawing/2014/chart" uri="{C3380CC4-5D6E-409C-BE32-E72D297353CC}">
              <c16:uniqueId val="{00000000-5D20-4616-910D-567A4ECB7BF0}"/>
            </c:ext>
          </c:extLst>
        </c:ser>
        <c:dLbls>
          <c:showLegendKey val="0"/>
          <c:showVal val="0"/>
          <c:showCatName val="0"/>
          <c:showSerName val="0"/>
          <c:showPercent val="0"/>
          <c:showBubbleSize val="0"/>
        </c:dLbls>
        <c:gapWidth val="70"/>
        <c:axId val="72993408"/>
        <c:axId val="72995200"/>
      </c:barChart>
      <c:lineChart>
        <c:grouping val="standard"/>
        <c:varyColors val="0"/>
        <c:ser>
          <c:idx val="1"/>
          <c:order val="1"/>
          <c:tx>
            <c:strRef>
              <c:f>Hoja1!$A$3</c:f>
              <c:strCache>
                <c:ptCount val="1"/>
                <c:pt idx="0">
                  <c:v>2018</c:v>
                </c:pt>
              </c:strCache>
            </c:strRef>
          </c:tx>
          <c:spPr>
            <a:ln w="22225" cap="rnd">
              <a:solidFill>
                <a:srgbClr val="FFFF00"/>
              </a:solidFill>
              <a:prstDash val="solid"/>
              <a:round/>
            </a:ln>
            <a:effectLst/>
          </c:spPr>
          <c:marker>
            <c:symbol val="none"/>
          </c:marker>
          <c:cat>
            <c:strRef>
              <c:f>Hoja1!$B$1:$M$1</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Hoja1!$B$3:$M$3</c:f>
              <c:numCache>
                <c:formatCode>General</c:formatCode>
                <c:ptCount val="12"/>
                <c:pt idx="0">
                  <c:v>1.7</c:v>
                </c:pt>
                <c:pt idx="1">
                  <c:v>3.2</c:v>
                </c:pt>
                <c:pt idx="2">
                  <c:v>3.2</c:v>
                </c:pt>
                <c:pt idx="3">
                  <c:v>3.9</c:v>
                </c:pt>
                <c:pt idx="4">
                  <c:v>3.6</c:v>
                </c:pt>
                <c:pt idx="5">
                  <c:v>7</c:v>
                </c:pt>
                <c:pt idx="6">
                  <c:v>7.4</c:v>
                </c:pt>
                <c:pt idx="7">
                  <c:v>8.5</c:v>
                </c:pt>
                <c:pt idx="8">
                  <c:v>8.4</c:v>
                </c:pt>
                <c:pt idx="9">
                  <c:v>8.6999999999999993</c:v>
                </c:pt>
                <c:pt idx="10">
                  <c:v>9.8000000000000007</c:v>
                </c:pt>
                <c:pt idx="11">
                  <c:v>8.1</c:v>
                </c:pt>
              </c:numCache>
            </c:numRef>
          </c:val>
          <c:smooth val="0"/>
          <c:extLst xmlns:c16r2="http://schemas.microsoft.com/office/drawing/2015/06/chart">
            <c:ext xmlns:c16="http://schemas.microsoft.com/office/drawing/2014/chart" uri="{C3380CC4-5D6E-409C-BE32-E72D297353CC}">
              <c16:uniqueId val="{00000001-5D20-4616-910D-567A4ECB7BF0}"/>
            </c:ext>
          </c:extLst>
        </c:ser>
        <c:ser>
          <c:idx val="2"/>
          <c:order val="2"/>
          <c:tx>
            <c:strRef>
              <c:f>Hoja1!$A$4</c:f>
              <c:strCache>
                <c:ptCount val="1"/>
                <c:pt idx="0">
                  <c:v>2017</c:v>
                </c:pt>
              </c:strCache>
            </c:strRef>
          </c:tx>
          <c:spPr>
            <a:ln w="28575" cap="rnd">
              <a:solidFill>
                <a:schemeClr val="accent2">
                  <a:lumMod val="75000"/>
                </a:schemeClr>
              </a:solidFill>
              <a:prstDash val="sysDash"/>
              <a:round/>
            </a:ln>
            <a:effectLst/>
          </c:spPr>
          <c:marker>
            <c:symbol val="none"/>
          </c:marker>
          <c:cat>
            <c:strRef>
              <c:f>Hoja1!$B$1:$M$1</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Hoja1!$B$4:$M$4</c:f>
              <c:numCache>
                <c:formatCode>General</c:formatCode>
                <c:ptCount val="12"/>
                <c:pt idx="0">
                  <c:v>8.1</c:v>
                </c:pt>
                <c:pt idx="1">
                  <c:v>4.2</c:v>
                </c:pt>
                <c:pt idx="2">
                  <c:v>2.7</c:v>
                </c:pt>
                <c:pt idx="3">
                  <c:v>7.5</c:v>
                </c:pt>
                <c:pt idx="4">
                  <c:v>9.1999999999999993</c:v>
                </c:pt>
                <c:pt idx="5">
                  <c:v>6.9</c:v>
                </c:pt>
                <c:pt idx="6">
                  <c:v>5.7</c:v>
                </c:pt>
                <c:pt idx="7">
                  <c:v>5.2</c:v>
                </c:pt>
                <c:pt idx="8">
                  <c:v>5.2</c:v>
                </c:pt>
                <c:pt idx="9">
                  <c:v>4.8</c:v>
                </c:pt>
                <c:pt idx="10">
                  <c:v>4.0999999999999996</c:v>
                </c:pt>
                <c:pt idx="11">
                  <c:v>6.6</c:v>
                </c:pt>
              </c:numCache>
            </c:numRef>
          </c:val>
          <c:smooth val="0"/>
          <c:extLst xmlns:c16r2="http://schemas.microsoft.com/office/drawing/2015/06/chart">
            <c:ext xmlns:c16="http://schemas.microsoft.com/office/drawing/2014/chart" uri="{C3380CC4-5D6E-409C-BE32-E72D297353CC}">
              <c16:uniqueId val="{00000002-5D20-4616-910D-567A4ECB7BF0}"/>
            </c:ext>
          </c:extLst>
        </c:ser>
        <c:ser>
          <c:idx val="3"/>
          <c:order val="3"/>
          <c:tx>
            <c:strRef>
              <c:f>Hoja1!$A$5</c:f>
              <c:strCache>
                <c:ptCount val="1"/>
                <c:pt idx="0">
                  <c:v>2016</c:v>
                </c:pt>
              </c:strCache>
            </c:strRef>
          </c:tx>
          <c:spPr>
            <a:ln w="28575" cap="rnd">
              <a:solidFill>
                <a:srgbClr val="00B0F0"/>
              </a:solidFill>
              <a:prstDash val="dashDot"/>
              <a:round/>
            </a:ln>
            <a:effectLst/>
          </c:spPr>
          <c:marker>
            <c:symbol val="none"/>
          </c:marker>
          <c:cat>
            <c:strRef>
              <c:f>Hoja1!$B$1:$M$1</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Hoja1!$B$5:$M$5</c:f>
              <c:numCache>
                <c:formatCode>General</c:formatCode>
                <c:ptCount val="12"/>
                <c:pt idx="0">
                  <c:v>0.4</c:v>
                </c:pt>
                <c:pt idx="1">
                  <c:v>-4.3</c:v>
                </c:pt>
                <c:pt idx="2">
                  <c:v>-8.9</c:v>
                </c:pt>
                <c:pt idx="3">
                  <c:v>-11.9</c:v>
                </c:pt>
                <c:pt idx="4">
                  <c:v>-10.9</c:v>
                </c:pt>
                <c:pt idx="5">
                  <c:v>-8.1999999999999993</c:v>
                </c:pt>
                <c:pt idx="6">
                  <c:v>-5.0999999999999996</c:v>
                </c:pt>
                <c:pt idx="7">
                  <c:v>-4.0999999999999996</c:v>
                </c:pt>
                <c:pt idx="8">
                  <c:v>-2</c:v>
                </c:pt>
                <c:pt idx="9">
                  <c:v>-0.1</c:v>
                </c:pt>
                <c:pt idx="10">
                  <c:v>3.1</c:v>
                </c:pt>
                <c:pt idx="11">
                  <c:v>5.3</c:v>
                </c:pt>
              </c:numCache>
            </c:numRef>
          </c:val>
          <c:smooth val="0"/>
          <c:extLst xmlns:c16r2="http://schemas.microsoft.com/office/drawing/2015/06/chart">
            <c:ext xmlns:c16="http://schemas.microsoft.com/office/drawing/2014/chart" uri="{C3380CC4-5D6E-409C-BE32-E72D297353CC}">
              <c16:uniqueId val="{00000003-5D20-4616-910D-567A4ECB7BF0}"/>
            </c:ext>
          </c:extLst>
        </c:ser>
        <c:ser>
          <c:idx val="4"/>
          <c:order val="4"/>
          <c:tx>
            <c:strRef>
              <c:f>Hoja1!$A$6</c:f>
              <c:strCache>
                <c:ptCount val="1"/>
                <c:pt idx="0">
                  <c:v>2015</c:v>
                </c:pt>
              </c:strCache>
            </c:strRef>
          </c:tx>
          <c:spPr>
            <a:ln w="31750" cap="rnd">
              <a:solidFill>
                <a:schemeClr val="accent6">
                  <a:lumMod val="75000"/>
                </a:schemeClr>
              </a:solidFill>
              <a:prstDash val="sysDot"/>
              <a:round/>
            </a:ln>
            <a:effectLst/>
          </c:spPr>
          <c:marker>
            <c:symbol val="none"/>
          </c:marker>
          <c:cat>
            <c:strRef>
              <c:f>Hoja1!$B$1:$M$1</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Hoja1!$B$6:$M$6</c:f>
              <c:numCache>
                <c:formatCode>General</c:formatCode>
                <c:ptCount val="12"/>
                <c:pt idx="0">
                  <c:v>14.4</c:v>
                </c:pt>
                <c:pt idx="1">
                  <c:v>22.4</c:v>
                </c:pt>
                <c:pt idx="2">
                  <c:v>21.7</c:v>
                </c:pt>
                <c:pt idx="3">
                  <c:v>14.6</c:v>
                </c:pt>
                <c:pt idx="4">
                  <c:v>10.199999999999999</c:v>
                </c:pt>
                <c:pt idx="5">
                  <c:v>6.7</c:v>
                </c:pt>
                <c:pt idx="6">
                  <c:v>3.9</c:v>
                </c:pt>
                <c:pt idx="7">
                  <c:v>2.6</c:v>
                </c:pt>
                <c:pt idx="8">
                  <c:v>2.1</c:v>
                </c:pt>
                <c:pt idx="9">
                  <c:v>3.8</c:v>
                </c:pt>
                <c:pt idx="10">
                  <c:v>1.4</c:v>
                </c:pt>
                <c:pt idx="11">
                  <c:v>-1.5</c:v>
                </c:pt>
              </c:numCache>
            </c:numRef>
          </c:val>
          <c:smooth val="0"/>
          <c:extLst xmlns:c16r2="http://schemas.microsoft.com/office/drawing/2015/06/chart">
            <c:ext xmlns:c16="http://schemas.microsoft.com/office/drawing/2014/chart" uri="{C3380CC4-5D6E-409C-BE32-E72D297353CC}">
              <c16:uniqueId val="{00000004-5D20-4616-910D-567A4ECB7BF0}"/>
            </c:ext>
          </c:extLst>
        </c:ser>
        <c:dLbls>
          <c:showLegendKey val="0"/>
          <c:showVal val="0"/>
          <c:showCatName val="0"/>
          <c:showSerName val="0"/>
          <c:showPercent val="0"/>
          <c:showBubbleSize val="0"/>
        </c:dLbls>
        <c:marker val="1"/>
        <c:smooth val="0"/>
        <c:axId val="72993408"/>
        <c:axId val="72995200"/>
      </c:lineChart>
      <c:catAx>
        <c:axId val="72993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2995200"/>
        <c:crosses val="autoZero"/>
        <c:auto val="1"/>
        <c:lblAlgn val="ctr"/>
        <c:lblOffset val="100"/>
        <c:noMultiLvlLbl val="0"/>
      </c:catAx>
      <c:valAx>
        <c:axId val="72995200"/>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2993408"/>
        <c:crosses val="autoZero"/>
        <c:crossBetween val="between"/>
      </c:valAx>
      <c:spPr>
        <a:noFill/>
        <a:ln>
          <a:noFill/>
        </a:ln>
        <a:effectLst/>
      </c:spPr>
    </c:plotArea>
    <c:legend>
      <c:legendPos val="b"/>
      <c:layout>
        <c:manualLayout>
          <c:xMode val="edge"/>
          <c:yMode val="edge"/>
          <c:x val="0.18947990458847364"/>
          <c:y val="0.91931601646858407"/>
          <c:w val="0.78593473311409068"/>
          <c:h val="7.8828039909451933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b="1"/>
      </a:pPr>
      <a:endParaRPr lang="es-E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84069699620882"/>
          <c:y val="4.3650793650793648E-2"/>
          <c:w val="0.73783300524934381"/>
          <c:h val="0.84612767154105739"/>
        </c:manualLayout>
      </c:layout>
      <c:barChart>
        <c:barDir val="bar"/>
        <c:grouping val="clustered"/>
        <c:varyColors val="0"/>
        <c:ser>
          <c:idx val="0"/>
          <c:order val="0"/>
          <c:tx>
            <c:strRef>
              <c:f>Hoja1!$B$1</c:f>
              <c:strCache>
                <c:ptCount val="1"/>
                <c:pt idx="0">
                  <c:v>2018</c:v>
                </c:pt>
              </c:strCache>
            </c:strRef>
          </c:tx>
          <c:spPr>
            <a:solidFill>
              <a:schemeClr val="accent6">
                <a:lumMod val="60000"/>
                <a:lumOff val="40000"/>
              </a:schemeClr>
            </a:solidFill>
            <a:ln>
              <a:noFill/>
            </a:ln>
            <a:effectLst>
              <a:outerShdw blurRad="50800" dist="38100" dir="18900000" algn="bl" rotWithShape="0">
                <a:prstClr val="black">
                  <a:alpha val="40000"/>
                </a:prst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Bienes y Servicios</c:v>
                </c:pt>
                <c:pt idx="1">
                  <c:v>Prestaciones a S.S</c:v>
                </c:pt>
                <c:pt idx="2">
                  <c:v>Transf. Corrientes</c:v>
                </c:pt>
                <c:pt idx="3">
                  <c:v>Transf. de Capital</c:v>
                </c:pt>
                <c:pt idx="4">
                  <c:v>Inversión Real Directa</c:v>
                </c:pt>
                <c:pt idx="5">
                  <c:v>Intereses</c:v>
                </c:pt>
                <c:pt idx="6">
                  <c:v>Remuneraciones</c:v>
                </c:pt>
              </c:strCache>
            </c:strRef>
          </c:cat>
          <c:val>
            <c:numRef>
              <c:f>Hoja1!$B$2:$B$8</c:f>
              <c:numCache>
                <c:formatCode>General</c:formatCode>
                <c:ptCount val="7"/>
                <c:pt idx="0" formatCode="#,##0.00">
                  <c:v>1277.8</c:v>
                </c:pt>
                <c:pt idx="1">
                  <c:v>-33.9</c:v>
                </c:pt>
                <c:pt idx="2">
                  <c:v>602.29999999999995</c:v>
                </c:pt>
                <c:pt idx="3">
                  <c:v>445.1</c:v>
                </c:pt>
                <c:pt idx="4" formatCode="#,##0.00">
                  <c:v>1793.6</c:v>
                </c:pt>
                <c:pt idx="5">
                  <c:v>480.5</c:v>
                </c:pt>
                <c:pt idx="6">
                  <c:v>966.7</c:v>
                </c:pt>
              </c:numCache>
            </c:numRef>
          </c:val>
          <c:extLst xmlns:c16r2="http://schemas.microsoft.com/office/drawing/2015/06/chart">
            <c:ext xmlns:c16="http://schemas.microsoft.com/office/drawing/2014/chart" uri="{C3380CC4-5D6E-409C-BE32-E72D297353CC}">
              <c16:uniqueId val="{00000000-1A38-452C-88F1-6B9AA117FEB4}"/>
            </c:ext>
          </c:extLst>
        </c:ser>
        <c:ser>
          <c:idx val="1"/>
          <c:order val="1"/>
          <c:tx>
            <c:strRef>
              <c:f>Hoja1!$C$1</c:f>
              <c:strCache>
                <c:ptCount val="1"/>
                <c:pt idx="0">
                  <c:v>2019</c:v>
                </c:pt>
              </c:strCache>
            </c:strRef>
          </c:tx>
          <c:spPr>
            <a:solidFill>
              <a:schemeClr val="accent1"/>
            </a:solidFill>
            <a:ln>
              <a:noFill/>
            </a:ln>
            <a:effectLst>
              <a:outerShdw blurRad="50800" dist="38100" dir="18900000" algn="bl" rotWithShape="0">
                <a:prstClr val="black">
                  <a:alpha val="40000"/>
                </a:prst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Bienes y Servicios</c:v>
                </c:pt>
                <c:pt idx="1">
                  <c:v>Prestaciones a S.S</c:v>
                </c:pt>
                <c:pt idx="2">
                  <c:v>Transf. Corrientes</c:v>
                </c:pt>
                <c:pt idx="3">
                  <c:v>Transf. de Capital</c:v>
                </c:pt>
                <c:pt idx="4">
                  <c:v>Inversión Real Directa</c:v>
                </c:pt>
                <c:pt idx="5">
                  <c:v>Intereses</c:v>
                </c:pt>
                <c:pt idx="6">
                  <c:v>Remuneraciones</c:v>
                </c:pt>
              </c:strCache>
            </c:strRef>
          </c:cat>
          <c:val>
            <c:numRef>
              <c:f>Hoja1!$C$2:$C$8</c:f>
              <c:numCache>
                <c:formatCode>General</c:formatCode>
                <c:ptCount val="7"/>
                <c:pt idx="0">
                  <c:v>270.2</c:v>
                </c:pt>
                <c:pt idx="1">
                  <c:v>435.7</c:v>
                </c:pt>
                <c:pt idx="2">
                  <c:v>499.4</c:v>
                </c:pt>
                <c:pt idx="3">
                  <c:v>879</c:v>
                </c:pt>
                <c:pt idx="4" formatCode="#,##0.00">
                  <c:v>1082.2</c:v>
                </c:pt>
                <c:pt idx="5" formatCode="#,##0.00">
                  <c:v>1206.0999999999999</c:v>
                </c:pt>
                <c:pt idx="6" formatCode="#,##0.00">
                  <c:v>2740.7</c:v>
                </c:pt>
              </c:numCache>
            </c:numRef>
          </c:val>
          <c:extLst xmlns:c16r2="http://schemas.microsoft.com/office/drawing/2015/06/chart">
            <c:ext xmlns:c16="http://schemas.microsoft.com/office/drawing/2014/chart" uri="{C3380CC4-5D6E-409C-BE32-E72D297353CC}">
              <c16:uniqueId val="{00000001-1A38-452C-88F1-6B9AA117FEB4}"/>
            </c:ext>
          </c:extLst>
        </c:ser>
        <c:dLbls>
          <c:showLegendKey val="0"/>
          <c:showVal val="0"/>
          <c:showCatName val="0"/>
          <c:showSerName val="0"/>
          <c:showPercent val="0"/>
          <c:showBubbleSize val="0"/>
        </c:dLbls>
        <c:gapWidth val="52"/>
        <c:axId val="73054848"/>
        <c:axId val="73077120"/>
      </c:barChart>
      <c:catAx>
        <c:axId val="7305484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3077120"/>
        <c:crosses val="autoZero"/>
        <c:auto val="1"/>
        <c:lblAlgn val="ctr"/>
        <c:lblOffset val="100"/>
        <c:noMultiLvlLbl val="0"/>
      </c:catAx>
      <c:valAx>
        <c:axId val="73077120"/>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3054848"/>
        <c:crosses val="autoZero"/>
        <c:crossBetween val="between"/>
      </c:valAx>
      <c:spPr>
        <a:noFill/>
        <a:ln>
          <a:noFill/>
        </a:ln>
        <a:effectLst/>
      </c:spPr>
    </c:plotArea>
    <c:legend>
      <c:legendPos val="b"/>
      <c:layout>
        <c:manualLayout>
          <c:xMode val="edge"/>
          <c:yMode val="edge"/>
          <c:x val="0.88714858559346743"/>
          <c:y val="0.34573365829271341"/>
          <c:w val="9.6073199183435404E-2"/>
          <c:h val="0.1542663417072866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b="1">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5609021094585"/>
          <c:y val="6.3492063492063489E-2"/>
          <c:w val="0.85699329250510348"/>
          <c:h val="0.70490415970730935"/>
        </c:manualLayout>
      </c:layout>
      <c:barChart>
        <c:barDir val="col"/>
        <c:grouping val="stacked"/>
        <c:varyColors val="0"/>
        <c:ser>
          <c:idx val="0"/>
          <c:order val="0"/>
          <c:tx>
            <c:strRef>
              <c:f>Hoja1!$A$2</c:f>
              <c:strCache>
                <c:ptCount val="1"/>
                <c:pt idx="0">
                  <c:v>Personal 029</c:v>
                </c:pt>
              </c:strCache>
            </c:strRef>
          </c:tx>
          <c:spPr>
            <a:solidFill>
              <a:schemeClr val="accent1"/>
            </a:solidFill>
            <a:ln>
              <a:noFill/>
            </a:ln>
            <a:effectLst>
              <a:outerShdw blurRad="50800" dist="38100" dir="18900000" algn="bl" rotWithShape="0">
                <a:prstClr val="black">
                  <a:alpha val="40000"/>
                </a:prstClr>
              </a:outerShdw>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Hoja1!$B$1:$E$1</c:f>
              <c:strCache>
                <c:ptCount val="4"/>
                <c:pt idx="0">
                  <c:v>2016</c:v>
                </c:pt>
                <c:pt idx="1">
                  <c:v>2017</c:v>
                </c:pt>
                <c:pt idx="2">
                  <c:v>2018</c:v>
                </c:pt>
                <c:pt idx="3">
                  <c:v>2019</c:v>
                </c:pt>
              </c:strCache>
            </c:strRef>
          </c:cat>
          <c:val>
            <c:numRef>
              <c:f>Hoja1!$B$2:$E$2</c:f>
              <c:numCache>
                <c:formatCode>#,##0.00</c:formatCode>
                <c:ptCount val="4"/>
                <c:pt idx="0" formatCode="General">
                  <c:v>857.3</c:v>
                </c:pt>
                <c:pt idx="1">
                  <c:v>1242.5999999999999</c:v>
                </c:pt>
                <c:pt idx="2">
                  <c:v>1373.5</c:v>
                </c:pt>
                <c:pt idx="3">
                  <c:v>1638.9</c:v>
                </c:pt>
              </c:numCache>
            </c:numRef>
          </c:val>
          <c:extLst xmlns:c16r2="http://schemas.microsoft.com/office/drawing/2015/06/chart">
            <c:ext xmlns:c16="http://schemas.microsoft.com/office/drawing/2014/chart" uri="{C3380CC4-5D6E-409C-BE32-E72D297353CC}">
              <c16:uniqueId val="{00000000-2174-4766-BA41-A1FC9B1F62B7}"/>
            </c:ext>
          </c:extLst>
        </c:ser>
        <c:ser>
          <c:idx val="1"/>
          <c:order val="1"/>
          <c:tx>
            <c:strRef>
              <c:f>Hoja1!$A$3</c:f>
              <c:strCache>
                <c:ptCount val="1"/>
                <c:pt idx="0">
                  <c:v>Subgrupo 18 (sin incluir salud)</c:v>
                </c:pt>
              </c:strCache>
            </c:strRef>
          </c:tx>
          <c:spPr>
            <a:solidFill>
              <a:schemeClr val="accent6"/>
            </a:solidFill>
            <a:ln>
              <a:no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Hoja1!$B$1:$E$1</c:f>
              <c:strCache>
                <c:ptCount val="4"/>
                <c:pt idx="0">
                  <c:v>2016</c:v>
                </c:pt>
                <c:pt idx="1">
                  <c:v>2017</c:v>
                </c:pt>
                <c:pt idx="2">
                  <c:v>2018</c:v>
                </c:pt>
                <c:pt idx="3">
                  <c:v>2019</c:v>
                </c:pt>
              </c:strCache>
            </c:strRef>
          </c:cat>
          <c:val>
            <c:numRef>
              <c:f>Hoja1!$B$3:$E$3</c:f>
              <c:numCache>
                <c:formatCode>General</c:formatCode>
                <c:ptCount val="4"/>
                <c:pt idx="0">
                  <c:v>699.5</c:v>
                </c:pt>
                <c:pt idx="1">
                  <c:v>600.5</c:v>
                </c:pt>
                <c:pt idx="2">
                  <c:v>976.1</c:v>
                </c:pt>
                <c:pt idx="3" formatCode="#,##0.00">
                  <c:v>1048</c:v>
                </c:pt>
              </c:numCache>
            </c:numRef>
          </c:val>
          <c:extLst xmlns:c16r2="http://schemas.microsoft.com/office/drawing/2015/06/chart">
            <c:ext xmlns:c16="http://schemas.microsoft.com/office/drawing/2014/chart" uri="{C3380CC4-5D6E-409C-BE32-E72D297353CC}">
              <c16:uniqueId val="{00000001-2174-4766-BA41-A1FC9B1F62B7}"/>
            </c:ext>
          </c:extLst>
        </c:ser>
        <c:ser>
          <c:idx val="2"/>
          <c:order val="2"/>
          <c:tx>
            <c:strRef>
              <c:f>Hoja1!$A$4</c:f>
              <c:strCache>
                <c:ptCount val="1"/>
                <c:pt idx="0">
                  <c:v>Combustibles</c:v>
                </c:pt>
              </c:strCache>
            </c:strRef>
          </c:tx>
          <c:spPr>
            <a:solidFill>
              <a:schemeClr val="bg1">
                <a:lumMod val="75000"/>
              </a:schemeClr>
            </a:solidFill>
            <a:ln>
              <a:no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Hoja1!$B$1:$E$1</c:f>
              <c:strCache>
                <c:ptCount val="4"/>
                <c:pt idx="0">
                  <c:v>2016</c:v>
                </c:pt>
                <c:pt idx="1">
                  <c:v>2017</c:v>
                </c:pt>
                <c:pt idx="2">
                  <c:v>2018</c:v>
                </c:pt>
                <c:pt idx="3">
                  <c:v>2019</c:v>
                </c:pt>
              </c:strCache>
            </c:strRef>
          </c:cat>
          <c:val>
            <c:numRef>
              <c:f>Hoja1!$B$4:$E$4</c:f>
              <c:numCache>
                <c:formatCode>General</c:formatCode>
                <c:ptCount val="4"/>
                <c:pt idx="0">
                  <c:v>226.9</c:v>
                </c:pt>
                <c:pt idx="1">
                  <c:v>222.5</c:v>
                </c:pt>
                <c:pt idx="2">
                  <c:v>263.8</c:v>
                </c:pt>
                <c:pt idx="3">
                  <c:v>279.10000000000002</c:v>
                </c:pt>
              </c:numCache>
            </c:numRef>
          </c:val>
          <c:extLst xmlns:c16r2="http://schemas.microsoft.com/office/drawing/2015/06/chart">
            <c:ext xmlns:c16="http://schemas.microsoft.com/office/drawing/2014/chart" uri="{C3380CC4-5D6E-409C-BE32-E72D297353CC}">
              <c16:uniqueId val="{00000002-2174-4766-BA41-A1FC9B1F62B7}"/>
            </c:ext>
          </c:extLst>
        </c:ser>
        <c:ser>
          <c:idx val="3"/>
          <c:order val="3"/>
          <c:tx>
            <c:strRef>
              <c:f>Hoja1!$A$5</c:f>
              <c:strCache>
                <c:ptCount val="1"/>
                <c:pt idx="0">
                  <c:v>Viaticos</c:v>
                </c:pt>
              </c:strCache>
            </c:strRef>
          </c:tx>
          <c:spPr>
            <a:solidFill>
              <a:srgbClr val="FFFF00"/>
            </a:solidFill>
            <a:ln>
              <a:noFill/>
            </a:ln>
            <a:effectLst/>
          </c:spPr>
          <c:invertIfNegative val="0"/>
          <c:cat>
            <c:strRef>
              <c:f>Hoja1!$B$1:$E$1</c:f>
              <c:strCache>
                <c:ptCount val="4"/>
                <c:pt idx="0">
                  <c:v>2016</c:v>
                </c:pt>
                <c:pt idx="1">
                  <c:v>2017</c:v>
                </c:pt>
                <c:pt idx="2">
                  <c:v>2018</c:v>
                </c:pt>
                <c:pt idx="3">
                  <c:v>2019</c:v>
                </c:pt>
              </c:strCache>
            </c:strRef>
          </c:cat>
          <c:val>
            <c:numRef>
              <c:f>Hoja1!$B$5:$E$5</c:f>
              <c:numCache>
                <c:formatCode>General</c:formatCode>
                <c:ptCount val="4"/>
                <c:pt idx="0">
                  <c:v>72.599999999999994</c:v>
                </c:pt>
                <c:pt idx="1">
                  <c:v>76.2</c:v>
                </c:pt>
                <c:pt idx="2">
                  <c:v>93.8</c:v>
                </c:pt>
                <c:pt idx="3">
                  <c:v>107.4</c:v>
                </c:pt>
              </c:numCache>
            </c:numRef>
          </c:val>
          <c:extLst xmlns:c16r2="http://schemas.microsoft.com/office/drawing/2015/06/chart">
            <c:ext xmlns:c16="http://schemas.microsoft.com/office/drawing/2014/chart" uri="{C3380CC4-5D6E-409C-BE32-E72D297353CC}">
              <c16:uniqueId val="{00000003-2174-4766-BA41-A1FC9B1F62B7}"/>
            </c:ext>
          </c:extLst>
        </c:ser>
        <c:ser>
          <c:idx val="4"/>
          <c:order val="4"/>
          <c:tx>
            <c:strRef>
              <c:f>Hoja1!$A$6</c:f>
              <c:strCache>
                <c:ptCount val="1"/>
                <c:pt idx="0">
                  <c:v>Divulgación e información</c:v>
                </c:pt>
              </c:strCache>
            </c:strRef>
          </c:tx>
          <c:spPr>
            <a:solidFill>
              <a:srgbClr val="C00000"/>
            </a:solidFill>
            <a:ln>
              <a:noFill/>
            </a:ln>
            <a:effectLst>
              <a:outerShdw blurRad="50800" dist="38100" dir="18900000" algn="bl" rotWithShape="0">
                <a:prstClr val="black">
                  <a:alpha val="40000"/>
                </a:prstClr>
              </a:outerShdw>
            </a:effectLst>
          </c:spPr>
          <c:invertIfNegative val="0"/>
          <c:cat>
            <c:strRef>
              <c:f>Hoja1!$B$1:$E$1</c:f>
              <c:strCache>
                <c:ptCount val="4"/>
                <c:pt idx="0">
                  <c:v>2016</c:v>
                </c:pt>
                <c:pt idx="1">
                  <c:v>2017</c:v>
                </c:pt>
                <c:pt idx="2">
                  <c:v>2018</c:v>
                </c:pt>
                <c:pt idx="3">
                  <c:v>2019</c:v>
                </c:pt>
              </c:strCache>
            </c:strRef>
          </c:cat>
          <c:val>
            <c:numRef>
              <c:f>Hoja1!$B$6:$E$6</c:f>
              <c:numCache>
                <c:formatCode>General</c:formatCode>
                <c:ptCount val="4"/>
                <c:pt idx="0">
                  <c:v>4.3</c:v>
                </c:pt>
                <c:pt idx="1">
                  <c:v>8.4</c:v>
                </c:pt>
                <c:pt idx="2">
                  <c:v>10.3</c:v>
                </c:pt>
                <c:pt idx="3">
                  <c:v>13.7</c:v>
                </c:pt>
              </c:numCache>
            </c:numRef>
          </c:val>
          <c:extLst xmlns:c16r2="http://schemas.microsoft.com/office/drawing/2015/06/chart">
            <c:ext xmlns:c16="http://schemas.microsoft.com/office/drawing/2014/chart" uri="{C3380CC4-5D6E-409C-BE32-E72D297353CC}">
              <c16:uniqueId val="{00000004-2174-4766-BA41-A1FC9B1F62B7}"/>
            </c:ext>
          </c:extLst>
        </c:ser>
        <c:dLbls>
          <c:showLegendKey val="0"/>
          <c:showVal val="0"/>
          <c:showCatName val="0"/>
          <c:showSerName val="0"/>
          <c:showPercent val="0"/>
          <c:showBubbleSize val="0"/>
        </c:dLbls>
        <c:gapWidth val="90"/>
        <c:overlap val="100"/>
        <c:axId val="73126656"/>
        <c:axId val="73128192"/>
      </c:barChart>
      <c:lineChart>
        <c:grouping val="standard"/>
        <c:varyColors val="0"/>
        <c:ser>
          <c:idx val="5"/>
          <c:order val="5"/>
          <c:tx>
            <c:strRef>
              <c:f>Hoja1!$A$7</c:f>
              <c:strCache>
                <c:ptCount val="1"/>
                <c:pt idx="0">
                  <c:v>Total</c:v>
                </c:pt>
              </c:strCache>
            </c:strRef>
          </c:tx>
          <c:spPr>
            <a:ln w="28575" cap="rnd">
              <a:solidFill>
                <a:schemeClr val="tx1"/>
              </a:solidFill>
              <a:prstDash val="lgDashDot"/>
              <a:round/>
            </a:ln>
            <a:effectLst>
              <a:outerShdw blurRad="50800" dist="38100" dir="18900000" algn="bl" rotWithShape="0">
                <a:prstClr val="black">
                  <a:alpha val="40000"/>
                </a:prstClr>
              </a:outerShdw>
            </a:effectLst>
          </c:spPr>
          <c:marker>
            <c:symbol val="none"/>
          </c:marker>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Hoja1!$B$1:$E$1</c:f>
              <c:strCache>
                <c:ptCount val="4"/>
                <c:pt idx="0">
                  <c:v>2016</c:v>
                </c:pt>
                <c:pt idx="1">
                  <c:v>2017</c:v>
                </c:pt>
                <c:pt idx="2">
                  <c:v>2018</c:v>
                </c:pt>
                <c:pt idx="3">
                  <c:v>2019</c:v>
                </c:pt>
              </c:strCache>
            </c:strRef>
          </c:cat>
          <c:val>
            <c:numRef>
              <c:f>Hoja1!$B$7:$E$7</c:f>
              <c:numCache>
                <c:formatCode>#,##0.00</c:formatCode>
                <c:ptCount val="4"/>
                <c:pt idx="0">
                  <c:v>1860.6</c:v>
                </c:pt>
                <c:pt idx="1">
                  <c:v>2150.3000000000002</c:v>
                </c:pt>
                <c:pt idx="2">
                  <c:v>2717.5</c:v>
                </c:pt>
                <c:pt idx="3">
                  <c:v>3087.1</c:v>
                </c:pt>
              </c:numCache>
            </c:numRef>
          </c:val>
          <c:smooth val="0"/>
          <c:extLst xmlns:c16r2="http://schemas.microsoft.com/office/drawing/2015/06/chart">
            <c:ext xmlns:c16="http://schemas.microsoft.com/office/drawing/2014/chart" uri="{C3380CC4-5D6E-409C-BE32-E72D297353CC}">
              <c16:uniqueId val="{00000005-2174-4766-BA41-A1FC9B1F62B7}"/>
            </c:ext>
          </c:extLst>
        </c:ser>
        <c:dLbls>
          <c:showLegendKey val="0"/>
          <c:showVal val="0"/>
          <c:showCatName val="0"/>
          <c:showSerName val="0"/>
          <c:showPercent val="0"/>
          <c:showBubbleSize val="0"/>
        </c:dLbls>
        <c:marker val="1"/>
        <c:smooth val="0"/>
        <c:axId val="73126656"/>
        <c:axId val="73128192"/>
      </c:lineChart>
      <c:catAx>
        <c:axId val="7312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3128192"/>
        <c:crosses val="autoZero"/>
        <c:auto val="1"/>
        <c:lblAlgn val="ctr"/>
        <c:lblOffset val="100"/>
        <c:noMultiLvlLbl val="0"/>
      </c:catAx>
      <c:valAx>
        <c:axId val="73128192"/>
        <c:scaling>
          <c:orientation val="minMax"/>
          <c:max val="32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3126656"/>
        <c:crosses val="autoZero"/>
        <c:crossBetween val="between"/>
      </c:valAx>
      <c:spPr>
        <a:noFill/>
        <a:ln>
          <a:noFill/>
        </a:ln>
        <a:effectLst/>
      </c:spPr>
    </c:plotArea>
    <c:legend>
      <c:legendPos val="b"/>
      <c:layout>
        <c:manualLayout>
          <c:xMode val="edge"/>
          <c:yMode val="edge"/>
          <c:x val="3.7811315252260141E-2"/>
          <c:y val="0.7891851018622672"/>
          <c:w val="0.91511811023622047"/>
          <c:h val="0.187005374328208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sz="800"/>
      </a:pPr>
      <a:endParaRPr lang="es-E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79313892296127"/>
          <c:y val="3.911111111111111E-2"/>
          <c:w val="0.80123328805004901"/>
          <c:h val="0.68131024735966361"/>
        </c:manualLayout>
      </c:layout>
      <c:barChart>
        <c:barDir val="col"/>
        <c:grouping val="clustered"/>
        <c:varyColors val="0"/>
        <c:ser>
          <c:idx val="0"/>
          <c:order val="0"/>
          <c:tx>
            <c:strRef>
              <c:f>Hoja1!$B$1</c:f>
              <c:strCache>
                <c:ptCount val="1"/>
                <c:pt idx="0">
                  <c:v>Monto</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Hoja1!$A$2:$A$20</c:f>
              <c:strCache>
                <c:ptCount val="19"/>
                <c:pt idx="0">
                  <c:v>Obligaciones </c:v>
                </c:pt>
                <c:pt idx="1">
                  <c:v>Educación </c:v>
                </c:pt>
                <c:pt idx="2">
                  <c:v>Deuda Pública</c:v>
                </c:pt>
                <c:pt idx="3">
                  <c:v>Salud</c:v>
                </c:pt>
                <c:pt idx="4">
                  <c:v>Comunicaciones</c:v>
                </c:pt>
                <c:pt idx="5">
                  <c:v>Gobernación</c:v>
                </c:pt>
                <c:pt idx="6">
                  <c:v>Defensa</c:v>
                </c:pt>
                <c:pt idx="7">
                  <c:v>Secretarías</c:v>
                </c:pt>
                <c:pt idx="8">
                  <c:v>Agricultura</c:v>
                </c:pt>
                <c:pt idx="9">
                  <c:v>Desarrollo</c:v>
                </c:pt>
                <c:pt idx="10">
                  <c:v>Trabajo</c:v>
                </c:pt>
                <c:pt idx="11">
                  <c:v>Minex</c:v>
                </c:pt>
                <c:pt idx="12">
                  <c:v>Cultura </c:v>
                </c:pt>
                <c:pt idx="13">
                  <c:v>Economía</c:v>
                </c:pt>
                <c:pt idx="14">
                  <c:v>Finanzas</c:v>
                </c:pt>
                <c:pt idx="15">
                  <c:v>Presidencia </c:v>
                </c:pt>
                <c:pt idx="16">
                  <c:v>Ambiente</c:v>
                </c:pt>
                <c:pt idx="17">
                  <c:v>PGN</c:v>
                </c:pt>
                <c:pt idx="18">
                  <c:v>Energía</c:v>
                </c:pt>
              </c:strCache>
            </c:strRef>
          </c:cat>
          <c:val>
            <c:numRef>
              <c:f>Hoja1!$B$2:$B$20</c:f>
              <c:numCache>
                <c:formatCode>#,##0.00</c:formatCode>
                <c:ptCount val="19"/>
                <c:pt idx="0">
                  <c:v>26797.7</c:v>
                </c:pt>
                <c:pt idx="1">
                  <c:v>15814.8</c:v>
                </c:pt>
                <c:pt idx="2">
                  <c:v>12692.6</c:v>
                </c:pt>
                <c:pt idx="3">
                  <c:v>7895.6</c:v>
                </c:pt>
                <c:pt idx="4">
                  <c:v>5858.7</c:v>
                </c:pt>
                <c:pt idx="5">
                  <c:v>4661.8</c:v>
                </c:pt>
                <c:pt idx="6">
                  <c:v>2554.5</c:v>
                </c:pt>
                <c:pt idx="7">
                  <c:v>1327.4</c:v>
                </c:pt>
                <c:pt idx="8">
                  <c:v>1308.3</c:v>
                </c:pt>
                <c:pt idx="9" formatCode="General">
                  <c:v>966.1</c:v>
                </c:pt>
                <c:pt idx="10" formatCode="General">
                  <c:v>674.8</c:v>
                </c:pt>
                <c:pt idx="11" formatCode="General">
                  <c:v>543.1</c:v>
                </c:pt>
                <c:pt idx="12" formatCode="General">
                  <c:v>479</c:v>
                </c:pt>
                <c:pt idx="13" formatCode="General">
                  <c:v>350.6</c:v>
                </c:pt>
                <c:pt idx="14" formatCode="General">
                  <c:v>305.2</c:v>
                </c:pt>
                <c:pt idx="15" formatCode="General">
                  <c:v>241.6</c:v>
                </c:pt>
                <c:pt idx="16" formatCode="General">
                  <c:v>170.3</c:v>
                </c:pt>
                <c:pt idx="17" formatCode="General">
                  <c:v>125.2</c:v>
                </c:pt>
                <c:pt idx="18" formatCode="General">
                  <c:v>71.8</c:v>
                </c:pt>
              </c:numCache>
            </c:numRef>
          </c:val>
          <c:extLst xmlns:c16r2="http://schemas.microsoft.com/office/drawing/2015/06/chart">
            <c:ext xmlns:c16="http://schemas.microsoft.com/office/drawing/2014/chart" uri="{C3380CC4-5D6E-409C-BE32-E72D297353CC}">
              <c16:uniqueId val="{00000000-79B5-4737-AACD-FD8B23E2B128}"/>
            </c:ext>
          </c:extLst>
        </c:ser>
        <c:dLbls>
          <c:showLegendKey val="0"/>
          <c:showVal val="0"/>
          <c:showCatName val="0"/>
          <c:showSerName val="0"/>
          <c:showPercent val="0"/>
          <c:showBubbleSize val="0"/>
        </c:dLbls>
        <c:gapWidth val="59"/>
        <c:overlap val="-27"/>
        <c:axId val="73046656"/>
        <c:axId val="73245056"/>
      </c:barChart>
      <c:lineChart>
        <c:grouping val="standard"/>
        <c:varyColors val="0"/>
        <c:ser>
          <c:idx val="1"/>
          <c:order val="1"/>
          <c:tx>
            <c:strRef>
              <c:f>Hoja1!$C$1</c:f>
              <c:strCache>
                <c:ptCount val="1"/>
                <c:pt idx="0">
                  <c:v>% de Ejecución</c:v>
                </c:pt>
              </c:strCache>
            </c:strRef>
          </c:tx>
          <c:spPr>
            <a:ln w="28575" cap="rnd">
              <a:noFill/>
              <a:round/>
            </a:ln>
            <a:effectLst/>
          </c:spPr>
          <c:marker>
            <c:symbol val="circle"/>
            <c:size val="5"/>
            <c:spPr>
              <a:solidFill>
                <a:schemeClr val="accent6">
                  <a:lumMod val="75000"/>
                </a:schemeClr>
              </a:solidFill>
              <a:ln w="9525">
                <a:solidFill>
                  <a:schemeClr val="accent6"/>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s-E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Hoja1!$A$2:$A$20</c:f>
              <c:strCache>
                <c:ptCount val="19"/>
                <c:pt idx="0">
                  <c:v>Obligaciones </c:v>
                </c:pt>
                <c:pt idx="1">
                  <c:v>Educación </c:v>
                </c:pt>
                <c:pt idx="2">
                  <c:v>Deuda Pública</c:v>
                </c:pt>
                <c:pt idx="3">
                  <c:v>Salud</c:v>
                </c:pt>
                <c:pt idx="4">
                  <c:v>Comunicaciones</c:v>
                </c:pt>
                <c:pt idx="5">
                  <c:v>Gobernación</c:v>
                </c:pt>
                <c:pt idx="6">
                  <c:v>Defensa</c:v>
                </c:pt>
                <c:pt idx="7">
                  <c:v>Secretarías</c:v>
                </c:pt>
                <c:pt idx="8">
                  <c:v>Agricultura</c:v>
                </c:pt>
                <c:pt idx="9">
                  <c:v>Desarrollo</c:v>
                </c:pt>
                <c:pt idx="10">
                  <c:v>Trabajo</c:v>
                </c:pt>
                <c:pt idx="11">
                  <c:v>Minex</c:v>
                </c:pt>
                <c:pt idx="12">
                  <c:v>Cultura </c:v>
                </c:pt>
                <c:pt idx="13">
                  <c:v>Economía</c:v>
                </c:pt>
                <c:pt idx="14">
                  <c:v>Finanzas</c:v>
                </c:pt>
                <c:pt idx="15">
                  <c:v>Presidencia </c:v>
                </c:pt>
                <c:pt idx="16">
                  <c:v>Ambiente</c:v>
                </c:pt>
                <c:pt idx="17">
                  <c:v>PGN</c:v>
                </c:pt>
                <c:pt idx="18">
                  <c:v>Energía</c:v>
                </c:pt>
              </c:strCache>
            </c:strRef>
          </c:cat>
          <c:val>
            <c:numRef>
              <c:f>Hoja1!$C$2:$C$20</c:f>
              <c:numCache>
                <c:formatCode>General</c:formatCode>
                <c:ptCount val="19"/>
                <c:pt idx="0">
                  <c:v>93.6</c:v>
                </c:pt>
                <c:pt idx="1">
                  <c:v>94.4</c:v>
                </c:pt>
                <c:pt idx="2">
                  <c:v>96.9</c:v>
                </c:pt>
                <c:pt idx="3">
                  <c:v>95.4</c:v>
                </c:pt>
                <c:pt idx="4">
                  <c:v>91.6</c:v>
                </c:pt>
                <c:pt idx="5">
                  <c:v>89.3</c:v>
                </c:pt>
                <c:pt idx="6">
                  <c:v>98.3</c:v>
                </c:pt>
                <c:pt idx="7">
                  <c:v>90.9</c:v>
                </c:pt>
                <c:pt idx="8">
                  <c:v>89</c:v>
                </c:pt>
                <c:pt idx="9">
                  <c:v>83.9</c:v>
                </c:pt>
                <c:pt idx="10">
                  <c:v>95.2</c:v>
                </c:pt>
                <c:pt idx="11">
                  <c:v>95</c:v>
                </c:pt>
                <c:pt idx="12">
                  <c:v>80.3</c:v>
                </c:pt>
                <c:pt idx="13">
                  <c:v>87.7</c:v>
                </c:pt>
                <c:pt idx="14">
                  <c:v>91.8</c:v>
                </c:pt>
                <c:pt idx="15">
                  <c:v>97.9</c:v>
                </c:pt>
                <c:pt idx="16">
                  <c:v>92.5</c:v>
                </c:pt>
                <c:pt idx="17">
                  <c:v>95.7</c:v>
                </c:pt>
                <c:pt idx="18">
                  <c:v>88.3</c:v>
                </c:pt>
              </c:numCache>
            </c:numRef>
          </c:val>
          <c:smooth val="0"/>
          <c:extLst xmlns:c16r2="http://schemas.microsoft.com/office/drawing/2015/06/chart">
            <c:ext xmlns:c16="http://schemas.microsoft.com/office/drawing/2014/chart" uri="{C3380CC4-5D6E-409C-BE32-E72D297353CC}">
              <c16:uniqueId val="{00000001-79B5-4737-AACD-FD8B23E2B128}"/>
            </c:ext>
          </c:extLst>
        </c:ser>
        <c:ser>
          <c:idx val="2"/>
          <c:order val="2"/>
          <c:tx>
            <c:strRef>
              <c:f>Hoja1!$D$1</c:f>
              <c:strCache>
                <c:ptCount val="1"/>
                <c:pt idx="0">
                  <c:v>Promedio % Ejec.</c:v>
                </c:pt>
              </c:strCache>
            </c:strRef>
          </c:tx>
          <c:spPr>
            <a:ln w="19050" cap="rnd">
              <a:solidFill>
                <a:schemeClr val="tx1">
                  <a:lumMod val="65000"/>
                  <a:lumOff val="35000"/>
                </a:schemeClr>
              </a:solidFill>
              <a:prstDash val="sysDash"/>
              <a:round/>
            </a:ln>
            <a:effectLst/>
          </c:spPr>
          <c:marker>
            <c:symbol val="none"/>
          </c:marker>
          <c:cat>
            <c:strRef>
              <c:f>Hoja1!$A$2:$A$20</c:f>
              <c:strCache>
                <c:ptCount val="19"/>
                <c:pt idx="0">
                  <c:v>Obligaciones </c:v>
                </c:pt>
                <c:pt idx="1">
                  <c:v>Educación </c:v>
                </c:pt>
                <c:pt idx="2">
                  <c:v>Deuda Pública</c:v>
                </c:pt>
                <c:pt idx="3">
                  <c:v>Salud</c:v>
                </c:pt>
                <c:pt idx="4">
                  <c:v>Comunicaciones</c:v>
                </c:pt>
                <c:pt idx="5">
                  <c:v>Gobernación</c:v>
                </c:pt>
                <c:pt idx="6">
                  <c:v>Defensa</c:v>
                </c:pt>
                <c:pt idx="7">
                  <c:v>Secretarías</c:v>
                </c:pt>
                <c:pt idx="8">
                  <c:v>Agricultura</c:v>
                </c:pt>
                <c:pt idx="9">
                  <c:v>Desarrollo</c:v>
                </c:pt>
                <c:pt idx="10">
                  <c:v>Trabajo</c:v>
                </c:pt>
                <c:pt idx="11">
                  <c:v>Minex</c:v>
                </c:pt>
                <c:pt idx="12">
                  <c:v>Cultura </c:v>
                </c:pt>
                <c:pt idx="13">
                  <c:v>Economía</c:v>
                </c:pt>
                <c:pt idx="14">
                  <c:v>Finanzas</c:v>
                </c:pt>
                <c:pt idx="15">
                  <c:v>Presidencia </c:v>
                </c:pt>
                <c:pt idx="16">
                  <c:v>Ambiente</c:v>
                </c:pt>
                <c:pt idx="17">
                  <c:v>PGN</c:v>
                </c:pt>
                <c:pt idx="18">
                  <c:v>Energía</c:v>
                </c:pt>
              </c:strCache>
            </c:strRef>
          </c:cat>
          <c:val>
            <c:numRef>
              <c:f>Hoja1!$D$2:$D$20</c:f>
              <c:numCache>
                <c:formatCode>General</c:formatCode>
                <c:ptCount val="19"/>
                <c:pt idx="0">
                  <c:v>93.8</c:v>
                </c:pt>
                <c:pt idx="1">
                  <c:v>93.8</c:v>
                </c:pt>
                <c:pt idx="2">
                  <c:v>93.8</c:v>
                </c:pt>
                <c:pt idx="3">
                  <c:v>93.8</c:v>
                </c:pt>
                <c:pt idx="4">
                  <c:v>93.8</c:v>
                </c:pt>
                <c:pt idx="5">
                  <c:v>93.8</c:v>
                </c:pt>
                <c:pt idx="6">
                  <c:v>93.8</c:v>
                </c:pt>
                <c:pt idx="7">
                  <c:v>93.8</c:v>
                </c:pt>
                <c:pt idx="8">
                  <c:v>93.8</c:v>
                </c:pt>
                <c:pt idx="9">
                  <c:v>93.8</c:v>
                </c:pt>
                <c:pt idx="10">
                  <c:v>93.8</c:v>
                </c:pt>
                <c:pt idx="11">
                  <c:v>93.8</c:v>
                </c:pt>
                <c:pt idx="12">
                  <c:v>93.8</c:v>
                </c:pt>
                <c:pt idx="13">
                  <c:v>93.8</c:v>
                </c:pt>
                <c:pt idx="14">
                  <c:v>93.8</c:v>
                </c:pt>
                <c:pt idx="15">
                  <c:v>93.8</c:v>
                </c:pt>
                <c:pt idx="16">
                  <c:v>93.8</c:v>
                </c:pt>
                <c:pt idx="17">
                  <c:v>93.8</c:v>
                </c:pt>
                <c:pt idx="18">
                  <c:v>93.8</c:v>
                </c:pt>
              </c:numCache>
            </c:numRef>
          </c:val>
          <c:smooth val="0"/>
          <c:extLst xmlns:c16r2="http://schemas.microsoft.com/office/drawing/2015/06/chart">
            <c:ext xmlns:c16="http://schemas.microsoft.com/office/drawing/2014/chart" uri="{C3380CC4-5D6E-409C-BE32-E72D297353CC}">
              <c16:uniqueId val="{00000002-79B5-4737-AACD-FD8B23E2B128}"/>
            </c:ext>
          </c:extLst>
        </c:ser>
        <c:dLbls>
          <c:showLegendKey val="0"/>
          <c:showVal val="0"/>
          <c:showCatName val="0"/>
          <c:showSerName val="0"/>
          <c:showPercent val="0"/>
          <c:showBubbleSize val="0"/>
        </c:dLbls>
        <c:marker val="1"/>
        <c:smooth val="0"/>
        <c:axId val="73253248"/>
        <c:axId val="73246976"/>
      </c:lineChart>
      <c:catAx>
        <c:axId val="73046656"/>
        <c:scaling>
          <c:orientation val="minMax"/>
        </c:scaling>
        <c:delete val="0"/>
        <c:axPos val="b"/>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3245056"/>
        <c:crosses val="autoZero"/>
        <c:auto val="1"/>
        <c:lblAlgn val="ctr"/>
        <c:lblOffset val="100"/>
        <c:noMultiLvlLbl val="0"/>
      </c:catAx>
      <c:valAx>
        <c:axId val="73245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accent5"/>
                    </a:solidFill>
                    <a:latin typeface="Times New Roman" panose="02020603050405020304" pitchFamily="18" charset="0"/>
                    <a:ea typeface="+mn-ea"/>
                    <a:cs typeface="Times New Roman" panose="02020603050405020304" pitchFamily="18" charset="0"/>
                  </a:defRPr>
                </a:pPr>
                <a:r>
                  <a:rPr lang="es-GT">
                    <a:solidFill>
                      <a:schemeClr val="accent5"/>
                    </a:solidFill>
                    <a:latin typeface="Times New Roman" panose="02020603050405020304" pitchFamily="18" charset="0"/>
                    <a:cs typeface="Times New Roman" panose="02020603050405020304" pitchFamily="18" charset="0"/>
                  </a:rPr>
                  <a:t>Millones</a:t>
                </a:r>
                <a:r>
                  <a:rPr lang="es-GT" baseline="0">
                    <a:solidFill>
                      <a:schemeClr val="accent5"/>
                    </a:solidFill>
                    <a:latin typeface="Times New Roman" panose="02020603050405020304" pitchFamily="18" charset="0"/>
                    <a:cs typeface="Times New Roman" panose="02020603050405020304" pitchFamily="18" charset="0"/>
                  </a:rPr>
                  <a:t> de quetzales </a:t>
                </a:r>
                <a:endParaRPr lang="es-GT">
                  <a:solidFill>
                    <a:schemeClr val="accent5"/>
                  </a:solidFill>
                  <a:latin typeface="Times New Roman" panose="02020603050405020304" pitchFamily="18" charset="0"/>
                  <a:cs typeface="Times New Roman" panose="02020603050405020304" pitchFamily="18" charset="0"/>
                </a:endParaRPr>
              </a:p>
            </c:rich>
          </c:tx>
          <c:layout>
            <c:manualLayout>
              <c:xMode val="edge"/>
              <c:yMode val="edge"/>
              <c:x val="9.9174789081013133E-3"/>
              <c:y val="0.2273169169503679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es-ES"/>
          </a:p>
        </c:txPr>
        <c:crossAx val="73046656"/>
        <c:crosses val="autoZero"/>
        <c:crossBetween val="between"/>
      </c:valAx>
      <c:valAx>
        <c:axId val="73246976"/>
        <c:scaling>
          <c:orientation val="minMax"/>
          <c:max val="100"/>
          <c:min val="70"/>
        </c:scaling>
        <c:delete val="0"/>
        <c:axPos val="r"/>
        <c:title>
          <c:tx>
            <c:rich>
              <a:bodyPr rot="5400000" spcFirstLastPara="1" vertOverflow="ellipsis" wrap="square" anchor="ctr" anchorCtr="1"/>
              <a:lstStyle/>
              <a:p>
                <a:pPr>
                  <a:defRPr sz="900" b="0"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r>
                  <a:rPr lang="es-GT" sz="900">
                    <a:solidFill>
                      <a:schemeClr val="accent6">
                        <a:lumMod val="75000"/>
                      </a:schemeClr>
                    </a:solidFill>
                    <a:latin typeface="Times New Roman" panose="02020603050405020304" pitchFamily="18" charset="0"/>
                    <a:cs typeface="Times New Roman" panose="02020603050405020304" pitchFamily="18" charset="0"/>
                  </a:rPr>
                  <a:t>Porcentajes de ejecución</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s-ES"/>
          </a:p>
        </c:txPr>
        <c:crossAx val="73253248"/>
        <c:crosses val="max"/>
        <c:crossBetween val="between"/>
      </c:valAx>
      <c:catAx>
        <c:axId val="73253248"/>
        <c:scaling>
          <c:orientation val="minMax"/>
        </c:scaling>
        <c:delete val="1"/>
        <c:axPos val="b"/>
        <c:numFmt formatCode="General" sourceLinked="1"/>
        <c:majorTickMark val="out"/>
        <c:minorTickMark val="none"/>
        <c:tickLblPos val="nextTo"/>
        <c:crossAx val="73246976"/>
        <c:crosses val="autoZero"/>
        <c:auto val="1"/>
        <c:lblAlgn val="ctr"/>
        <c:lblOffset val="100"/>
        <c:noMultiLvlLbl val="0"/>
      </c:catAx>
      <c:spPr>
        <a:noFill/>
        <a:ln>
          <a:noFill/>
        </a:ln>
        <a:effectLst/>
      </c:spPr>
    </c:plotArea>
    <c:legend>
      <c:legendPos val="b"/>
      <c:layout>
        <c:manualLayout>
          <c:xMode val="edge"/>
          <c:yMode val="edge"/>
          <c:x val="7.3420174560771573E-2"/>
          <c:y val="0.92268410582755367"/>
          <c:w val="0.8773883415326853"/>
          <c:h val="7.382888809986283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GT" sz="1200" b="1"/>
              <a:t>Plan Alianza para la Prosperidad </a:t>
            </a:r>
          </a:p>
          <a:p>
            <a:pPr>
              <a:defRPr sz="105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GT" sz="1000"/>
              <a:t>Período 2016-2019</a:t>
            </a:r>
          </a:p>
        </c:rich>
      </c:tx>
      <c:overlay val="0"/>
      <c:spPr>
        <a:noFill/>
        <a:ln>
          <a:noFill/>
        </a:ln>
        <a:effectLst/>
      </c:spPr>
    </c:title>
    <c:autoTitleDeleted val="0"/>
    <c:plotArea>
      <c:layout>
        <c:manualLayout>
          <c:layoutTarget val="inner"/>
          <c:xMode val="edge"/>
          <c:yMode val="edge"/>
          <c:x val="0.10213480811098695"/>
          <c:y val="0.17169159953970078"/>
          <c:w val="0.80380002589492539"/>
          <c:h val="0.69125050968168678"/>
        </c:manualLayout>
      </c:layout>
      <c:barChart>
        <c:barDir val="col"/>
        <c:grouping val="clustered"/>
        <c:varyColors val="0"/>
        <c:ser>
          <c:idx val="0"/>
          <c:order val="0"/>
          <c:tx>
            <c:strRef>
              <c:f>Sheet1!$C$2</c:f>
              <c:strCache>
                <c:ptCount val="1"/>
                <c:pt idx="0">
                  <c:v>Presupuesto</c:v>
                </c:pt>
              </c:strCache>
            </c:strRef>
          </c:tx>
          <c:spPr>
            <a:solidFill>
              <a:schemeClr val="accent1"/>
            </a:solidFill>
            <a:ln>
              <a:noFill/>
            </a:ln>
            <a:effectLst>
              <a:innerShdw blurRad="63500" dist="50800" dir="13500000">
                <a:prstClr val="black">
                  <a:alpha val="50000"/>
                </a:prstClr>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Sheet1!$B$3:$B$6</c:f>
              <c:numCache>
                <c:formatCode>General</c:formatCode>
                <c:ptCount val="4"/>
                <c:pt idx="0">
                  <c:v>2016</c:v>
                </c:pt>
                <c:pt idx="1">
                  <c:v>2017</c:v>
                </c:pt>
                <c:pt idx="2">
                  <c:v>2018</c:v>
                </c:pt>
                <c:pt idx="3">
                  <c:v>2019</c:v>
                </c:pt>
              </c:numCache>
            </c:numRef>
          </c:cat>
          <c:val>
            <c:numRef>
              <c:f>Sheet1!$C$3:$C$6</c:f>
              <c:numCache>
                <c:formatCode>#,##0.0</c:formatCode>
                <c:ptCount val="4"/>
                <c:pt idx="0">
                  <c:v>5483.8759722200002</c:v>
                </c:pt>
                <c:pt idx="1">
                  <c:v>6435.3931665199989</c:v>
                </c:pt>
                <c:pt idx="2">
                  <c:v>10052.488442620001</c:v>
                </c:pt>
                <c:pt idx="3">
                  <c:v>9118.013060199999</c:v>
                </c:pt>
              </c:numCache>
            </c:numRef>
          </c:val>
          <c:extLst xmlns:c16r2="http://schemas.microsoft.com/office/drawing/2015/06/chart">
            <c:ext xmlns:c16="http://schemas.microsoft.com/office/drawing/2014/chart" uri="{C3380CC4-5D6E-409C-BE32-E72D297353CC}">
              <c16:uniqueId val="{00000000-BBFC-44CF-ACBB-A4AFDC6523C7}"/>
            </c:ext>
          </c:extLst>
        </c:ser>
        <c:ser>
          <c:idx val="1"/>
          <c:order val="1"/>
          <c:tx>
            <c:strRef>
              <c:f>Sheet1!$D$2</c:f>
              <c:strCache>
                <c:ptCount val="1"/>
                <c:pt idx="0">
                  <c:v>Ejecución</c:v>
                </c:pt>
              </c:strCache>
            </c:strRef>
          </c:tx>
          <c:spPr>
            <a:solidFill>
              <a:schemeClr val="accent3"/>
            </a:solidFill>
            <a:ln>
              <a:noFill/>
            </a:ln>
            <a:effectLst>
              <a:innerShdw blurRad="63500" dist="50800" dir="13500000">
                <a:prstClr val="black">
                  <a:alpha val="50000"/>
                </a:prstClr>
              </a:inn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Sheet1!$B$3:$B$6</c:f>
              <c:numCache>
                <c:formatCode>General</c:formatCode>
                <c:ptCount val="4"/>
                <c:pt idx="0">
                  <c:v>2016</c:v>
                </c:pt>
                <c:pt idx="1">
                  <c:v>2017</c:v>
                </c:pt>
                <c:pt idx="2">
                  <c:v>2018</c:v>
                </c:pt>
                <c:pt idx="3">
                  <c:v>2019</c:v>
                </c:pt>
              </c:numCache>
            </c:numRef>
          </c:cat>
          <c:val>
            <c:numRef>
              <c:f>Sheet1!$D$3:$D$6</c:f>
              <c:numCache>
                <c:formatCode>#,##0.0</c:formatCode>
                <c:ptCount val="4"/>
                <c:pt idx="0">
                  <c:v>3729.0613306600003</c:v>
                </c:pt>
                <c:pt idx="1">
                  <c:v>4735.1453750999999</c:v>
                </c:pt>
                <c:pt idx="2">
                  <c:v>9632.4931395699987</c:v>
                </c:pt>
                <c:pt idx="3">
                  <c:v>8290.1324590400018</c:v>
                </c:pt>
              </c:numCache>
            </c:numRef>
          </c:val>
          <c:extLst xmlns:c16r2="http://schemas.microsoft.com/office/drawing/2015/06/chart">
            <c:ext xmlns:c16="http://schemas.microsoft.com/office/drawing/2014/chart" uri="{C3380CC4-5D6E-409C-BE32-E72D297353CC}">
              <c16:uniqueId val="{00000001-BBFC-44CF-ACBB-A4AFDC6523C7}"/>
            </c:ext>
          </c:extLst>
        </c:ser>
        <c:dLbls>
          <c:showLegendKey val="0"/>
          <c:showVal val="0"/>
          <c:showCatName val="0"/>
          <c:showSerName val="0"/>
          <c:showPercent val="0"/>
          <c:showBubbleSize val="0"/>
        </c:dLbls>
        <c:gapWidth val="161"/>
        <c:overlap val="-6"/>
        <c:axId val="73521792"/>
        <c:axId val="55525760"/>
      </c:barChart>
      <c:lineChart>
        <c:grouping val="standard"/>
        <c:varyColors val="0"/>
        <c:ser>
          <c:idx val="2"/>
          <c:order val="2"/>
          <c:tx>
            <c:strRef>
              <c:f>Sheet1!$E$2</c:f>
              <c:strCache>
                <c:ptCount val="1"/>
                <c:pt idx="0">
                  <c:v>%</c:v>
                </c:pt>
              </c:strCache>
            </c:strRef>
          </c:tx>
          <c:spPr>
            <a:ln w="28575" cap="rnd">
              <a:solidFill>
                <a:schemeClr val="accent5"/>
              </a:solidFill>
              <a:prstDash val="dash"/>
              <a:round/>
            </a:ln>
            <a:effectLst/>
          </c:spPr>
          <c:marker>
            <c:symbol val="diamond"/>
            <c:size val="9"/>
            <c:spPr>
              <a:solidFill>
                <a:schemeClr val="accent5"/>
              </a:solidFill>
              <a:ln w="9525">
                <a:solidFill>
                  <a:schemeClr val="accent5"/>
                </a:solidFill>
              </a:ln>
              <a:effectLst/>
            </c:spPr>
          </c:marker>
          <c:dLbls>
            <c:dLbl>
              <c:idx val="0"/>
              <c:layout>
                <c:manualLayout>
                  <c:x val="-5.7416267942583733E-2"/>
                  <c:y val="-4.24242424242424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FC-44CF-ACBB-A4AFDC6523C7}"/>
                </c:ext>
              </c:extLst>
            </c:dLbl>
            <c:dLbl>
              <c:idx val="1"/>
              <c:layout>
                <c:manualLayout>
                  <c:x val="-5.5289739500265819E-2"/>
                  <c:y val="-4.24242424242424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BFC-44CF-ACBB-A4AFDC6523C7}"/>
                </c:ext>
              </c:extLst>
            </c:dLbl>
            <c:dLbl>
              <c:idx val="2"/>
              <c:layout>
                <c:manualLayout>
                  <c:x val="-2.3391812865497155E-2"/>
                  <c:y val="-4.84848484848484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BFC-44CF-ACBB-A4AFDC6523C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Sheet1!$B$3:$B$6</c:f>
              <c:numCache>
                <c:formatCode>General</c:formatCode>
                <c:ptCount val="4"/>
                <c:pt idx="0">
                  <c:v>2016</c:v>
                </c:pt>
                <c:pt idx="1">
                  <c:v>2017</c:v>
                </c:pt>
                <c:pt idx="2">
                  <c:v>2018</c:v>
                </c:pt>
                <c:pt idx="3">
                  <c:v>2019</c:v>
                </c:pt>
              </c:numCache>
            </c:numRef>
          </c:cat>
          <c:val>
            <c:numRef>
              <c:f>Sheet1!$E$3:$E$6</c:f>
              <c:numCache>
                <c:formatCode>0.0%</c:formatCode>
                <c:ptCount val="4"/>
                <c:pt idx="0">
                  <c:v>0.68000468091374244</c:v>
                </c:pt>
                <c:pt idx="1">
                  <c:v>0.73579737128331124</c:v>
                </c:pt>
                <c:pt idx="2">
                  <c:v>0.95821976762795091</c:v>
                </c:pt>
                <c:pt idx="3">
                  <c:v>0.90920383687826856</c:v>
                </c:pt>
              </c:numCache>
            </c:numRef>
          </c:val>
          <c:smooth val="0"/>
          <c:extLst xmlns:c16r2="http://schemas.microsoft.com/office/drawing/2015/06/chart">
            <c:ext xmlns:c16="http://schemas.microsoft.com/office/drawing/2014/chart" uri="{C3380CC4-5D6E-409C-BE32-E72D297353CC}">
              <c16:uniqueId val="{00000005-BBFC-44CF-ACBB-A4AFDC6523C7}"/>
            </c:ext>
          </c:extLst>
        </c:ser>
        <c:dLbls>
          <c:showLegendKey val="0"/>
          <c:showVal val="0"/>
          <c:showCatName val="0"/>
          <c:showSerName val="0"/>
          <c:showPercent val="0"/>
          <c:showBubbleSize val="0"/>
        </c:dLbls>
        <c:marker val="1"/>
        <c:smooth val="0"/>
        <c:axId val="55528832"/>
        <c:axId val="55527296"/>
      </c:lineChart>
      <c:catAx>
        <c:axId val="7352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5525760"/>
        <c:crosses val="autoZero"/>
        <c:auto val="1"/>
        <c:lblAlgn val="ctr"/>
        <c:lblOffset val="100"/>
        <c:noMultiLvlLbl val="0"/>
      </c:catAx>
      <c:valAx>
        <c:axId val="555257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3521792"/>
        <c:crosses val="autoZero"/>
        <c:crossBetween val="between"/>
      </c:valAx>
      <c:valAx>
        <c:axId val="5552729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55528832"/>
        <c:crosses val="max"/>
        <c:crossBetween val="between"/>
      </c:valAx>
      <c:catAx>
        <c:axId val="55528832"/>
        <c:scaling>
          <c:orientation val="minMax"/>
        </c:scaling>
        <c:delete val="1"/>
        <c:axPos val="b"/>
        <c:numFmt formatCode="General" sourceLinked="1"/>
        <c:majorTickMark val="out"/>
        <c:minorTickMark val="none"/>
        <c:tickLblPos val="nextTo"/>
        <c:crossAx val="55527296"/>
        <c:crosses val="autoZero"/>
        <c:auto val="1"/>
        <c:lblAlgn val="ctr"/>
        <c:lblOffset val="100"/>
        <c:noMultiLvlLbl val="0"/>
      </c:catAx>
      <c:spPr>
        <a:noFill/>
        <a:ln>
          <a:noFill/>
        </a:ln>
        <a:effectLst/>
      </c:spPr>
    </c:plotArea>
    <c:legend>
      <c:legendPos val="b"/>
      <c:layout>
        <c:manualLayout>
          <c:xMode val="edge"/>
          <c:yMode val="edge"/>
          <c:x val="0.18028177595667064"/>
          <c:y val="0.92191404728033854"/>
          <c:w val="0.63390907834738153"/>
          <c:h val="7.8085952719661483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3385826771654"/>
          <c:y val="2.8942896805340519E-2"/>
          <c:w val="0.79788969087197437"/>
          <c:h val="0.77259257056997999"/>
        </c:manualLayout>
      </c:layout>
      <c:barChart>
        <c:barDir val="col"/>
        <c:grouping val="clustered"/>
        <c:varyColors val="0"/>
        <c:ser>
          <c:idx val="1"/>
          <c:order val="1"/>
          <c:tx>
            <c:strRef>
              <c:f>Hoja1!$A$3</c:f>
              <c:strCache>
                <c:ptCount val="1"/>
                <c:pt idx="0">
                  <c:v>Deuda Interna</c:v>
                </c:pt>
              </c:strCache>
            </c:strRef>
          </c:tx>
          <c:spPr>
            <a:solidFill>
              <a:schemeClr val="accent2">
                <a:lumMod val="60000"/>
                <a:lumOff val="40000"/>
              </a:schemeClr>
            </a:solidFill>
            <a:ln>
              <a:no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2015</c:v>
                </c:pt>
                <c:pt idx="1">
                  <c:v>2016</c:v>
                </c:pt>
                <c:pt idx="2">
                  <c:v>2017</c:v>
                </c:pt>
                <c:pt idx="3">
                  <c:v>2018</c:v>
                </c:pt>
                <c:pt idx="4">
                  <c:v>2019</c:v>
                </c:pt>
              </c:strCache>
            </c:strRef>
          </c:cat>
          <c:val>
            <c:numRef>
              <c:f>Hoja1!$B$3:$F$3</c:f>
              <c:numCache>
                <c:formatCode>#,##0.0</c:formatCode>
                <c:ptCount val="5"/>
                <c:pt idx="0">
                  <c:v>51.8</c:v>
                </c:pt>
                <c:pt idx="1">
                  <c:v>52</c:v>
                </c:pt>
                <c:pt idx="2">
                  <c:v>54.6</c:v>
                </c:pt>
                <c:pt idx="3">
                  <c:v>56.4</c:v>
                </c:pt>
                <c:pt idx="4">
                  <c:v>55.4</c:v>
                </c:pt>
              </c:numCache>
            </c:numRef>
          </c:val>
          <c:extLst xmlns:c16r2="http://schemas.microsoft.com/office/drawing/2015/06/chart">
            <c:ext xmlns:c16="http://schemas.microsoft.com/office/drawing/2014/chart" uri="{C3380CC4-5D6E-409C-BE32-E72D297353CC}">
              <c16:uniqueId val="{00000000-5CB6-4672-BBD6-2A1E79B9689A}"/>
            </c:ext>
          </c:extLst>
        </c:ser>
        <c:ser>
          <c:idx val="2"/>
          <c:order val="2"/>
          <c:tx>
            <c:strRef>
              <c:f>Hoja1!$A$4</c:f>
              <c:strCache>
                <c:ptCount val="1"/>
                <c:pt idx="0">
                  <c:v>Deuda Externa</c:v>
                </c:pt>
              </c:strCache>
            </c:strRef>
          </c:tx>
          <c:spPr>
            <a:solidFill>
              <a:schemeClr val="accent6">
                <a:lumMod val="40000"/>
                <a:lumOff val="60000"/>
              </a:schemeClr>
            </a:solidFill>
            <a:ln>
              <a:noFill/>
            </a:ln>
            <a:effectLst>
              <a:outerShdw blurRad="50800" dist="38100" dir="18900000" algn="bl"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2015</c:v>
                </c:pt>
                <c:pt idx="1">
                  <c:v>2016</c:v>
                </c:pt>
                <c:pt idx="2">
                  <c:v>2017</c:v>
                </c:pt>
                <c:pt idx="3">
                  <c:v>2018</c:v>
                </c:pt>
                <c:pt idx="4">
                  <c:v>2019</c:v>
                </c:pt>
              </c:strCache>
            </c:strRef>
          </c:cat>
          <c:val>
            <c:numRef>
              <c:f>Hoja1!$B$4:$F$4</c:f>
              <c:numCache>
                <c:formatCode>#,##0.0</c:formatCode>
                <c:ptCount val="5"/>
                <c:pt idx="0">
                  <c:v>48.2</c:v>
                </c:pt>
                <c:pt idx="1">
                  <c:v>48</c:v>
                </c:pt>
                <c:pt idx="2">
                  <c:v>45.4</c:v>
                </c:pt>
                <c:pt idx="3">
                  <c:v>43.6</c:v>
                </c:pt>
                <c:pt idx="4">
                  <c:v>44.6</c:v>
                </c:pt>
              </c:numCache>
            </c:numRef>
          </c:val>
          <c:extLst xmlns:c16r2="http://schemas.microsoft.com/office/drawing/2015/06/chart">
            <c:ext xmlns:c16="http://schemas.microsoft.com/office/drawing/2014/chart" uri="{C3380CC4-5D6E-409C-BE32-E72D297353CC}">
              <c16:uniqueId val="{00000001-5CB6-4672-BBD6-2A1E79B9689A}"/>
            </c:ext>
          </c:extLst>
        </c:ser>
        <c:dLbls>
          <c:showLegendKey val="0"/>
          <c:showVal val="0"/>
          <c:showCatName val="0"/>
          <c:showSerName val="0"/>
          <c:showPercent val="0"/>
          <c:showBubbleSize val="0"/>
        </c:dLbls>
        <c:gapWidth val="89"/>
        <c:axId val="55571200"/>
        <c:axId val="55572736"/>
      </c:barChart>
      <c:lineChart>
        <c:grouping val="standard"/>
        <c:varyColors val="0"/>
        <c:ser>
          <c:idx val="0"/>
          <c:order val="0"/>
          <c:tx>
            <c:strRef>
              <c:f>Hoja1!$A$2</c:f>
              <c:strCache>
                <c:ptCount val="1"/>
                <c:pt idx="0">
                  <c:v>Deuda % del PIB</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80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es-E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Hoja1!$B$1:$F$1</c:f>
              <c:strCache>
                <c:ptCount val="5"/>
                <c:pt idx="0">
                  <c:v>2015</c:v>
                </c:pt>
                <c:pt idx="1">
                  <c:v>2016</c:v>
                </c:pt>
                <c:pt idx="2">
                  <c:v>2017</c:v>
                </c:pt>
                <c:pt idx="3">
                  <c:v>2018</c:v>
                </c:pt>
                <c:pt idx="4">
                  <c:v>2019</c:v>
                </c:pt>
              </c:strCache>
            </c:strRef>
          </c:cat>
          <c:val>
            <c:numRef>
              <c:f>Hoja1!$B$2:$F$2</c:f>
              <c:numCache>
                <c:formatCode>#,##0.0</c:formatCode>
                <c:ptCount val="5"/>
                <c:pt idx="0">
                  <c:v>24.9</c:v>
                </c:pt>
                <c:pt idx="1">
                  <c:v>25</c:v>
                </c:pt>
                <c:pt idx="2">
                  <c:v>25.2</c:v>
                </c:pt>
                <c:pt idx="3">
                  <c:v>26.6</c:v>
                </c:pt>
                <c:pt idx="4">
                  <c:v>26.9</c:v>
                </c:pt>
              </c:numCache>
            </c:numRef>
          </c:val>
          <c:smooth val="0"/>
          <c:extLst xmlns:c16r2="http://schemas.microsoft.com/office/drawing/2015/06/chart">
            <c:ext xmlns:c16="http://schemas.microsoft.com/office/drawing/2014/chart" uri="{C3380CC4-5D6E-409C-BE32-E72D297353CC}">
              <c16:uniqueId val="{00000002-5CB6-4672-BBD6-2A1E79B9689A}"/>
            </c:ext>
          </c:extLst>
        </c:ser>
        <c:dLbls>
          <c:showLegendKey val="0"/>
          <c:showVal val="0"/>
          <c:showCatName val="0"/>
          <c:showSerName val="0"/>
          <c:showPercent val="0"/>
          <c:showBubbleSize val="0"/>
        </c:dLbls>
        <c:marker val="1"/>
        <c:smooth val="0"/>
        <c:axId val="73218304"/>
        <c:axId val="73216384"/>
      </c:lineChart>
      <c:catAx>
        <c:axId val="5557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55572736"/>
        <c:crosses val="autoZero"/>
        <c:auto val="1"/>
        <c:lblAlgn val="ctr"/>
        <c:lblOffset val="100"/>
        <c:noMultiLvlLbl val="0"/>
      </c:catAx>
      <c:valAx>
        <c:axId val="55572736"/>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GT"/>
                  <a:t>Estructura %</a:t>
                </a:r>
              </a:p>
            </c:rich>
          </c:tx>
          <c:layout>
            <c:manualLayout>
              <c:xMode val="edge"/>
              <c:yMode val="edge"/>
              <c:x val="4.6296296296296294E-3"/>
              <c:y val="0.30195189535734263"/>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55571200"/>
        <c:crosses val="autoZero"/>
        <c:crossBetween val="between"/>
      </c:valAx>
      <c:valAx>
        <c:axId val="73216384"/>
        <c:scaling>
          <c:orientation val="minMax"/>
          <c:max val="40"/>
          <c:min val="0"/>
        </c:scaling>
        <c:delete val="0"/>
        <c:axPos val="r"/>
        <c:title>
          <c:tx>
            <c:rich>
              <a:bodyPr rot="540000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GT"/>
                  <a:t>Porcentaje del PIB</a:t>
                </a:r>
              </a:p>
            </c:rich>
          </c:tx>
          <c:layout>
            <c:manualLayout>
              <c:xMode val="edge"/>
              <c:yMode val="edge"/>
              <c:x val="0.96412037037037035"/>
              <c:y val="0.24280435437373607"/>
            </c:manualLayout>
          </c:layout>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3218304"/>
        <c:crosses val="max"/>
        <c:crossBetween val="between"/>
      </c:valAx>
      <c:catAx>
        <c:axId val="73218304"/>
        <c:scaling>
          <c:orientation val="minMax"/>
        </c:scaling>
        <c:delete val="1"/>
        <c:axPos val="b"/>
        <c:numFmt formatCode="General" sourceLinked="1"/>
        <c:majorTickMark val="out"/>
        <c:minorTickMark val="none"/>
        <c:tickLblPos val="nextTo"/>
        <c:crossAx val="73216384"/>
        <c:crosses val="autoZero"/>
        <c:auto val="1"/>
        <c:lblAlgn val="ctr"/>
        <c:lblOffset val="100"/>
        <c:noMultiLvlLbl val="0"/>
      </c:catAx>
      <c:spPr>
        <a:noFill/>
        <a:ln>
          <a:noFill/>
        </a:ln>
        <a:effectLst/>
      </c:spPr>
    </c:plotArea>
    <c:legend>
      <c:legendPos val="b"/>
      <c:layout>
        <c:manualLayout>
          <c:xMode val="edge"/>
          <c:yMode val="edge"/>
          <c:x val="0.12403026092326694"/>
          <c:y val="0.90783993999007462"/>
          <c:w val="0.75193947815346607"/>
          <c:h val="9.21600600099254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ES" sz="1200"/>
              <a:t>Crecimiento económico base 2001 vs base 2013</a:t>
            </a:r>
          </a:p>
        </c:rich>
      </c:tx>
      <c:layout>
        <c:manualLayout>
          <c:xMode val="edge"/>
          <c:yMode val="edge"/>
          <c:x val="0.18872404897885617"/>
          <c:y val="1.7316250102883481E-2"/>
        </c:manualLayout>
      </c:layout>
      <c:overlay val="0"/>
    </c:title>
    <c:autoTitleDeleted val="0"/>
    <c:plotArea>
      <c:layout>
        <c:manualLayout>
          <c:layoutTarget val="inner"/>
          <c:xMode val="edge"/>
          <c:yMode val="edge"/>
          <c:x val="0.106323093733455"/>
          <c:y val="0.1102471947104173"/>
          <c:w val="0.87757436340574524"/>
          <c:h val="0.64702471892505975"/>
        </c:manualLayout>
      </c:layout>
      <c:lineChart>
        <c:grouping val="standard"/>
        <c:varyColors val="0"/>
        <c:ser>
          <c:idx val="0"/>
          <c:order val="0"/>
          <c:tx>
            <c:strRef>
              <c:f>'PIB Gasto Base 2013'!$A$17</c:f>
              <c:strCache>
                <c:ptCount val="1"/>
                <c:pt idx="0">
                  <c:v>PIB BASE 2013</c:v>
                </c:pt>
              </c:strCache>
            </c:strRef>
          </c:tx>
          <c:spPr>
            <a:effectLst>
              <a:outerShdw blurRad="50800" dist="38100" dir="2700000" algn="tl" rotWithShape="0">
                <a:prstClr val="black">
                  <a:alpha val="40000"/>
                </a:prstClr>
              </a:outerShdw>
            </a:effectLst>
          </c:spPr>
          <c:marker>
            <c:symbol val="none"/>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108-4F68-87AB-30B6E80D1E55}"/>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108-4F68-87AB-30B6E80D1E55}"/>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108-4F68-87AB-30B6E80D1E55}"/>
                </c:ext>
              </c:extLst>
            </c:dLbl>
            <c:dLbl>
              <c:idx val="3"/>
              <c:layout>
                <c:manualLayout>
                  <c:x val="-5.9768464761643533E-2"/>
                  <c:y val="-7.47611476037197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108-4F68-87AB-30B6E80D1E55}"/>
                </c:ext>
              </c:extLst>
            </c:dLbl>
            <c:dLbl>
              <c:idx val="5"/>
              <c:layout>
                <c:manualLayout>
                  <c:x val="-5.6994986118411813E-2"/>
                  <c:y val="-7.940758312912188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108-4F68-87AB-30B6E80D1E55}"/>
                </c:ext>
              </c:extLst>
            </c:dLbl>
            <c:numFmt formatCode="0.00%" sourceLinked="0"/>
            <c:spPr>
              <a:noFill/>
              <a:ln>
                <a:noFill/>
              </a:ln>
              <a:effectLst/>
            </c:spPr>
            <c:txPr>
              <a:bodyPr/>
              <a:lstStyle/>
              <a:p>
                <a:pPr>
                  <a:defRPr>
                    <a:solidFill>
                      <a:schemeClr val="tx2"/>
                    </a:solidFill>
                  </a:defRPr>
                </a:pPr>
                <a:endParaRPr lang="es-E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'PIB Gasto Base 2013'!$E$6:$J$7</c:f>
              <c:strCache>
                <c:ptCount val="6"/>
                <c:pt idx="0">
                  <c:v>2014</c:v>
                </c:pt>
                <c:pt idx="1">
                  <c:v>2015</c:v>
                </c:pt>
                <c:pt idx="2">
                  <c:v>2016 p/</c:v>
                </c:pt>
                <c:pt idx="3">
                  <c:v>2017 p/</c:v>
                </c:pt>
                <c:pt idx="4">
                  <c:v>2018 p/</c:v>
                </c:pt>
                <c:pt idx="5">
                  <c:v>2019 e/</c:v>
                </c:pt>
              </c:strCache>
            </c:strRef>
          </c:cat>
          <c:val>
            <c:numRef>
              <c:f>'PIB Gasto Base 2013'!$E$18:$J$18</c:f>
              <c:numCache>
                <c:formatCode>0.0%</c:formatCode>
                <c:ptCount val="6"/>
                <c:pt idx="0">
                  <c:v>4.4439778221560866E-2</c:v>
                </c:pt>
                <c:pt idx="1">
                  <c:v>4.0921707250437089E-2</c:v>
                </c:pt>
                <c:pt idx="2">
                  <c:v>2.6764644087973855E-2</c:v>
                </c:pt>
                <c:pt idx="3">
                  <c:v>3.0025248609468314E-2</c:v>
                </c:pt>
                <c:pt idx="4">
                  <c:v>3.0557188891067844E-2</c:v>
                </c:pt>
                <c:pt idx="5">
                  <c:v>3.530004019767663E-2</c:v>
                </c:pt>
              </c:numCache>
            </c:numRef>
          </c:val>
          <c:smooth val="1"/>
          <c:extLst xmlns:c16r2="http://schemas.microsoft.com/office/drawing/2015/06/chart">
            <c:ext xmlns:c16="http://schemas.microsoft.com/office/drawing/2014/chart" uri="{C3380CC4-5D6E-409C-BE32-E72D297353CC}">
              <c16:uniqueId val="{00000005-C108-4F68-87AB-30B6E80D1E55}"/>
            </c:ext>
          </c:extLst>
        </c:ser>
        <c:ser>
          <c:idx val="1"/>
          <c:order val="1"/>
          <c:tx>
            <c:strRef>
              <c:f>'PIB gasto Base 2001'!$C$24</c:f>
              <c:strCache>
                <c:ptCount val="1"/>
                <c:pt idx="0">
                  <c:v>PIB BASE 2001</c:v>
                </c:pt>
              </c:strCache>
            </c:strRef>
          </c:tx>
          <c:spPr>
            <a:ln w="41275"/>
          </c:spPr>
          <c:marker>
            <c:symbol val="none"/>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108-4F68-87AB-30B6E80D1E55}"/>
                </c:ext>
              </c:extLst>
            </c:dLbl>
            <c:dLbl>
              <c:idx val="1"/>
              <c:layout>
                <c:manualLayout>
                  <c:x val="-4.7149136934939211E-2"/>
                  <c:y val="-4.64643552540209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108-4F68-87AB-30B6E80D1E55}"/>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108-4F68-87AB-30B6E80D1E55}"/>
                </c:ext>
              </c:extLst>
            </c:dLbl>
            <c:dLbl>
              <c:idx val="3"/>
              <c:layout>
                <c:manualLayout>
                  <c:x val="-5.5469572864634366E-2"/>
                  <c:y val="6.50500973556293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108-4F68-87AB-30B6E80D1E55}"/>
                </c:ext>
              </c:extLst>
            </c:dLbl>
            <c:dLbl>
              <c:idx val="4"/>
              <c:layout>
                <c:manualLayout>
                  <c:x val="-5.1355554120318156E-2"/>
                  <c:y val="-4.86049918245881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108-4F68-87AB-30B6E80D1E55}"/>
                </c:ext>
              </c:extLst>
            </c:dLbl>
            <c:numFmt formatCode="0.00%" sourceLinked="0"/>
            <c:spPr>
              <a:noFill/>
              <a:ln>
                <a:noFill/>
              </a:ln>
              <a:effectLst/>
            </c:spPr>
            <c:txPr>
              <a:bodyPr/>
              <a:lstStyle/>
              <a:p>
                <a:pPr>
                  <a:defRPr sz="800">
                    <a:solidFill>
                      <a:srgbClr val="FF0000"/>
                    </a:solidFill>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'PIB Gasto Base 2013'!$E$6:$J$7</c:f>
              <c:strCache>
                <c:ptCount val="6"/>
                <c:pt idx="0">
                  <c:v>2014</c:v>
                </c:pt>
                <c:pt idx="1">
                  <c:v>2015</c:v>
                </c:pt>
                <c:pt idx="2">
                  <c:v>2016 p/</c:v>
                </c:pt>
                <c:pt idx="3">
                  <c:v>2017 p/</c:v>
                </c:pt>
                <c:pt idx="4">
                  <c:v>2018 p/</c:v>
                </c:pt>
                <c:pt idx="5">
                  <c:v>2019 e/</c:v>
                </c:pt>
              </c:strCache>
            </c:strRef>
          </c:cat>
          <c:val>
            <c:numRef>
              <c:f>'PIB gasto Base 2001'!$Q$24:$V$24</c:f>
              <c:numCache>
                <c:formatCode>0.0%</c:formatCode>
                <c:ptCount val="6"/>
                <c:pt idx="0">
                  <c:v>4.1741691365817513E-2</c:v>
                </c:pt>
                <c:pt idx="1">
                  <c:v>4.1400443582547908E-2</c:v>
                </c:pt>
                <c:pt idx="2">
                  <c:v>3.092482557690901E-2</c:v>
                </c:pt>
                <c:pt idx="3">
                  <c:v>2.7603384836662137E-2</c:v>
                </c:pt>
                <c:pt idx="4">
                  <c:v>3.1450345781208977E-2</c:v>
                </c:pt>
              </c:numCache>
            </c:numRef>
          </c:val>
          <c:smooth val="1"/>
          <c:extLst xmlns:c16r2="http://schemas.microsoft.com/office/drawing/2015/06/chart">
            <c:ext xmlns:c16="http://schemas.microsoft.com/office/drawing/2014/chart" uri="{C3380CC4-5D6E-409C-BE32-E72D297353CC}">
              <c16:uniqueId val="{0000000B-C108-4F68-87AB-30B6E80D1E55}"/>
            </c:ext>
          </c:extLst>
        </c:ser>
        <c:dLbls>
          <c:showLegendKey val="0"/>
          <c:showVal val="0"/>
          <c:showCatName val="0"/>
          <c:showSerName val="0"/>
          <c:showPercent val="0"/>
          <c:showBubbleSize val="0"/>
        </c:dLbls>
        <c:marker val="1"/>
        <c:smooth val="0"/>
        <c:axId val="73314304"/>
        <c:axId val="73315840"/>
      </c:lineChart>
      <c:catAx>
        <c:axId val="73314304"/>
        <c:scaling>
          <c:orientation val="minMax"/>
        </c:scaling>
        <c:delete val="0"/>
        <c:axPos val="b"/>
        <c:numFmt formatCode="General" sourceLinked="0"/>
        <c:majorTickMark val="none"/>
        <c:minorTickMark val="none"/>
        <c:tickLblPos val="nextTo"/>
        <c:txPr>
          <a:bodyPr/>
          <a:lstStyle/>
          <a:p>
            <a:pPr>
              <a:defRPr b="1"/>
            </a:pPr>
            <a:endParaRPr lang="es-ES"/>
          </a:p>
        </c:txPr>
        <c:crossAx val="73315840"/>
        <c:crosses val="autoZero"/>
        <c:auto val="1"/>
        <c:lblAlgn val="ctr"/>
        <c:lblOffset val="100"/>
        <c:noMultiLvlLbl val="0"/>
      </c:catAx>
      <c:valAx>
        <c:axId val="73315840"/>
        <c:scaling>
          <c:orientation val="minMax"/>
          <c:min val="2.0000000000000004E-2"/>
        </c:scaling>
        <c:delete val="0"/>
        <c:axPos val="l"/>
        <c:numFmt formatCode="0.0%" sourceLinked="1"/>
        <c:majorTickMark val="none"/>
        <c:minorTickMark val="none"/>
        <c:tickLblPos val="nextTo"/>
        <c:crossAx val="73314304"/>
        <c:crosses val="autoZero"/>
        <c:crossBetween val="between"/>
      </c:valAx>
    </c:plotArea>
    <c:legend>
      <c:legendPos val="b"/>
      <c:layout>
        <c:manualLayout>
          <c:xMode val="edge"/>
          <c:yMode val="edge"/>
          <c:x val="0.15696886151053854"/>
          <c:y val="0.86995223051025561"/>
          <c:w val="0.73435887037725445"/>
          <c:h val="6.7842007553933797E-2"/>
        </c:manualLayout>
      </c:layout>
      <c:overlay val="0"/>
      <c:txPr>
        <a:bodyPr/>
        <a:lstStyle/>
        <a:p>
          <a:pPr>
            <a:defRPr sz="700" b="1"/>
          </a:pPr>
          <a:endParaRPr lang="es-ES"/>
        </a:p>
      </c:txPr>
    </c:legend>
    <c:plotVisOnly val="1"/>
    <c:dispBlanksAs val="gap"/>
    <c:showDLblsOverMax val="0"/>
  </c:chart>
  <c:spPr>
    <a:ln>
      <a:solidFill>
        <a:schemeClr val="bg1"/>
      </a:solidFill>
    </a:ln>
  </c:spPr>
  <c:txPr>
    <a:bodyPr/>
    <a:lstStyle/>
    <a:p>
      <a:pPr>
        <a:defRPr sz="900">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159741696362606"/>
          <c:y val="4.6858359957401494E-2"/>
          <c:w val="0.49989040055840611"/>
          <c:h val="0.97753159625075137"/>
        </c:manualLayout>
      </c:layout>
      <c:barChart>
        <c:barDir val="bar"/>
        <c:grouping val="clustered"/>
        <c:varyColors val="0"/>
        <c:ser>
          <c:idx val="0"/>
          <c:order val="0"/>
          <c:tx>
            <c:strRef>
              <c:f>Hoja1!$P$15</c:f>
              <c:strCache>
                <c:ptCount val="1"/>
                <c:pt idx="0">
                  <c:v>2019</c:v>
                </c:pt>
              </c:strCache>
            </c:strRef>
          </c:tx>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24-47E7-8E70-048CA44D93C4}"/>
                </c:ext>
              </c:extLst>
            </c:dLbl>
            <c:dLbl>
              <c:idx val="3"/>
              <c:layout>
                <c:manualLayout>
                  <c:x val="-3.7695997635823798E-2"/>
                  <c:y val="-2.01005720977709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24-47E7-8E70-048CA44D93C4}"/>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B24-47E7-8E70-048CA44D93C4}"/>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B24-47E7-8E70-048CA44D93C4}"/>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B24-47E7-8E70-048CA44D93C4}"/>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B24-47E7-8E70-048CA44D93C4}"/>
                </c:ext>
              </c:extLst>
            </c:dLbl>
            <c:dLbl>
              <c:idx val="1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B24-47E7-8E70-048CA44D93C4}"/>
                </c:ext>
              </c:extLst>
            </c:dLbl>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B24-47E7-8E70-048CA44D93C4}"/>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B24-47E7-8E70-048CA44D93C4}"/>
                </c:ext>
              </c:extLst>
            </c:dLbl>
            <c:dLbl>
              <c:idx val="1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B24-47E7-8E70-048CA44D93C4}"/>
                </c:ext>
              </c:extLst>
            </c:dLbl>
            <c:spPr>
              <a:noFill/>
              <a:ln>
                <a:noFill/>
              </a:ln>
              <a:effectLst/>
            </c:spPr>
            <c:txPr>
              <a:bodyPr/>
              <a:lstStyle/>
              <a:p>
                <a:pPr>
                  <a:defRPr sz="700" b="1">
                    <a:solidFill>
                      <a:schemeClr val="tx2"/>
                    </a:solidFill>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Hoja1!$M$16:$M$32</c:f>
              <c:strCache>
                <c:ptCount val="17"/>
                <c:pt idx="0">
                  <c:v>Agricultura</c:v>
                </c:pt>
                <c:pt idx="1">
                  <c:v>Explotación de minas y canteras</c:v>
                </c:pt>
                <c:pt idx="2">
                  <c:v>Industrias manufactureras</c:v>
                </c:pt>
                <c:pt idx="3">
                  <c:v>suminsitro de electricidad y agua</c:v>
                </c:pt>
                <c:pt idx="4">
                  <c:v>Construcción</c:v>
                </c:pt>
                <c:pt idx="5">
                  <c:v>Comercio y reparación de vehiculos</c:v>
                </c:pt>
                <c:pt idx="6">
                  <c:v>Transporte y almacenamiento</c:v>
                </c:pt>
                <c:pt idx="7">
                  <c:v>Actividades de alojamiento y de servicio de comidas</c:v>
                </c:pt>
                <c:pt idx="8">
                  <c:v>Información y comunicaciones</c:v>
                </c:pt>
                <c:pt idx="9">
                  <c:v>Actividades financieras y de seguros</c:v>
                </c:pt>
                <c:pt idx="10">
                  <c:v>Actividades inmobiliarias</c:v>
                </c:pt>
                <c:pt idx="11">
                  <c:v>Actividades profesionales, cientificas y técnicas</c:v>
                </c:pt>
                <c:pt idx="12">
                  <c:v>Actividades de servicios administrativos</c:v>
                </c:pt>
                <c:pt idx="13">
                  <c:v>Administración pública y defensa</c:v>
                </c:pt>
                <c:pt idx="14">
                  <c:v>Enseñanza</c:v>
                </c:pt>
                <c:pt idx="15">
                  <c:v>Actividades de atención de la salud humana</c:v>
                </c:pt>
                <c:pt idx="16">
                  <c:v>Otras actividades de servicios</c:v>
                </c:pt>
              </c:strCache>
            </c:strRef>
          </c:cat>
          <c:val>
            <c:numRef>
              <c:f>Hoja1!$P$16:$P$32</c:f>
              <c:numCache>
                <c:formatCode>0.0%</c:formatCode>
                <c:ptCount val="17"/>
                <c:pt idx="0">
                  <c:v>2.7E-2</c:v>
                </c:pt>
                <c:pt idx="1">
                  <c:v>7.2999999999999995E-2</c:v>
                </c:pt>
                <c:pt idx="2">
                  <c:v>0.03</c:v>
                </c:pt>
                <c:pt idx="3">
                  <c:v>-8.0000000000000002E-3</c:v>
                </c:pt>
                <c:pt idx="4">
                  <c:v>6.8000000000000005E-2</c:v>
                </c:pt>
                <c:pt idx="5">
                  <c:v>3.6999999999999998E-2</c:v>
                </c:pt>
                <c:pt idx="6">
                  <c:v>3.5000000000000003E-2</c:v>
                </c:pt>
                <c:pt idx="7">
                  <c:v>0.06</c:v>
                </c:pt>
                <c:pt idx="8">
                  <c:v>2.9000000000000001E-2</c:v>
                </c:pt>
                <c:pt idx="9">
                  <c:v>5.5E-2</c:v>
                </c:pt>
                <c:pt idx="10">
                  <c:v>0.04</c:v>
                </c:pt>
                <c:pt idx="11">
                  <c:v>4.4999999999999998E-2</c:v>
                </c:pt>
                <c:pt idx="12">
                  <c:v>2.1000000000000001E-2</c:v>
                </c:pt>
                <c:pt idx="13">
                  <c:v>2.4E-2</c:v>
                </c:pt>
                <c:pt idx="14">
                  <c:v>1.2E-2</c:v>
                </c:pt>
                <c:pt idx="15">
                  <c:v>4.2999999999999997E-2</c:v>
                </c:pt>
                <c:pt idx="16">
                  <c:v>3.5000000000000003E-2</c:v>
                </c:pt>
              </c:numCache>
            </c:numRef>
          </c:val>
          <c:extLst xmlns:c16r2="http://schemas.microsoft.com/office/drawing/2015/06/chart">
            <c:ext xmlns:c16="http://schemas.microsoft.com/office/drawing/2014/chart" uri="{C3380CC4-5D6E-409C-BE32-E72D297353CC}">
              <c16:uniqueId val="{0000000A-7B24-47E7-8E70-048CA44D93C4}"/>
            </c:ext>
          </c:extLst>
        </c:ser>
        <c:ser>
          <c:idx val="1"/>
          <c:order val="1"/>
          <c:tx>
            <c:strRef>
              <c:f>Hoja1!$O$15</c:f>
              <c:strCache>
                <c:ptCount val="1"/>
                <c:pt idx="0">
                  <c:v>2018</c:v>
                </c:pt>
              </c:strCache>
            </c:strRef>
          </c:tx>
          <c:invertIfNegative val="0"/>
          <c:val>
            <c:numRef>
              <c:f>Hoja1!$O$16:$O$32</c:f>
              <c:numCache>
                <c:formatCode>0.0%</c:formatCode>
                <c:ptCount val="17"/>
                <c:pt idx="0">
                  <c:v>2.1917289966130848E-2</c:v>
                </c:pt>
                <c:pt idx="1">
                  <c:v>-0.32101470475771399</c:v>
                </c:pt>
                <c:pt idx="2">
                  <c:v>2.9520950968263238E-2</c:v>
                </c:pt>
                <c:pt idx="3">
                  <c:v>2.6019065066825942E-2</c:v>
                </c:pt>
                <c:pt idx="4">
                  <c:v>4.4714648602719231E-2</c:v>
                </c:pt>
                <c:pt idx="5">
                  <c:v>3.1859789890752888E-2</c:v>
                </c:pt>
                <c:pt idx="6">
                  <c:v>2.7996961348412119E-2</c:v>
                </c:pt>
                <c:pt idx="7">
                  <c:v>3.7027761516936764E-2</c:v>
                </c:pt>
                <c:pt idx="8">
                  <c:v>5.2774289435591148E-2</c:v>
                </c:pt>
                <c:pt idx="9">
                  <c:v>3.7785871308067653E-2</c:v>
                </c:pt>
                <c:pt idx="10">
                  <c:v>4.0775217026284061E-2</c:v>
                </c:pt>
                <c:pt idx="11">
                  <c:v>4.3915360561393557E-2</c:v>
                </c:pt>
                <c:pt idx="12">
                  <c:v>2.5576044443349488E-2</c:v>
                </c:pt>
                <c:pt idx="13">
                  <c:v>4.7965080546244376E-2</c:v>
                </c:pt>
                <c:pt idx="14">
                  <c:v>2.1155783299152242E-2</c:v>
                </c:pt>
                <c:pt idx="15">
                  <c:v>2.6196522549127632E-2</c:v>
                </c:pt>
                <c:pt idx="16">
                  <c:v>3.2969814533802655E-2</c:v>
                </c:pt>
              </c:numCache>
            </c:numRef>
          </c:val>
          <c:extLst xmlns:c16r2="http://schemas.microsoft.com/office/drawing/2015/06/chart">
            <c:ext xmlns:c16="http://schemas.microsoft.com/office/drawing/2014/chart" uri="{C3380CC4-5D6E-409C-BE32-E72D297353CC}">
              <c16:uniqueId val="{0000000B-7B24-47E7-8E70-048CA44D93C4}"/>
            </c:ext>
          </c:extLst>
        </c:ser>
        <c:dLbls>
          <c:showLegendKey val="0"/>
          <c:showVal val="0"/>
          <c:showCatName val="0"/>
          <c:showSerName val="0"/>
          <c:showPercent val="0"/>
          <c:showBubbleSize val="0"/>
        </c:dLbls>
        <c:gapWidth val="150"/>
        <c:axId val="73428992"/>
        <c:axId val="73430528"/>
      </c:barChart>
      <c:catAx>
        <c:axId val="73428992"/>
        <c:scaling>
          <c:orientation val="minMax"/>
        </c:scaling>
        <c:delete val="0"/>
        <c:axPos val="l"/>
        <c:numFmt formatCode="General" sourceLinked="0"/>
        <c:majorTickMark val="out"/>
        <c:minorTickMark val="none"/>
        <c:tickLblPos val="low"/>
        <c:txPr>
          <a:bodyPr/>
          <a:lstStyle/>
          <a:p>
            <a:pPr>
              <a:defRPr sz="800" b="0">
                <a:latin typeface="Times New Roman" panose="02020603050405020304" pitchFamily="18" charset="0"/>
                <a:cs typeface="Times New Roman" panose="02020603050405020304" pitchFamily="18" charset="0"/>
              </a:defRPr>
            </a:pPr>
            <a:endParaRPr lang="es-ES"/>
          </a:p>
        </c:txPr>
        <c:crossAx val="73430528"/>
        <c:crosses val="autoZero"/>
        <c:auto val="1"/>
        <c:lblAlgn val="ctr"/>
        <c:lblOffset val="100"/>
        <c:noMultiLvlLbl val="0"/>
      </c:catAx>
      <c:valAx>
        <c:axId val="73430528"/>
        <c:scaling>
          <c:orientation val="minMax"/>
          <c:min val="-1.0000000000000002E-2"/>
        </c:scaling>
        <c:delete val="1"/>
        <c:axPos val="b"/>
        <c:numFmt formatCode="0.0%" sourceLinked="1"/>
        <c:majorTickMark val="out"/>
        <c:minorTickMark val="none"/>
        <c:tickLblPos val="nextTo"/>
        <c:crossAx val="73428992"/>
        <c:crosses val="autoZero"/>
        <c:crossBetween val="between"/>
      </c:valAx>
    </c:plotArea>
    <c:legend>
      <c:legendPos val="b"/>
      <c:layout>
        <c:manualLayout>
          <c:xMode val="edge"/>
          <c:yMode val="edge"/>
          <c:x val="0.86362169105452158"/>
          <c:y val="2.9438503269089474E-2"/>
          <c:w val="0.12197934545713596"/>
          <c:h val="0.15276666641928949"/>
        </c:manualLayout>
      </c:layout>
      <c:overlay val="0"/>
      <c:txPr>
        <a:bodyPr/>
        <a:lstStyle/>
        <a:p>
          <a:pPr>
            <a:defRPr sz="800">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spPr>
    <a:ln>
      <a:solidFill>
        <a:schemeClr val="bg1"/>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GT" sz="1000"/>
              <a:t>Tasa de variación acumulada de productos de Importación </a:t>
            </a:r>
          </a:p>
        </c:rich>
      </c:tx>
      <c:layout>
        <c:manualLayout>
          <c:xMode val="edge"/>
          <c:yMode val="edge"/>
          <c:x val="0.12422364313673444"/>
          <c:y val="2.2402688322598712E-2"/>
        </c:manualLayout>
      </c:layout>
      <c:overlay val="0"/>
    </c:title>
    <c:autoTitleDeleted val="0"/>
    <c:plotArea>
      <c:layout>
        <c:manualLayout>
          <c:layoutTarget val="inner"/>
          <c:xMode val="edge"/>
          <c:yMode val="edge"/>
          <c:x val="0.17401323122280948"/>
          <c:y val="0.18437735768858848"/>
          <c:w val="0.78220550789360288"/>
          <c:h val="0.42722007927146766"/>
        </c:manualLayout>
      </c:layout>
      <c:lineChart>
        <c:grouping val="standard"/>
        <c:varyColors val="0"/>
        <c:ser>
          <c:idx val="0"/>
          <c:order val="0"/>
          <c:tx>
            <c:strRef>
              <c:f>imp.d!$B$3</c:f>
              <c:strCache>
                <c:ptCount val="1"/>
                <c:pt idx="0">
                  <c:v>Vehiculos y M.</c:v>
                </c:pt>
              </c:strCache>
            </c:strRef>
          </c:tx>
          <c:spPr>
            <a:ln>
              <a:prstDash val="dash"/>
            </a:ln>
            <a:effectLst>
              <a:outerShdw blurRad="127000" dist="25400" dir="5400000" algn="ctr" rotWithShape="0">
                <a:srgbClr val="000000">
                  <a:alpha val="50000"/>
                </a:srgbClr>
              </a:outerShdw>
            </a:effectLst>
          </c:spPr>
          <c:marker>
            <c:symbol val="none"/>
          </c:marker>
          <c:cat>
            <c:strRef>
              <c:f>imp.d!$A$32:$A$46</c:f>
              <c:strCache>
                <c:ptCount val="15"/>
                <c:pt idx="0">
                  <c:v>I 2016</c:v>
                </c:pt>
                <c:pt idx="1">
                  <c:v>II 2016</c:v>
                </c:pt>
                <c:pt idx="2">
                  <c:v>III 2016</c:v>
                </c:pt>
                <c:pt idx="3">
                  <c:v>IV 2016</c:v>
                </c:pt>
                <c:pt idx="4">
                  <c:v>I 2017</c:v>
                </c:pt>
                <c:pt idx="5">
                  <c:v>II 2017</c:v>
                </c:pt>
                <c:pt idx="6">
                  <c:v>III 2017</c:v>
                </c:pt>
                <c:pt idx="7">
                  <c:v>IV 2017</c:v>
                </c:pt>
                <c:pt idx="8">
                  <c:v>I 2018</c:v>
                </c:pt>
                <c:pt idx="9">
                  <c:v>II 2018</c:v>
                </c:pt>
                <c:pt idx="10">
                  <c:v>III 2018</c:v>
                </c:pt>
                <c:pt idx="11">
                  <c:v>IV 2018</c:v>
                </c:pt>
                <c:pt idx="12">
                  <c:v>I 2019</c:v>
                </c:pt>
                <c:pt idx="13">
                  <c:v>II 2019</c:v>
                </c:pt>
                <c:pt idx="14">
                  <c:v>III 2019</c:v>
                </c:pt>
              </c:strCache>
            </c:strRef>
          </c:cat>
          <c:val>
            <c:numRef>
              <c:f>imp.d!$B$82:$B$96</c:f>
              <c:numCache>
                <c:formatCode>0.0%</c:formatCode>
                <c:ptCount val="15"/>
                <c:pt idx="0">
                  <c:v>0.13881430729825595</c:v>
                </c:pt>
                <c:pt idx="1">
                  <c:v>0.13824889686774289</c:v>
                </c:pt>
                <c:pt idx="2">
                  <c:v>9.5075693338737111E-2</c:v>
                </c:pt>
                <c:pt idx="3">
                  <c:v>7.4067847517521823E-2</c:v>
                </c:pt>
                <c:pt idx="4">
                  <c:v>7.9455661886862927E-2</c:v>
                </c:pt>
                <c:pt idx="5">
                  <c:v>6.389840012411363E-2</c:v>
                </c:pt>
                <c:pt idx="6">
                  <c:v>0.11208092218490862</c:v>
                </c:pt>
                <c:pt idx="7">
                  <c:v>0.10795904994555672</c:v>
                </c:pt>
                <c:pt idx="8">
                  <c:v>9.6912270827690383E-2</c:v>
                </c:pt>
                <c:pt idx="9">
                  <c:v>5.7603037307860649E-2</c:v>
                </c:pt>
                <c:pt idx="10">
                  <c:v>-4.333380132685094E-2</c:v>
                </c:pt>
                <c:pt idx="11">
                  <c:v>-6.7657212406879053E-2</c:v>
                </c:pt>
                <c:pt idx="12">
                  <c:v>-7.3267540828928945E-2</c:v>
                </c:pt>
                <c:pt idx="13">
                  <c:v>-7.2789611201275473E-2</c:v>
                </c:pt>
                <c:pt idx="14">
                  <c:v>-3.1495028085992138E-2</c:v>
                </c:pt>
              </c:numCache>
            </c:numRef>
          </c:val>
          <c:smooth val="0"/>
          <c:extLst xmlns:c16r2="http://schemas.microsoft.com/office/drawing/2015/06/chart">
            <c:ext xmlns:c16="http://schemas.microsoft.com/office/drawing/2014/chart" uri="{C3380CC4-5D6E-409C-BE32-E72D297353CC}">
              <c16:uniqueId val="{00000000-3A57-49FD-8A18-D8CCF7447CB1}"/>
            </c:ext>
          </c:extLst>
        </c:ser>
        <c:ser>
          <c:idx val="1"/>
          <c:order val="1"/>
          <c:tx>
            <c:strRef>
              <c:f>imp.d!$C$3</c:f>
              <c:strCache>
                <c:ptCount val="1"/>
                <c:pt idx="0">
                  <c:v>Maquinas y A.</c:v>
                </c:pt>
              </c:strCache>
            </c:strRef>
          </c:tx>
          <c:spPr>
            <a:ln>
              <a:prstDash val="sysDash"/>
            </a:ln>
            <a:effectLst>
              <a:outerShdw blurRad="127000" dist="25400" dir="5400000" algn="ctr" rotWithShape="0">
                <a:srgbClr val="000000">
                  <a:alpha val="50000"/>
                </a:srgbClr>
              </a:outerShdw>
            </a:effectLst>
          </c:spPr>
          <c:marker>
            <c:symbol val="none"/>
          </c:marker>
          <c:cat>
            <c:strRef>
              <c:f>imp.d!$A$32:$A$46</c:f>
              <c:strCache>
                <c:ptCount val="15"/>
                <c:pt idx="0">
                  <c:v>I 2016</c:v>
                </c:pt>
                <c:pt idx="1">
                  <c:v>II 2016</c:v>
                </c:pt>
                <c:pt idx="2">
                  <c:v>III 2016</c:v>
                </c:pt>
                <c:pt idx="3">
                  <c:v>IV 2016</c:v>
                </c:pt>
                <c:pt idx="4">
                  <c:v>I 2017</c:v>
                </c:pt>
                <c:pt idx="5">
                  <c:v>II 2017</c:v>
                </c:pt>
                <c:pt idx="6">
                  <c:v>III 2017</c:v>
                </c:pt>
                <c:pt idx="7">
                  <c:v>IV 2017</c:v>
                </c:pt>
                <c:pt idx="8">
                  <c:v>I 2018</c:v>
                </c:pt>
                <c:pt idx="9">
                  <c:v>II 2018</c:v>
                </c:pt>
                <c:pt idx="10">
                  <c:v>III 2018</c:v>
                </c:pt>
                <c:pt idx="11">
                  <c:v>IV 2018</c:v>
                </c:pt>
                <c:pt idx="12">
                  <c:v>I 2019</c:v>
                </c:pt>
                <c:pt idx="13">
                  <c:v>II 2019</c:v>
                </c:pt>
                <c:pt idx="14">
                  <c:v>III 2019</c:v>
                </c:pt>
              </c:strCache>
            </c:strRef>
          </c:cat>
          <c:val>
            <c:numRef>
              <c:f>imp.d!$C$82:$C$96</c:f>
              <c:numCache>
                <c:formatCode>0.0%</c:formatCode>
                <c:ptCount val="15"/>
                <c:pt idx="0">
                  <c:v>-3.4530489538354137E-2</c:v>
                </c:pt>
                <c:pt idx="1">
                  <c:v>1.5647389962108127E-2</c:v>
                </c:pt>
                <c:pt idx="2">
                  <c:v>-8.8692599968271613E-2</c:v>
                </c:pt>
                <c:pt idx="3">
                  <c:v>-0.12581463336538623</c:v>
                </c:pt>
                <c:pt idx="4">
                  <c:v>-0.10388201691611265</c:v>
                </c:pt>
                <c:pt idx="5">
                  <c:v>-0.14704570928920779</c:v>
                </c:pt>
                <c:pt idx="6">
                  <c:v>-8.07586566720363E-2</c:v>
                </c:pt>
                <c:pt idx="7">
                  <c:v>3.9142192467032322E-2</c:v>
                </c:pt>
                <c:pt idx="8">
                  <c:v>1.764015904334526E-2</c:v>
                </c:pt>
                <c:pt idx="9">
                  <c:v>0.10628135816562145</c:v>
                </c:pt>
                <c:pt idx="10">
                  <c:v>0.12166503170233489</c:v>
                </c:pt>
                <c:pt idx="11">
                  <c:v>-2.0350793820185786E-2</c:v>
                </c:pt>
                <c:pt idx="12">
                  <c:v>-1.7045693728072076E-2</c:v>
                </c:pt>
                <c:pt idx="13">
                  <c:v>-7.4260025630157989E-2</c:v>
                </c:pt>
                <c:pt idx="14">
                  <c:v>-6.3499876053243032E-2</c:v>
                </c:pt>
              </c:numCache>
            </c:numRef>
          </c:val>
          <c:smooth val="0"/>
          <c:extLst xmlns:c16r2="http://schemas.microsoft.com/office/drawing/2015/06/chart">
            <c:ext xmlns:c16="http://schemas.microsoft.com/office/drawing/2014/chart" uri="{C3380CC4-5D6E-409C-BE32-E72D297353CC}">
              <c16:uniqueId val="{00000001-3A57-49FD-8A18-D8CCF7447CB1}"/>
            </c:ext>
          </c:extLst>
        </c:ser>
        <c:ser>
          <c:idx val="2"/>
          <c:order val="2"/>
          <c:tx>
            <c:strRef>
              <c:f>imp.d!$D$3</c:f>
              <c:strCache>
                <c:ptCount val="1"/>
                <c:pt idx="0">
                  <c:v>Materiales plasticos </c:v>
                </c:pt>
              </c:strCache>
            </c:strRef>
          </c:tx>
          <c:spPr>
            <a:ln>
              <a:prstDash val="sysDash"/>
            </a:ln>
            <a:effectLst>
              <a:outerShdw blurRad="127000" dist="50800" dir="5400000" algn="ctr" rotWithShape="0">
                <a:srgbClr val="000000">
                  <a:alpha val="50000"/>
                </a:srgbClr>
              </a:outerShdw>
            </a:effectLst>
          </c:spPr>
          <c:marker>
            <c:symbol val="none"/>
          </c:marker>
          <c:cat>
            <c:strRef>
              <c:f>imp.d!$A$32:$A$46</c:f>
              <c:strCache>
                <c:ptCount val="15"/>
                <c:pt idx="0">
                  <c:v>I 2016</c:v>
                </c:pt>
                <c:pt idx="1">
                  <c:v>II 2016</c:v>
                </c:pt>
                <c:pt idx="2">
                  <c:v>III 2016</c:v>
                </c:pt>
                <c:pt idx="3">
                  <c:v>IV 2016</c:v>
                </c:pt>
                <c:pt idx="4">
                  <c:v>I 2017</c:v>
                </c:pt>
                <c:pt idx="5">
                  <c:v>II 2017</c:v>
                </c:pt>
                <c:pt idx="6">
                  <c:v>III 2017</c:v>
                </c:pt>
                <c:pt idx="7">
                  <c:v>IV 2017</c:v>
                </c:pt>
                <c:pt idx="8">
                  <c:v>I 2018</c:v>
                </c:pt>
                <c:pt idx="9">
                  <c:v>II 2018</c:v>
                </c:pt>
                <c:pt idx="10">
                  <c:v>III 2018</c:v>
                </c:pt>
                <c:pt idx="11">
                  <c:v>IV 2018</c:v>
                </c:pt>
                <c:pt idx="12">
                  <c:v>I 2019</c:v>
                </c:pt>
                <c:pt idx="13">
                  <c:v>II 2019</c:v>
                </c:pt>
                <c:pt idx="14">
                  <c:v>III 2019</c:v>
                </c:pt>
              </c:strCache>
            </c:strRef>
          </c:cat>
          <c:val>
            <c:numRef>
              <c:f>imp.d!$D$82:$D$96</c:f>
              <c:numCache>
                <c:formatCode>0.0%</c:formatCode>
                <c:ptCount val="15"/>
                <c:pt idx="0">
                  <c:v>-3.3254010233819464E-2</c:v>
                </c:pt>
                <c:pt idx="1">
                  <c:v>-1.7093791294825356E-2</c:v>
                </c:pt>
                <c:pt idx="2">
                  <c:v>-1.8903881536161848E-2</c:v>
                </c:pt>
                <c:pt idx="3">
                  <c:v>-1.8821799557516505E-2</c:v>
                </c:pt>
                <c:pt idx="4">
                  <c:v>7.6469383394306423E-3</c:v>
                </c:pt>
                <c:pt idx="5">
                  <c:v>-1.8275480516324327E-2</c:v>
                </c:pt>
                <c:pt idx="6">
                  <c:v>8.418399359815032E-3</c:v>
                </c:pt>
                <c:pt idx="7">
                  <c:v>4.2652429191760932E-2</c:v>
                </c:pt>
                <c:pt idx="8">
                  <c:v>1.8208110737140126E-2</c:v>
                </c:pt>
                <c:pt idx="9">
                  <c:v>0.10346367067974427</c:v>
                </c:pt>
                <c:pt idx="10">
                  <c:v>0.11707302033747835</c:v>
                </c:pt>
                <c:pt idx="11">
                  <c:v>8.3889708878382319E-2</c:v>
                </c:pt>
                <c:pt idx="12">
                  <c:v>0.10065327350337672</c:v>
                </c:pt>
                <c:pt idx="13">
                  <c:v>8.0403176942045462E-4</c:v>
                </c:pt>
                <c:pt idx="14">
                  <c:v>-3.1681861038495795E-2</c:v>
                </c:pt>
              </c:numCache>
            </c:numRef>
          </c:val>
          <c:smooth val="0"/>
          <c:extLst xmlns:c16r2="http://schemas.microsoft.com/office/drawing/2015/06/chart">
            <c:ext xmlns:c16="http://schemas.microsoft.com/office/drawing/2014/chart" uri="{C3380CC4-5D6E-409C-BE32-E72D297353CC}">
              <c16:uniqueId val="{00000002-3A57-49FD-8A18-D8CCF7447CB1}"/>
            </c:ext>
          </c:extLst>
        </c:ser>
        <c:ser>
          <c:idx val="3"/>
          <c:order val="3"/>
          <c:tx>
            <c:strRef>
              <c:f>imp.d!$E$3</c:f>
              <c:strCache>
                <c:ptCount val="1"/>
                <c:pt idx="0">
                  <c:v>Gasolina</c:v>
                </c:pt>
              </c:strCache>
            </c:strRef>
          </c:tx>
          <c:spPr>
            <a:ln>
              <a:prstDash val="sysDash"/>
            </a:ln>
            <a:effectLst>
              <a:outerShdw blurRad="127000" dist="25400" dir="5400000" algn="ctr" rotWithShape="0">
                <a:srgbClr val="000000">
                  <a:alpha val="50000"/>
                </a:srgbClr>
              </a:outerShdw>
            </a:effectLst>
          </c:spPr>
          <c:marker>
            <c:symbol val="none"/>
          </c:marker>
          <c:cat>
            <c:strRef>
              <c:f>imp.d!$A$32:$A$46</c:f>
              <c:strCache>
                <c:ptCount val="15"/>
                <c:pt idx="0">
                  <c:v>I 2016</c:v>
                </c:pt>
                <c:pt idx="1">
                  <c:v>II 2016</c:v>
                </c:pt>
                <c:pt idx="2">
                  <c:v>III 2016</c:v>
                </c:pt>
                <c:pt idx="3">
                  <c:v>IV 2016</c:v>
                </c:pt>
                <c:pt idx="4">
                  <c:v>I 2017</c:v>
                </c:pt>
                <c:pt idx="5">
                  <c:v>II 2017</c:v>
                </c:pt>
                <c:pt idx="6">
                  <c:v>III 2017</c:v>
                </c:pt>
                <c:pt idx="7">
                  <c:v>IV 2017</c:v>
                </c:pt>
                <c:pt idx="8">
                  <c:v>I 2018</c:v>
                </c:pt>
                <c:pt idx="9">
                  <c:v>II 2018</c:v>
                </c:pt>
                <c:pt idx="10">
                  <c:v>III 2018</c:v>
                </c:pt>
                <c:pt idx="11">
                  <c:v>IV 2018</c:v>
                </c:pt>
                <c:pt idx="12">
                  <c:v>I 2019</c:v>
                </c:pt>
                <c:pt idx="13">
                  <c:v>II 2019</c:v>
                </c:pt>
                <c:pt idx="14">
                  <c:v>III 2019</c:v>
                </c:pt>
              </c:strCache>
            </c:strRef>
          </c:cat>
          <c:val>
            <c:numRef>
              <c:f>imp.d!$E$82:$E$96</c:f>
              <c:numCache>
                <c:formatCode>0.0%</c:formatCode>
                <c:ptCount val="15"/>
                <c:pt idx="0">
                  <c:v>-0.1877401627400338</c:v>
                </c:pt>
                <c:pt idx="1">
                  <c:v>-0.19525997504450177</c:v>
                </c:pt>
                <c:pt idx="2">
                  <c:v>-0.13572818274204201</c:v>
                </c:pt>
                <c:pt idx="3">
                  <c:v>-3.054764349040151E-2</c:v>
                </c:pt>
                <c:pt idx="4">
                  <c:v>9.7177667021242087E-2</c:v>
                </c:pt>
                <c:pt idx="5">
                  <c:v>0.15995681918337867</c:v>
                </c:pt>
                <c:pt idx="6">
                  <c:v>0.15099133311819468</c:v>
                </c:pt>
                <c:pt idx="7">
                  <c:v>0.19825135420967821</c:v>
                </c:pt>
                <c:pt idx="8">
                  <c:v>0.10826585627439345</c:v>
                </c:pt>
                <c:pt idx="9">
                  <c:v>0.21546633477870292</c:v>
                </c:pt>
                <c:pt idx="10">
                  <c:v>0.2713050403219317</c:v>
                </c:pt>
                <c:pt idx="11">
                  <c:v>0.1704893078716303</c:v>
                </c:pt>
                <c:pt idx="12">
                  <c:v>0.11733380798913151</c:v>
                </c:pt>
                <c:pt idx="13">
                  <c:v>-1.6980229758502219E-2</c:v>
                </c:pt>
                <c:pt idx="14">
                  <c:v>-2.8710488900841158E-2</c:v>
                </c:pt>
              </c:numCache>
            </c:numRef>
          </c:val>
          <c:smooth val="0"/>
          <c:extLst xmlns:c16r2="http://schemas.microsoft.com/office/drawing/2015/06/chart">
            <c:ext xmlns:c16="http://schemas.microsoft.com/office/drawing/2014/chart" uri="{C3380CC4-5D6E-409C-BE32-E72D297353CC}">
              <c16:uniqueId val="{00000003-3A57-49FD-8A18-D8CCF7447CB1}"/>
            </c:ext>
          </c:extLst>
        </c:ser>
        <c:dLbls>
          <c:showLegendKey val="0"/>
          <c:showVal val="0"/>
          <c:showCatName val="0"/>
          <c:showSerName val="0"/>
          <c:showPercent val="0"/>
          <c:showBubbleSize val="0"/>
        </c:dLbls>
        <c:marker val="1"/>
        <c:smooth val="0"/>
        <c:axId val="73544832"/>
        <c:axId val="73546368"/>
      </c:lineChart>
      <c:catAx>
        <c:axId val="73544832"/>
        <c:scaling>
          <c:orientation val="minMax"/>
        </c:scaling>
        <c:delete val="0"/>
        <c:axPos val="b"/>
        <c:numFmt formatCode="General" sourceLinked="0"/>
        <c:majorTickMark val="cross"/>
        <c:minorTickMark val="none"/>
        <c:tickLblPos val="low"/>
        <c:spPr>
          <a:ln>
            <a:prstDash val="lgDash"/>
          </a:ln>
        </c:spPr>
        <c:crossAx val="73546368"/>
        <c:crosses val="autoZero"/>
        <c:auto val="0"/>
        <c:lblAlgn val="ctr"/>
        <c:lblOffset val="100"/>
        <c:noMultiLvlLbl val="0"/>
      </c:catAx>
      <c:valAx>
        <c:axId val="73546368"/>
        <c:scaling>
          <c:orientation val="minMax"/>
          <c:max val="0.27500000000000002"/>
        </c:scaling>
        <c:delete val="0"/>
        <c:axPos val="l"/>
        <c:numFmt formatCode="0.0%" sourceLinked="1"/>
        <c:majorTickMark val="out"/>
        <c:minorTickMark val="none"/>
        <c:tickLblPos val="nextTo"/>
        <c:crossAx val="73544832"/>
        <c:crosses val="autoZero"/>
        <c:crossBetween val="between"/>
      </c:valAx>
    </c:plotArea>
    <c:legend>
      <c:legendPos val="b"/>
      <c:layout>
        <c:manualLayout>
          <c:xMode val="edge"/>
          <c:yMode val="edge"/>
          <c:x val="1.6796688222792285E-2"/>
          <c:y val="0.79150902832749381"/>
          <c:w val="0.97919521777625851"/>
          <c:h val="0.13628992959470093"/>
        </c:manualLayout>
      </c:layout>
      <c:overlay val="0"/>
      <c:spPr>
        <a:ln>
          <a:noFill/>
        </a:ln>
      </c:spPr>
      <c:txPr>
        <a:bodyPr/>
        <a:lstStyle/>
        <a:p>
          <a:pPr>
            <a:defRPr sz="600"/>
          </a:pPr>
          <a:endParaRPr lang="es-ES"/>
        </a:p>
      </c:txPr>
    </c:legend>
    <c:plotVisOnly val="1"/>
    <c:dispBlanksAs val="gap"/>
    <c:showDLblsOverMax val="0"/>
  </c:chart>
  <c:spPr>
    <a:ln>
      <a:noFill/>
    </a:ln>
  </c:spPr>
  <c:txPr>
    <a:bodyPr/>
    <a:lstStyle/>
    <a:p>
      <a:pPr>
        <a:defRPr sz="700">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s-GT" sz="1200"/>
              <a:t>Recaudación Tributaria</a:t>
            </a:r>
          </a:p>
          <a:p>
            <a:pPr>
              <a:defRPr sz="1050" b="1" i="0" u="none" strike="noStrike" kern="1200" cap="none"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es-GT" sz="1000" b="0"/>
              <a:t>Millones de Quetzales</a:t>
            </a:r>
          </a:p>
        </c:rich>
      </c:tx>
      <c:overlay val="0"/>
      <c:spPr>
        <a:noFill/>
        <a:ln>
          <a:noFill/>
        </a:ln>
        <a:effectLst/>
      </c:spPr>
    </c:title>
    <c:autoTitleDeleted val="0"/>
    <c:plotArea>
      <c:layout>
        <c:manualLayout>
          <c:layoutTarget val="inner"/>
          <c:xMode val="edge"/>
          <c:yMode val="edge"/>
          <c:x val="0.11747234475271742"/>
          <c:y val="0.18237099023709902"/>
          <c:w val="0.87903725385112197"/>
          <c:h val="0.6480364859335549"/>
        </c:manualLayout>
      </c:layout>
      <c:barChart>
        <c:barDir val="col"/>
        <c:grouping val="stacked"/>
        <c:varyColors val="0"/>
        <c:ser>
          <c:idx val="0"/>
          <c:order val="0"/>
          <c:tx>
            <c:strRef>
              <c:f>Hoja1!$B$1</c:f>
              <c:strCache>
                <c:ptCount val="1"/>
                <c:pt idx="0">
                  <c:v>Tributarios</c:v>
                </c:pt>
              </c:strCache>
            </c:strRef>
          </c:tx>
          <c:spPr>
            <a:solidFill>
              <a:schemeClr val="accent1"/>
            </a:solidFill>
            <a:ln>
              <a:noFill/>
            </a:ln>
            <a:effectLst>
              <a:glow rad="63500">
                <a:schemeClr val="accent4">
                  <a:satMod val="175000"/>
                  <a:alpha val="40000"/>
                </a:schemeClr>
              </a:glow>
            </a:effectLst>
            <a:scene3d>
              <a:camera prst="orthographicFront"/>
              <a:lightRig rig="threePt" dir="t"/>
            </a:scene3d>
            <a:sp3d>
              <a:bevelT/>
            </a:sp3d>
          </c:spPr>
          <c:invertIfNegative val="0"/>
          <c:dPt>
            <c:idx val="0"/>
            <c:invertIfNegative val="0"/>
            <c:bubble3D val="0"/>
            <c:spPr>
              <a:solidFill>
                <a:srgbClr val="0070C0"/>
              </a:solidFill>
              <a:ln>
                <a:noFill/>
              </a:ln>
              <a:effectLst>
                <a:glow rad="63500">
                  <a:schemeClr val="accent4">
                    <a:satMod val="175000"/>
                    <a:alpha val="40000"/>
                  </a:schemeClr>
                </a:glo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DC6E-4914-ADD7-F9466EDA9A55}"/>
              </c:ext>
            </c:extLst>
          </c:dPt>
          <c:dPt>
            <c:idx val="1"/>
            <c:invertIfNegative val="0"/>
            <c:bubble3D val="0"/>
            <c:spPr>
              <a:solidFill>
                <a:srgbClr val="0070C0"/>
              </a:solidFill>
              <a:ln>
                <a:noFill/>
              </a:ln>
              <a:effectLst>
                <a:glow rad="63500">
                  <a:schemeClr val="accent4">
                    <a:satMod val="175000"/>
                    <a:alpha val="40000"/>
                  </a:schemeClr>
                </a:glo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DC6E-4914-ADD7-F9466EDA9A55}"/>
              </c:ext>
            </c:extLst>
          </c:dPt>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Hoja1!$A$2:$A$3</c:f>
              <c:strCache>
                <c:ptCount val="2"/>
                <c:pt idx="0">
                  <c:v>Presupuesto</c:v>
                </c:pt>
                <c:pt idx="1">
                  <c:v>Observado</c:v>
                </c:pt>
              </c:strCache>
            </c:strRef>
          </c:cat>
          <c:val>
            <c:numRef>
              <c:f>Hoja1!$B$2:$B$3</c:f>
              <c:numCache>
                <c:formatCode>General</c:formatCode>
                <c:ptCount val="2"/>
                <c:pt idx="0">
                  <c:v>64027.700000020013</c:v>
                </c:pt>
                <c:pt idx="1">
                  <c:v>62000</c:v>
                </c:pt>
              </c:numCache>
            </c:numRef>
          </c:val>
          <c:extLst xmlns:c16r2="http://schemas.microsoft.com/office/drawing/2015/06/chart">
            <c:ext xmlns:c16="http://schemas.microsoft.com/office/drawing/2014/chart" uri="{C3380CC4-5D6E-409C-BE32-E72D297353CC}">
              <c16:uniqueId val="{00000004-DC6E-4914-ADD7-F9466EDA9A55}"/>
            </c:ext>
          </c:extLst>
        </c:ser>
        <c:ser>
          <c:idx val="1"/>
          <c:order val="1"/>
          <c:tx>
            <c:strRef>
              <c:f>Hoja1!$C$1</c:f>
              <c:strCache>
                <c:ptCount val="1"/>
                <c:pt idx="0">
                  <c:v>Provisión</c:v>
                </c:pt>
              </c:strCache>
            </c:strRef>
          </c:tx>
          <c:spPr>
            <a:solidFill>
              <a:srgbClr val="FF0000"/>
            </a:solidFill>
            <a:ln>
              <a:noFill/>
            </a:ln>
            <a:effectLst>
              <a:glow rad="63500">
                <a:schemeClr val="accent4">
                  <a:satMod val="175000"/>
                  <a:alpha val="40000"/>
                </a:schemeClr>
              </a:glow>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Hoja1!$A$2:$A$3</c:f>
              <c:strCache>
                <c:ptCount val="2"/>
                <c:pt idx="0">
                  <c:v>Presupuesto</c:v>
                </c:pt>
                <c:pt idx="1">
                  <c:v>Observado</c:v>
                </c:pt>
              </c:strCache>
            </c:strRef>
          </c:cat>
          <c:val>
            <c:numRef>
              <c:f>Hoja1!$C$2:$C$3</c:f>
              <c:numCache>
                <c:formatCode>General</c:formatCode>
                <c:ptCount val="2"/>
                <c:pt idx="1">
                  <c:v>593.6</c:v>
                </c:pt>
              </c:numCache>
            </c:numRef>
          </c:val>
          <c:extLst xmlns:c16r2="http://schemas.microsoft.com/office/drawing/2015/06/chart">
            <c:ext xmlns:c16="http://schemas.microsoft.com/office/drawing/2014/chart" uri="{C3380CC4-5D6E-409C-BE32-E72D297353CC}">
              <c16:uniqueId val="{00000005-DC6E-4914-ADD7-F9466EDA9A55}"/>
            </c:ext>
          </c:extLst>
        </c:ser>
        <c:dLbls>
          <c:showLegendKey val="0"/>
          <c:showVal val="0"/>
          <c:showCatName val="0"/>
          <c:showSerName val="0"/>
          <c:showPercent val="0"/>
          <c:showBubbleSize val="0"/>
        </c:dLbls>
        <c:gapWidth val="30"/>
        <c:overlap val="100"/>
        <c:axId val="55743616"/>
        <c:axId val="55745152"/>
      </c:barChart>
      <c:catAx>
        <c:axId val="557436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55745152"/>
        <c:crosses val="autoZero"/>
        <c:auto val="1"/>
        <c:lblAlgn val="ctr"/>
        <c:lblOffset val="100"/>
        <c:noMultiLvlLbl val="0"/>
      </c:catAx>
      <c:valAx>
        <c:axId val="55745152"/>
        <c:scaling>
          <c:orientation val="minMax"/>
          <c:min val="59000"/>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55743616"/>
        <c:crosses val="autoZero"/>
        <c:crossBetween val="between"/>
      </c:valAx>
      <c:spPr>
        <a:pattFill prst="ltDnDiag">
          <a:fgClr>
            <a:srgbClr val="000000">
              <a:alpha val="0"/>
            </a:srgbClr>
          </a:fgClr>
          <a:bgClr>
            <a:srgbClr val="FFFFFF"/>
          </a:bgClr>
        </a:pattFill>
        <a:ln w="25400">
          <a:noFill/>
        </a:ln>
        <a:effectLst/>
      </c:spPr>
    </c:plotArea>
    <c:legend>
      <c:legendPos val="b"/>
      <c:layout>
        <c:manualLayout>
          <c:xMode val="edge"/>
          <c:yMode val="edge"/>
          <c:x val="0.55077379725440079"/>
          <c:y val="0.19740388100023057"/>
          <c:w val="0.41439694383751768"/>
          <c:h val="0.1108509725257726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GT" sz="1000"/>
              <a:t>Tasa de variación interanual de Exportaciones e Importaciones </a:t>
            </a:r>
          </a:p>
        </c:rich>
      </c:tx>
      <c:layout>
        <c:manualLayout>
          <c:xMode val="edge"/>
          <c:yMode val="edge"/>
          <c:x val="0.12796453904536778"/>
          <c:y val="2.448710488879252E-3"/>
        </c:manualLayout>
      </c:layout>
      <c:overlay val="0"/>
    </c:title>
    <c:autoTitleDeleted val="0"/>
    <c:plotArea>
      <c:layout>
        <c:manualLayout>
          <c:layoutTarget val="inner"/>
          <c:xMode val="edge"/>
          <c:yMode val="edge"/>
          <c:x val="0.10963146729946428"/>
          <c:y val="0.18417758508931326"/>
          <c:w val="0.88664185812389895"/>
          <c:h val="0.59059188969740684"/>
        </c:manualLayout>
      </c:layout>
      <c:barChart>
        <c:barDir val="col"/>
        <c:grouping val="clustered"/>
        <c:varyColors val="0"/>
        <c:ser>
          <c:idx val="0"/>
          <c:order val="0"/>
          <c:tx>
            <c:strRef>
              <c:f>gráfica!$G$66</c:f>
              <c:strCache>
                <c:ptCount val="1"/>
                <c:pt idx="0">
                  <c:v>Exportaciones FOB</c:v>
                </c:pt>
              </c:strCache>
            </c:strRef>
          </c:tx>
          <c:spPr>
            <a:effectLst>
              <a:outerShdw blurRad="50800" dist="38100" dir="2700000" algn="tl" rotWithShape="0">
                <a:prstClr val="black">
                  <a:alpha val="40000"/>
                </a:prstClr>
              </a:outerShdw>
            </a:effectLst>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gráfica!$F$67:$F$72</c:f>
              <c:numCache>
                <c:formatCode>0</c:formatCode>
                <c:ptCount val="6"/>
                <c:pt idx="0">
                  <c:v>2014</c:v>
                </c:pt>
                <c:pt idx="1">
                  <c:v>2015</c:v>
                </c:pt>
                <c:pt idx="2">
                  <c:v>2016</c:v>
                </c:pt>
                <c:pt idx="3">
                  <c:v>2017</c:v>
                </c:pt>
                <c:pt idx="4">
                  <c:v>2018</c:v>
                </c:pt>
                <c:pt idx="5">
                  <c:v>2019</c:v>
                </c:pt>
              </c:numCache>
            </c:numRef>
          </c:cat>
          <c:val>
            <c:numRef>
              <c:f>gráfica!$G$67:$G$72</c:f>
              <c:numCache>
                <c:formatCode>0.0%</c:formatCode>
                <c:ptCount val="6"/>
                <c:pt idx="0">
                  <c:v>8.2213346497232553E-2</c:v>
                </c:pt>
                <c:pt idx="1">
                  <c:v>-3.0979923741458193E-2</c:v>
                </c:pt>
                <c:pt idx="2">
                  <c:v>-1.2365684787065789E-2</c:v>
                </c:pt>
                <c:pt idx="3">
                  <c:v>7.4736531973128129E-2</c:v>
                </c:pt>
                <c:pt idx="4">
                  <c:v>-1.9756657714478099E-3</c:v>
                </c:pt>
                <c:pt idx="5">
                  <c:v>1.4810022084893459E-2</c:v>
                </c:pt>
              </c:numCache>
            </c:numRef>
          </c:val>
          <c:extLst xmlns:c16r2="http://schemas.microsoft.com/office/drawing/2015/06/chart">
            <c:ext xmlns:c16="http://schemas.microsoft.com/office/drawing/2014/chart" uri="{C3380CC4-5D6E-409C-BE32-E72D297353CC}">
              <c16:uniqueId val="{00000000-135B-441D-B8CA-802DA7755208}"/>
            </c:ext>
          </c:extLst>
        </c:ser>
        <c:ser>
          <c:idx val="1"/>
          <c:order val="1"/>
          <c:tx>
            <c:strRef>
              <c:f>gráfica!$H$66</c:f>
              <c:strCache>
                <c:ptCount val="1"/>
                <c:pt idx="0">
                  <c:v>Importaciones FOB</c:v>
                </c:pt>
              </c:strCache>
            </c:strRef>
          </c:tx>
          <c:spPr>
            <a:solidFill>
              <a:srgbClr val="92D050"/>
            </a:solidFill>
            <a:ln>
              <a:noFill/>
            </a:ln>
            <a:effectLst>
              <a:outerShdw blurRad="50800" dist="38100" dir="2700000" algn="tl" rotWithShape="0">
                <a:prstClr val="black">
                  <a:alpha val="40000"/>
                </a:prstClr>
              </a:outerShdw>
            </a:effectLst>
          </c:spPr>
          <c:invertIfNegative val="0"/>
          <c:dPt>
            <c:idx val="3"/>
            <c:invertIfNegative val="0"/>
            <c:bubble3D val="0"/>
            <c:spPr>
              <a:solidFill>
                <a:schemeClr val="accent3"/>
              </a:solidFill>
              <a:ln>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2-135B-441D-B8CA-802DA7755208}"/>
              </c:ext>
            </c:extLst>
          </c:dPt>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gráfica!$F$67:$F$72</c:f>
              <c:numCache>
                <c:formatCode>0</c:formatCode>
                <c:ptCount val="6"/>
                <c:pt idx="0">
                  <c:v>2014</c:v>
                </c:pt>
                <c:pt idx="1">
                  <c:v>2015</c:v>
                </c:pt>
                <c:pt idx="2">
                  <c:v>2016</c:v>
                </c:pt>
                <c:pt idx="3">
                  <c:v>2017</c:v>
                </c:pt>
                <c:pt idx="4">
                  <c:v>2018</c:v>
                </c:pt>
                <c:pt idx="5">
                  <c:v>2019</c:v>
                </c:pt>
              </c:numCache>
            </c:numRef>
          </c:cat>
          <c:val>
            <c:numRef>
              <c:f>gráfica!$H$67:$H$72</c:f>
              <c:numCache>
                <c:formatCode>0.0%</c:formatCode>
                <c:ptCount val="6"/>
                <c:pt idx="0">
                  <c:v>4.8355690447013489E-2</c:v>
                </c:pt>
                <c:pt idx="1">
                  <c:v>-3.9199556870762819E-2</c:v>
                </c:pt>
                <c:pt idx="2">
                  <c:v>-2.9817989333565276E-2</c:v>
                </c:pt>
                <c:pt idx="3">
                  <c:v>9.3154220491155737E-2</c:v>
                </c:pt>
                <c:pt idx="4">
                  <c:v>7.4832420649491027E-2</c:v>
                </c:pt>
                <c:pt idx="5">
                  <c:v>1.9992889671948122E-2</c:v>
                </c:pt>
              </c:numCache>
            </c:numRef>
          </c:val>
          <c:extLst xmlns:c16r2="http://schemas.microsoft.com/office/drawing/2015/06/chart">
            <c:ext xmlns:c16="http://schemas.microsoft.com/office/drawing/2014/chart" uri="{C3380CC4-5D6E-409C-BE32-E72D297353CC}">
              <c16:uniqueId val="{00000003-135B-441D-B8CA-802DA7755208}"/>
            </c:ext>
          </c:extLst>
        </c:ser>
        <c:dLbls>
          <c:showLegendKey val="0"/>
          <c:showVal val="0"/>
          <c:showCatName val="0"/>
          <c:showSerName val="0"/>
          <c:showPercent val="0"/>
          <c:showBubbleSize val="0"/>
        </c:dLbls>
        <c:gapWidth val="0"/>
        <c:axId val="73582848"/>
        <c:axId val="73601024"/>
      </c:barChart>
      <c:catAx>
        <c:axId val="73582848"/>
        <c:scaling>
          <c:orientation val="minMax"/>
        </c:scaling>
        <c:delete val="0"/>
        <c:axPos val="b"/>
        <c:numFmt formatCode="0" sourceLinked="1"/>
        <c:majorTickMark val="out"/>
        <c:minorTickMark val="none"/>
        <c:tickLblPos val="low"/>
        <c:crossAx val="73601024"/>
        <c:crosses val="autoZero"/>
        <c:auto val="1"/>
        <c:lblAlgn val="ctr"/>
        <c:lblOffset val="100"/>
        <c:noMultiLvlLbl val="0"/>
      </c:catAx>
      <c:valAx>
        <c:axId val="73601024"/>
        <c:scaling>
          <c:orientation val="minMax"/>
          <c:max val="9.0000000000000024E-2"/>
          <c:min val="-4.5000000000000012E-2"/>
        </c:scaling>
        <c:delete val="0"/>
        <c:axPos val="l"/>
        <c:numFmt formatCode="0.0%" sourceLinked="1"/>
        <c:majorTickMark val="out"/>
        <c:minorTickMark val="none"/>
        <c:tickLblPos val="nextTo"/>
        <c:crossAx val="73582848"/>
        <c:crosses val="autoZero"/>
        <c:crossBetween val="between"/>
      </c:valAx>
    </c:plotArea>
    <c:legend>
      <c:legendPos val="b"/>
      <c:layout>
        <c:manualLayout>
          <c:xMode val="edge"/>
          <c:yMode val="edge"/>
          <c:x val="0.11030350130154225"/>
          <c:y val="0.87082897301506879"/>
          <c:w val="0.7702606694711106"/>
          <c:h val="8.4573942427237078E-2"/>
        </c:manualLayout>
      </c:layout>
      <c:overlay val="0"/>
    </c:legend>
    <c:plotVisOnly val="1"/>
    <c:dispBlanksAs val="gap"/>
    <c:showDLblsOverMax val="0"/>
  </c:chart>
  <c:spPr>
    <a:ln>
      <a:noFill/>
    </a:ln>
  </c:spPr>
  <c:txPr>
    <a:bodyPr/>
    <a:lstStyle/>
    <a:p>
      <a:pPr>
        <a:defRPr sz="700">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Variación promedio anual de precios y valor en Dólares</a:t>
            </a:r>
          </a:p>
        </c:rich>
      </c:tx>
      <c:overlay val="0"/>
      <c:spPr>
        <a:noFill/>
        <a:ln>
          <a:noFill/>
        </a:ln>
        <a:effectLst/>
      </c:spPr>
    </c:title>
    <c:autoTitleDeleted val="0"/>
    <c:plotArea>
      <c:layout/>
      <c:lineChart>
        <c:grouping val="standard"/>
        <c:varyColors val="0"/>
        <c:ser>
          <c:idx val="0"/>
          <c:order val="0"/>
          <c:tx>
            <c:strRef>
              <c:f>Sheet6!$F$8</c:f>
              <c:strCache>
                <c:ptCount val="1"/>
                <c:pt idx="0">
                  <c:v>WTI</c:v>
                </c:pt>
              </c:strCache>
            </c:strRef>
          </c:tx>
          <c:spPr>
            <a:ln w="28575" cap="rnd">
              <a:solidFill>
                <a:schemeClr val="accent1"/>
              </a:solidFill>
              <a:round/>
            </a:ln>
            <a:effectLst>
              <a:outerShdw blurRad="50800" dist="38100" dir="2700000" algn="tl" rotWithShape="0">
                <a:prstClr val="black">
                  <a:alpha val="40000"/>
                </a:prstClr>
              </a:outerShdw>
            </a:effectLst>
          </c:spPr>
          <c:marker>
            <c:symbol val="none"/>
          </c:marker>
          <c:cat>
            <c:strRef>
              <c:f>Sheet6!$A$34:$A$73</c:f>
              <c:strCache>
                <c:ptCount val="40"/>
                <c:pt idx="0">
                  <c:v>I-2010</c:v>
                </c:pt>
                <c:pt idx="1">
                  <c:v>II-2010</c:v>
                </c:pt>
                <c:pt idx="2">
                  <c:v>III-2010</c:v>
                </c:pt>
                <c:pt idx="3">
                  <c:v>IV-2010</c:v>
                </c:pt>
                <c:pt idx="4">
                  <c:v>I-2011</c:v>
                </c:pt>
                <c:pt idx="5">
                  <c:v>II-2011</c:v>
                </c:pt>
                <c:pt idx="6">
                  <c:v>III-2011</c:v>
                </c:pt>
                <c:pt idx="7">
                  <c:v>IV-2011</c:v>
                </c:pt>
                <c:pt idx="8">
                  <c:v>I-2012</c:v>
                </c:pt>
                <c:pt idx="9">
                  <c:v>II-2012</c:v>
                </c:pt>
                <c:pt idx="10">
                  <c:v>III-2012</c:v>
                </c:pt>
                <c:pt idx="11">
                  <c:v>IV-2012</c:v>
                </c:pt>
                <c:pt idx="12">
                  <c:v>I-2013</c:v>
                </c:pt>
                <c:pt idx="13">
                  <c:v>II-2013</c:v>
                </c:pt>
                <c:pt idx="14">
                  <c:v>III-2013</c:v>
                </c:pt>
                <c:pt idx="15">
                  <c:v>IV-2013</c:v>
                </c:pt>
                <c:pt idx="16">
                  <c:v>I-2014</c:v>
                </c:pt>
                <c:pt idx="17">
                  <c:v>II-2014</c:v>
                </c:pt>
                <c:pt idx="18">
                  <c:v>III-2014</c:v>
                </c:pt>
                <c:pt idx="19">
                  <c:v>IV-2014</c:v>
                </c:pt>
                <c:pt idx="20">
                  <c:v>I-2015</c:v>
                </c:pt>
                <c:pt idx="21">
                  <c:v>II-2015</c:v>
                </c:pt>
                <c:pt idx="22">
                  <c:v>III-2015</c:v>
                </c:pt>
                <c:pt idx="23">
                  <c:v>IV-2015</c:v>
                </c:pt>
                <c:pt idx="24">
                  <c:v>I-2016</c:v>
                </c:pt>
                <c:pt idx="25">
                  <c:v>II-2016</c:v>
                </c:pt>
                <c:pt idx="26">
                  <c:v>III-2016</c:v>
                </c:pt>
                <c:pt idx="27">
                  <c:v>IV-2016</c:v>
                </c:pt>
                <c:pt idx="28">
                  <c:v>I-2017</c:v>
                </c:pt>
                <c:pt idx="29">
                  <c:v>II-2017</c:v>
                </c:pt>
                <c:pt idx="30">
                  <c:v>III-2017</c:v>
                </c:pt>
                <c:pt idx="31">
                  <c:v>IV-2017</c:v>
                </c:pt>
                <c:pt idx="32">
                  <c:v>I-2018</c:v>
                </c:pt>
                <c:pt idx="33">
                  <c:v>II-2018</c:v>
                </c:pt>
                <c:pt idx="34">
                  <c:v>III-2018</c:v>
                </c:pt>
                <c:pt idx="35">
                  <c:v>IV-2018</c:v>
                </c:pt>
                <c:pt idx="36">
                  <c:v>I-2019</c:v>
                </c:pt>
                <c:pt idx="37">
                  <c:v>II-2019</c:v>
                </c:pt>
                <c:pt idx="38">
                  <c:v>III-2019</c:v>
                </c:pt>
                <c:pt idx="39">
                  <c:v>IV-2019</c:v>
                </c:pt>
              </c:strCache>
            </c:strRef>
          </c:cat>
          <c:val>
            <c:numRef>
              <c:f>Sheet6!$F$34:$F$72</c:f>
              <c:numCache>
                <c:formatCode>0%</c:formatCode>
                <c:ptCount val="39"/>
                <c:pt idx="0">
                  <c:v>-0.17722927322329296</c:v>
                </c:pt>
                <c:pt idx="1">
                  <c:v>7.8488423022010201E-2</c:v>
                </c:pt>
                <c:pt idx="2">
                  <c:v>0.34865042768873455</c:v>
                </c:pt>
                <c:pt idx="3">
                  <c:v>0.28690451115085769</c:v>
                </c:pt>
                <c:pt idx="4">
                  <c:v>0.17816442470378213</c:v>
                </c:pt>
                <c:pt idx="5">
                  <c:v>0.18852855959327952</c:v>
                </c:pt>
                <c:pt idx="6">
                  <c:v>0.20295908395000573</c:v>
                </c:pt>
                <c:pt idx="7">
                  <c:v>0.19698057878159636</c:v>
                </c:pt>
                <c:pt idx="8">
                  <c:v>0.16882505989205576</c:v>
                </c:pt>
                <c:pt idx="9">
                  <c:v>6.2696785402480693E-2</c:v>
                </c:pt>
                <c:pt idx="10">
                  <c:v>3.0182857906198679E-2</c:v>
                </c:pt>
                <c:pt idx="11">
                  <c:v>-9.503415686442418E-3</c:v>
                </c:pt>
                <c:pt idx="12">
                  <c:v>-5.4059653369225358E-2</c:v>
                </c:pt>
                <c:pt idx="13">
                  <c:v>-2.9239728094696882E-2</c:v>
                </c:pt>
                <c:pt idx="14">
                  <c:v>-6.6967569340992128E-6</c:v>
                </c:pt>
                <c:pt idx="15">
                  <c:v>4.0271556274327214E-2</c:v>
                </c:pt>
                <c:pt idx="16">
                  <c:v>7.6252707342283843E-2</c:v>
                </c:pt>
                <c:pt idx="17">
                  <c:v>9.8246868140894339E-2</c:v>
                </c:pt>
                <c:pt idx="18">
                  <c:v>3.7678794780614755E-2</c:v>
                </c:pt>
                <c:pt idx="19">
                  <c:v>-4.9010857459122703E-2</c:v>
                </c:pt>
                <c:pt idx="20">
                  <c:v>-0.18594028371989013</c:v>
                </c:pt>
                <c:pt idx="21">
                  <c:v>-0.31598728222319439</c:v>
                </c:pt>
                <c:pt idx="22">
                  <c:v>-0.43048365075474826</c:v>
                </c:pt>
                <c:pt idx="23">
                  <c:v>-0.47658926387507738</c:v>
                </c:pt>
                <c:pt idx="24">
                  <c:v>-0.44317904977252165</c:v>
                </c:pt>
                <c:pt idx="25">
                  <c:v>-0.39614416374012806</c:v>
                </c:pt>
                <c:pt idx="26">
                  <c:v>-0.26663384053450911</c:v>
                </c:pt>
                <c:pt idx="27">
                  <c:v>-0.11326495573541162</c:v>
                </c:pt>
                <c:pt idx="28">
                  <c:v>6.6344308940036401E-2</c:v>
                </c:pt>
                <c:pt idx="29">
                  <c:v>0.16094300217605917</c:v>
                </c:pt>
                <c:pt idx="30">
                  <c:v>0.19122292338642022</c:v>
                </c:pt>
                <c:pt idx="31">
                  <c:v>0.17808473846840256</c:v>
                </c:pt>
                <c:pt idx="32">
                  <c:v>0.12130059678378946</c:v>
                </c:pt>
                <c:pt idx="33">
                  <c:v>0.20622473930100016</c:v>
                </c:pt>
                <c:pt idx="34">
                  <c:v>0.29598195626288692</c:v>
                </c:pt>
                <c:pt idx="35">
                  <c:v>0.27219196035937343</c:v>
                </c:pt>
                <c:pt idx="36">
                  <c:v>0.16959801224120574</c:v>
                </c:pt>
                <c:pt idx="37">
                  <c:v>3.6915726659662917E-2</c:v>
                </c:pt>
                <c:pt idx="38">
                  <c:v>-0.1025969469411846</c:v>
                </c:pt>
              </c:numCache>
            </c:numRef>
          </c:val>
          <c:smooth val="1"/>
          <c:extLst xmlns:c16r2="http://schemas.microsoft.com/office/drawing/2015/06/chart">
            <c:ext xmlns:c16="http://schemas.microsoft.com/office/drawing/2014/chart" uri="{C3380CC4-5D6E-409C-BE32-E72D297353CC}">
              <c16:uniqueId val="{00000000-7E77-4AD0-9E3D-7B9C5B278723}"/>
            </c:ext>
          </c:extLst>
        </c:ser>
        <c:dLbls>
          <c:showLegendKey val="0"/>
          <c:showVal val="0"/>
          <c:showCatName val="0"/>
          <c:showSerName val="0"/>
          <c:showPercent val="0"/>
          <c:showBubbleSize val="0"/>
        </c:dLbls>
        <c:marker val="1"/>
        <c:smooth val="0"/>
        <c:axId val="73497600"/>
        <c:axId val="73638656"/>
      </c:lineChart>
      <c:lineChart>
        <c:grouping val="standard"/>
        <c:varyColors val="0"/>
        <c:ser>
          <c:idx val="2"/>
          <c:order val="1"/>
          <c:tx>
            <c:strRef>
              <c:f>Sheet6!$H$8</c:f>
              <c:strCache>
                <c:ptCount val="1"/>
                <c:pt idx="0">
                  <c:v>Importaciones</c:v>
                </c:pt>
              </c:strCache>
            </c:strRef>
          </c:tx>
          <c:spPr>
            <a:ln w="28575" cap="rnd">
              <a:solidFill>
                <a:srgbClr val="C00000"/>
              </a:solidFill>
              <a:round/>
            </a:ln>
            <a:effectLst>
              <a:outerShdw blurRad="50800" dist="38100" dir="2700000" algn="tl" rotWithShape="0">
                <a:prstClr val="black">
                  <a:alpha val="40000"/>
                </a:prstClr>
              </a:outerShdw>
            </a:effectLst>
          </c:spPr>
          <c:marker>
            <c:symbol val="none"/>
          </c:marker>
          <c:cat>
            <c:strRef>
              <c:f>Sheet6!$A$34:$A$73</c:f>
              <c:strCache>
                <c:ptCount val="40"/>
                <c:pt idx="0">
                  <c:v>I-2010</c:v>
                </c:pt>
                <c:pt idx="1">
                  <c:v>II-2010</c:v>
                </c:pt>
                <c:pt idx="2">
                  <c:v>III-2010</c:v>
                </c:pt>
                <c:pt idx="3">
                  <c:v>IV-2010</c:v>
                </c:pt>
                <c:pt idx="4">
                  <c:v>I-2011</c:v>
                </c:pt>
                <c:pt idx="5">
                  <c:v>II-2011</c:v>
                </c:pt>
                <c:pt idx="6">
                  <c:v>III-2011</c:v>
                </c:pt>
                <c:pt idx="7">
                  <c:v>IV-2011</c:v>
                </c:pt>
                <c:pt idx="8">
                  <c:v>I-2012</c:v>
                </c:pt>
                <c:pt idx="9">
                  <c:v>II-2012</c:v>
                </c:pt>
                <c:pt idx="10">
                  <c:v>III-2012</c:v>
                </c:pt>
                <c:pt idx="11">
                  <c:v>IV-2012</c:v>
                </c:pt>
                <c:pt idx="12">
                  <c:v>I-2013</c:v>
                </c:pt>
                <c:pt idx="13">
                  <c:v>II-2013</c:v>
                </c:pt>
                <c:pt idx="14">
                  <c:v>III-2013</c:v>
                </c:pt>
                <c:pt idx="15">
                  <c:v>IV-2013</c:v>
                </c:pt>
                <c:pt idx="16">
                  <c:v>I-2014</c:v>
                </c:pt>
                <c:pt idx="17">
                  <c:v>II-2014</c:v>
                </c:pt>
                <c:pt idx="18">
                  <c:v>III-2014</c:v>
                </c:pt>
                <c:pt idx="19">
                  <c:v>IV-2014</c:v>
                </c:pt>
                <c:pt idx="20">
                  <c:v>I-2015</c:v>
                </c:pt>
                <c:pt idx="21">
                  <c:v>II-2015</c:v>
                </c:pt>
                <c:pt idx="22">
                  <c:v>III-2015</c:v>
                </c:pt>
                <c:pt idx="23">
                  <c:v>IV-2015</c:v>
                </c:pt>
                <c:pt idx="24">
                  <c:v>I-2016</c:v>
                </c:pt>
                <c:pt idx="25">
                  <c:v>II-2016</c:v>
                </c:pt>
                <c:pt idx="26">
                  <c:v>III-2016</c:v>
                </c:pt>
                <c:pt idx="27">
                  <c:v>IV-2016</c:v>
                </c:pt>
                <c:pt idx="28">
                  <c:v>I-2017</c:v>
                </c:pt>
                <c:pt idx="29">
                  <c:v>II-2017</c:v>
                </c:pt>
                <c:pt idx="30">
                  <c:v>III-2017</c:v>
                </c:pt>
                <c:pt idx="31">
                  <c:v>IV-2017</c:v>
                </c:pt>
                <c:pt idx="32">
                  <c:v>I-2018</c:v>
                </c:pt>
                <c:pt idx="33">
                  <c:v>II-2018</c:v>
                </c:pt>
                <c:pt idx="34">
                  <c:v>III-2018</c:v>
                </c:pt>
                <c:pt idx="35">
                  <c:v>IV-2018</c:v>
                </c:pt>
                <c:pt idx="36">
                  <c:v>I-2019</c:v>
                </c:pt>
                <c:pt idx="37">
                  <c:v>II-2019</c:v>
                </c:pt>
                <c:pt idx="38">
                  <c:v>III-2019</c:v>
                </c:pt>
                <c:pt idx="39">
                  <c:v>IV-2019</c:v>
                </c:pt>
              </c:strCache>
            </c:strRef>
          </c:cat>
          <c:val>
            <c:numRef>
              <c:f>Sheet6!$H$34:$H$72</c:f>
              <c:numCache>
                <c:formatCode>0%</c:formatCode>
                <c:ptCount val="39"/>
                <c:pt idx="0">
                  <c:v>0.14381370379777447</c:v>
                </c:pt>
                <c:pt idx="1">
                  <c:v>0.17910698318822482</c:v>
                </c:pt>
                <c:pt idx="2">
                  <c:v>0.19640451435606909</c:v>
                </c:pt>
                <c:pt idx="3">
                  <c:v>0.20335106018970173</c:v>
                </c:pt>
                <c:pt idx="4">
                  <c:v>0.22821654697741178</c:v>
                </c:pt>
                <c:pt idx="5">
                  <c:v>0.23513838306167623</c:v>
                </c:pt>
                <c:pt idx="6">
                  <c:v>0.23220586554114653</c:v>
                </c:pt>
                <c:pt idx="7">
                  <c:v>0.20879047649066651</c:v>
                </c:pt>
                <c:pt idx="8">
                  <c:v>0.1589096904047369</c:v>
                </c:pt>
                <c:pt idx="9">
                  <c:v>8.3702674232898344E-2</c:v>
                </c:pt>
                <c:pt idx="10">
                  <c:v>3.0312965619836207E-2</c:v>
                </c:pt>
                <c:pt idx="11">
                  <c:v>2.3062206515550132E-2</c:v>
                </c:pt>
                <c:pt idx="12">
                  <c:v>8.7347351853284128E-3</c:v>
                </c:pt>
                <c:pt idx="13">
                  <c:v>2.7390063322951574E-2</c:v>
                </c:pt>
                <c:pt idx="14">
                  <c:v>4.8573160277115335E-2</c:v>
                </c:pt>
                <c:pt idx="15">
                  <c:v>3.2906253490892823E-2</c:v>
                </c:pt>
                <c:pt idx="16">
                  <c:v>4.4215101890376474E-2</c:v>
                </c:pt>
                <c:pt idx="17">
                  <c:v>3.1627344577163319E-2</c:v>
                </c:pt>
                <c:pt idx="18">
                  <c:v>2.9689498903624933E-2</c:v>
                </c:pt>
                <c:pt idx="19">
                  <c:v>4.2624722687251593E-2</c:v>
                </c:pt>
                <c:pt idx="20">
                  <c:v>1.6677472527996118E-2</c:v>
                </c:pt>
                <c:pt idx="21">
                  <c:v>5.1878025885243595E-4</c:v>
                </c:pt>
                <c:pt idx="22">
                  <c:v>-1.2864839791290605E-2</c:v>
                </c:pt>
                <c:pt idx="23">
                  <c:v>-3.9566893871809006E-2</c:v>
                </c:pt>
                <c:pt idx="24">
                  <c:v>-4.1979186668540502E-2</c:v>
                </c:pt>
                <c:pt idx="25">
                  <c:v>-3.3630565295295733E-2</c:v>
                </c:pt>
                <c:pt idx="26">
                  <c:v>-5.2861791833851313E-2</c:v>
                </c:pt>
                <c:pt idx="27">
                  <c:v>-3.7481719522093671E-2</c:v>
                </c:pt>
                <c:pt idx="28">
                  <c:v>4.1123727619598593E-3</c:v>
                </c:pt>
                <c:pt idx="29">
                  <c:v>1.3212275725595246E-2</c:v>
                </c:pt>
                <c:pt idx="30">
                  <c:v>5.2786538339903988E-2</c:v>
                </c:pt>
                <c:pt idx="31">
                  <c:v>8.5217462556859802E-2</c:v>
                </c:pt>
                <c:pt idx="32">
                  <c:v>6.1364359443978556E-2</c:v>
                </c:pt>
                <c:pt idx="33">
                  <c:v>9.895840618474705E-2</c:v>
                </c:pt>
                <c:pt idx="34">
                  <c:v>0.10288171223455334</c:v>
                </c:pt>
                <c:pt idx="35">
                  <c:v>6.993056474799153E-2</c:v>
                </c:pt>
                <c:pt idx="36">
                  <c:v>7.9699637436947635E-2</c:v>
                </c:pt>
                <c:pt idx="37">
                  <c:v>2.6014896004378008E-2</c:v>
                </c:pt>
                <c:pt idx="38">
                  <c:v>6.2289368473622542E-3</c:v>
                </c:pt>
              </c:numCache>
            </c:numRef>
          </c:val>
          <c:smooth val="1"/>
          <c:extLst xmlns:c16r2="http://schemas.microsoft.com/office/drawing/2015/06/chart">
            <c:ext xmlns:c16="http://schemas.microsoft.com/office/drawing/2014/chart" uri="{C3380CC4-5D6E-409C-BE32-E72D297353CC}">
              <c16:uniqueId val="{00000001-7E77-4AD0-9E3D-7B9C5B278723}"/>
            </c:ext>
          </c:extLst>
        </c:ser>
        <c:dLbls>
          <c:showLegendKey val="0"/>
          <c:showVal val="0"/>
          <c:showCatName val="0"/>
          <c:showSerName val="0"/>
          <c:showPercent val="0"/>
          <c:showBubbleSize val="0"/>
        </c:dLbls>
        <c:marker val="1"/>
        <c:smooth val="0"/>
        <c:axId val="73659136"/>
        <c:axId val="73640576"/>
      </c:lineChart>
      <c:catAx>
        <c:axId val="7349760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3638656"/>
        <c:crosses val="autoZero"/>
        <c:auto val="1"/>
        <c:lblAlgn val="ctr"/>
        <c:lblOffset val="100"/>
        <c:noMultiLvlLbl val="0"/>
      </c:catAx>
      <c:valAx>
        <c:axId val="7363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b="0">
                    <a:solidFill>
                      <a:sysClr val="windowText" lastClr="000000"/>
                    </a:solidFill>
                    <a:latin typeface="Times New Roman" panose="02020603050405020304" pitchFamily="18" charset="0"/>
                    <a:cs typeface="Times New Roman" panose="02020603050405020304" pitchFamily="18" charset="0"/>
                  </a:rPr>
                  <a:t>West</a:t>
                </a:r>
                <a:r>
                  <a:rPr lang="en-US" sz="800" b="0" baseline="0">
                    <a:solidFill>
                      <a:sysClr val="windowText" lastClr="000000"/>
                    </a:solidFill>
                    <a:latin typeface="Times New Roman" panose="02020603050405020304" pitchFamily="18" charset="0"/>
                    <a:cs typeface="Times New Roman" panose="02020603050405020304" pitchFamily="18" charset="0"/>
                  </a:rPr>
                  <a:t> Texas Intermediate</a:t>
                </a:r>
                <a:endParaRPr lang="en-US" sz="8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973743171979685E-2"/>
              <c:y val="0.25270891649594679"/>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3497600"/>
        <c:crosses val="autoZero"/>
        <c:crossBetween val="between"/>
      </c:valAx>
      <c:valAx>
        <c:axId val="73640576"/>
        <c:scaling>
          <c:orientation val="minMax"/>
          <c:max val="0.25"/>
          <c:min val="-0.25"/>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solidFill>
                      <a:sysClr val="windowText" lastClr="000000"/>
                    </a:solidFill>
                    <a:latin typeface="Times New Roman" panose="02020603050405020304" pitchFamily="18" charset="0"/>
                    <a:cs typeface="Times New Roman" panose="02020603050405020304" pitchFamily="18" charset="0"/>
                  </a:rPr>
                  <a:t>Importaciones</a:t>
                </a:r>
              </a:p>
            </c:rich>
          </c:tx>
          <c:layout>
            <c:manualLayout>
              <c:xMode val="edge"/>
              <c:yMode val="edge"/>
              <c:x val="0.89841149099182449"/>
              <c:y val="0.36274088187956099"/>
            </c:manualLayout>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73659136"/>
        <c:crosses val="max"/>
        <c:crossBetween val="between"/>
      </c:valAx>
      <c:catAx>
        <c:axId val="73659136"/>
        <c:scaling>
          <c:orientation val="minMax"/>
        </c:scaling>
        <c:delete val="1"/>
        <c:axPos val="b"/>
        <c:numFmt formatCode="General" sourceLinked="1"/>
        <c:majorTickMark val="out"/>
        <c:minorTickMark val="none"/>
        <c:tickLblPos val="nextTo"/>
        <c:crossAx val="736405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a:pPr>
            <a:r>
              <a:rPr lang="es-GT" sz="1050" b="1"/>
              <a:t>Evolución del precio del petroleo</a:t>
            </a:r>
          </a:p>
          <a:p>
            <a:pPr>
              <a:defRPr sz="1050" b="1"/>
            </a:pPr>
            <a:r>
              <a:rPr lang="es-GT" sz="1050" b="1"/>
              <a:t>2016-2019</a:t>
            </a:r>
          </a:p>
        </c:rich>
      </c:tx>
      <c:layout>
        <c:manualLayout>
          <c:xMode val="edge"/>
          <c:yMode val="edge"/>
          <c:x val="0.28003138317387744"/>
          <c:y val="1.2758926716894201E-2"/>
        </c:manualLayout>
      </c:layout>
      <c:overlay val="0"/>
    </c:title>
    <c:autoTitleDeleted val="0"/>
    <c:plotArea>
      <c:layout>
        <c:manualLayout>
          <c:layoutTarget val="inner"/>
          <c:xMode val="edge"/>
          <c:yMode val="edge"/>
          <c:x val="0.12418145824992212"/>
          <c:y val="0.17092278932759306"/>
          <c:w val="0.77068041282975219"/>
          <c:h val="0.52928831737759396"/>
        </c:manualLayout>
      </c:layout>
      <c:lineChart>
        <c:grouping val="standard"/>
        <c:varyColors val="0"/>
        <c:ser>
          <c:idx val="0"/>
          <c:order val="0"/>
          <c:tx>
            <c:strRef>
              <c:f>Hoja1!$B$1</c:f>
              <c:strCache>
                <c:ptCount val="1"/>
                <c:pt idx="0">
                  <c:v>WTI</c:v>
                </c:pt>
              </c:strCache>
            </c:strRef>
          </c:tx>
          <c:spPr>
            <a:ln w="38100"/>
            <a:effectLst>
              <a:outerShdw blurRad="165100" dist="50800" dir="5400000" algn="ctr" rotWithShape="0">
                <a:srgbClr val="000000">
                  <a:alpha val="30000"/>
                </a:srgbClr>
              </a:outerShdw>
            </a:effectLst>
          </c:spPr>
          <c:marker>
            <c:symbol val="none"/>
          </c:marker>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28-4F8D-B7C9-3F65708A645B}"/>
                </c:ext>
              </c:extLst>
            </c:dLbl>
            <c:dLbl>
              <c:idx val="4"/>
              <c:layout>
                <c:manualLayout>
                  <c:x val="-5.9662775616083012E-2"/>
                  <c:y val="-3.98505551883121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28-4F8D-B7C9-3F65708A645B}"/>
                </c:ext>
              </c:extLst>
            </c:dLbl>
            <c:dLbl>
              <c:idx val="10"/>
              <c:layout>
                <c:manualLayout>
                  <c:x val="-5.195762449419658E-2"/>
                  <c:y val="-3.97719254189167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28-4F8D-B7C9-3F65708A645B}"/>
                </c:ext>
              </c:extLst>
            </c:dLbl>
            <c:dLbl>
              <c:idx val="12"/>
              <c:layout>
                <c:manualLayout>
                  <c:x val="-3.8910505836575876E-2"/>
                  <c:y val="4.31714347873382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B28-4F8D-B7C9-3F65708A645B}"/>
                </c:ext>
              </c:extLst>
            </c:dLbl>
            <c:dLbl>
              <c:idx val="15"/>
              <c:layout>
                <c:manualLayout>
                  <c:x val="-7.1978877846348446E-2"/>
                  <c:y val="-6.96860251785869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B28-4F8D-B7C9-3F65708A645B}"/>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Hoja1!$A$58:$A$73</c:f>
              <c:strCache>
                <c:ptCount val="16"/>
                <c:pt idx="0">
                  <c:v>I-2016</c:v>
                </c:pt>
                <c:pt idx="1">
                  <c:v>II-2016</c:v>
                </c:pt>
                <c:pt idx="2">
                  <c:v>III-2016</c:v>
                </c:pt>
                <c:pt idx="3">
                  <c:v>IV-2016</c:v>
                </c:pt>
                <c:pt idx="4">
                  <c:v>I-2017</c:v>
                </c:pt>
                <c:pt idx="5">
                  <c:v>II-2017</c:v>
                </c:pt>
                <c:pt idx="6">
                  <c:v>III-2017</c:v>
                </c:pt>
                <c:pt idx="7">
                  <c:v>IV-2017</c:v>
                </c:pt>
                <c:pt idx="8">
                  <c:v>I-2018</c:v>
                </c:pt>
                <c:pt idx="9">
                  <c:v>II-2018</c:v>
                </c:pt>
                <c:pt idx="10">
                  <c:v>III-2018</c:v>
                </c:pt>
                <c:pt idx="11">
                  <c:v>IV-2018</c:v>
                </c:pt>
                <c:pt idx="12">
                  <c:v>I-2019</c:v>
                </c:pt>
                <c:pt idx="13">
                  <c:v>II-2019</c:v>
                </c:pt>
                <c:pt idx="14">
                  <c:v>III-2019</c:v>
                </c:pt>
                <c:pt idx="15">
                  <c:v>IV-2019</c:v>
                </c:pt>
              </c:strCache>
            </c:strRef>
          </c:cat>
          <c:val>
            <c:numRef>
              <c:f>Hoja1!$B$58:$B$73</c:f>
              <c:numCache>
                <c:formatCode>_(* #,##0.00_);_(* \(#,##0.00\);_(* "-"??_);_(@_)</c:formatCode>
                <c:ptCount val="16"/>
                <c:pt idx="0">
                  <c:v>33.275748792270498</c:v>
                </c:pt>
                <c:pt idx="1">
                  <c:v>45.5191341991342</c:v>
                </c:pt>
                <c:pt idx="2">
                  <c:v>44.936102641319998</c:v>
                </c:pt>
                <c:pt idx="3">
                  <c:v>49.1740187590188</c:v>
                </c:pt>
                <c:pt idx="4">
                  <c:v>51.848609354413703</c:v>
                </c:pt>
                <c:pt idx="5">
                  <c:v>48.2984308300395</c:v>
                </c:pt>
                <c:pt idx="6">
                  <c:v>48.137246376811603</c:v>
                </c:pt>
                <c:pt idx="7">
                  <c:v>55.412460317460301</c:v>
                </c:pt>
                <c:pt idx="8">
                  <c:v>62.856106719367602</c:v>
                </c:pt>
                <c:pt idx="9">
                  <c:v>67.911980676328497</c:v>
                </c:pt>
                <c:pt idx="10">
                  <c:v>69.721853096179203</c:v>
                </c:pt>
                <c:pt idx="11">
                  <c:v>58.651423238597097</c:v>
                </c:pt>
                <c:pt idx="12">
                  <c:v>54.832400276052503</c:v>
                </c:pt>
                <c:pt idx="13">
                  <c:v>59.762129117259597</c:v>
                </c:pt>
                <c:pt idx="14">
                  <c:v>56.401643139469201</c:v>
                </c:pt>
                <c:pt idx="15">
                  <c:v>56.982444632662002</c:v>
                </c:pt>
              </c:numCache>
            </c:numRef>
          </c:val>
          <c:smooth val="0"/>
          <c:extLst xmlns:c16r2="http://schemas.microsoft.com/office/drawing/2015/06/chart">
            <c:ext xmlns:c16="http://schemas.microsoft.com/office/drawing/2014/chart" uri="{C3380CC4-5D6E-409C-BE32-E72D297353CC}">
              <c16:uniqueId val="{00000005-BB28-4F8D-B7C9-3F65708A645B}"/>
            </c:ext>
          </c:extLst>
        </c:ser>
        <c:dLbls>
          <c:showLegendKey val="0"/>
          <c:showVal val="0"/>
          <c:showCatName val="0"/>
          <c:showSerName val="0"/>
          <c:showPercent val="0"/>
          <c:showBubbleSize val="0"/>
        </c:dLbls>
        <c:marker val="1"/>
        <c:smooth val="0"/>
        <c:axId val="73722112"/>
        <c:axId val="73744384"/>
      </c:lineChart>
      <c:lineChart>
        <c:grouping val="standard"/>
        <c:varyColors val="0"/>
        <c:ser>
          <c:idx val="3"/>
          <c:order val="1"/>
          <c:tx>
            <c:strRef>
              <c:f>Hoja1!$H$1</c:f>
              <c:strCache>
                <c:ptCount val="1"/>
                <c:pt idx="0">
                  <c:v>Variación promedio anual</c:v>
                </c:pt>
              </c:strCache>
            </c:strRef>
          </c:tx>
          <c:spPr>
            <a:ln>
              <a:solidFill>
                <a:schemeClr val="bg1">
                  <a:lumMod val="50000"/>
                </a:schemeClr>
              </a:solidFill>
              <a:prstDash val="sysDash"/>
            </a:ln>
            <a:effectLst>
              <a:outerShdw blurRad="165100" dir="4020000" algn="ctr" rotWithShape="0">
                <a:srgbClr val="000000">
                  <a:alpha val="49000"/>
                </a:srgbClr>
              </a:outerShdw>
            </a:effectLst>
          </c:spPr>
          <c:marker>
            <c:symbol val="none"/>
          </c:marker>
          <c:cat>
            <c:strRef>
              <c:f>Hoja1!$A$58:$A$73</c:f>
              <c:strCache>
                <c:ptCount val="16"/>
                <c:pt idx="0">
                  <c:v>I-2016</c:v>
                </c:pt>
                <c:pt idx="1">
                  <c:v>II-2016</c:v>
                </c:pt>
                <c:pt idx="2">
                  <c:v>III-2016</c:v>
                </c:pt>
                <c:pt idx="3">
                  <c:v>IV-2016</c:v>
                </c:pt>
                <c:pt idx="4">
                  <c:v>I-2017</c:v>
                </c:pt>
                <c:pt idx="5">
                  <c:v>II-2017</c:v>
                </c:pt>
                <c:pt idx="6">
                  <c:v>III-2017</c:v>
                </c:pt>
                <c:pt idx="7">
                  <c:v>IV-2017</c:v>
                </c:pt>
                <c:pt idx="8">
                  <c:v>I-2018</c:v>
                </c:pt>
                <c:pt idx="9">
                  <c:v>II-2018</c:v>
                </c:pt>
                <c:pt idx="10">
                  <c:v>III-2018</c:v>
                </c:pt>
                <c:pt idx="11">
                  <c:v>IV-2018</c:v>
                </c:pt>
                <c:pt idx="12">
                  <c:v>I-2019</c:v>
                </c:pt>
                <c:pt idx="13">
                  <c:v>II-2019</c:v>
                </c:pt>
                <c:pt idx="14">
                  <c:v>III-2019</c:v>
                </c:pt>
                <c:pt idx="15">
                  <c:v>IV-2019</c:v>
                </c:pt>
              </c:strCache>
            </c:strRef>
          </c:cat>
          <c:val>
            <c:numRef>
              <c:f>Hoja1!$H$58:$H$73</c:f>
              <c:numCache>
                <c:formatCode>0%</c:formatCode>
                <c:ptCount val="16"/>
                <c:pt idx="0">
                  <c:v>-0.44317904977252165</c:v>
                </c:pt>
                <c:pt idx="1">
                  <c:v>-0.39614416374012806</c:v>
                </c:pt>
                <c:pt idx="2">
                  <c:v>-0.26663384053450911</c:v>
                </c:pt>
                <c:pt idx="3">
                  <c:v>-0.11326495573541162</c:v>
                </c:pt>
                <c:pt idx="4">
                  <c:v>6.6344308940036401E-2</c:v>
                </c:pt>
                <c:pt idx="5">
                  <c:v>0.16094300217605917</c:v>
                </c:pt>
                <c:pt idx="6">
                  <c:v>0.19122292338642022</c:v>
                </c:pt>
                <c:pt idx="7">
                  <c:v>0.17808473846840256</c:v>
                </c:pt>
                <c:pt idx="8">
                  <c:v>0.12130059678378946</c:v>
                </c:pt>
                <c:pt idx="9">
                  <c:v>0.20622473930100016</c:v>
                </c:pt>
                <c:pt idx="10">
                  <c:v>0.29598195626288692</c:v>
                </c:pt>
                <c:pt idx="11">
                  <c:v>0.27219196035937343</c:v>
                </c:pt>
                <c:pt idx="12">
                  <c:v>0.16959801224120574</c:v>
                </c:pt>
                <c:pt idx="13">
                  <c:v>3.6915726659662917E-2</c:v>
                </c:pt>
                <c:pt idx="14">
                  <c:v>-0.1025969469411846</c:v>
                </c:pt>
                <c:pt idx="15">
                  <c:v>-0.12025384954538099</c:v>
                </c:pt>
              </c:numCache>
            </c:numRef>
          </c:val>
          <c:smooth val="0"/>
          <c:extLst xmlns:c16r2="http://schemas.microsoft.com/office/drawing/2015/06/chart">
            <c:ext xmlns:c16="http://schemas.microsoft.com/office/drawing/2014/chart" uri="{C3380CC4-5D6E-409C-BE32-E72D297353CC}">
              <c16:uniqueId val="{00000006-BB28-4F8D-B7C9-3F65708A645B}"/>
            </c:ext>
          </c:extLst>
        </c:ser>
        <c:dLbls>
          <c:showLegendKey val="0"/>
          <c:showVal val="0"/>
          <c:showCatName val="0"/>
          <c:showSerName val="0"/>
          <c:showPercent val="0"/>
          <c:showBubbleSize val="0"/>
        </c:dLbls>
        <c:marker val="1"/>
        <c:smooth val="0"/>
        <c:axId val="73748480"/>
        <c:axId val="73746304"/>
      </c:lineChart>
      <c:catAx>
        <c:axId val="73722112"/>
        <c:scaling>
          <c:orientation val="minMax"/>
        </c:scaling>
        <c:delete val="0"/>
        <c:axPos val="b"/>
        <c:numFmt formatCode="General" sourceLinked="0"/>
        <c:majorTickMark val="none"/>
        <c:minorTickMark val="none"/>
        <c:tickLblPos val="nextTo"/>
        <c:txPr>
          <a:bodyPr rot="-5400000" vert="horz"/>
          <a:lstStyle/>
          <a:p>
            <a:pPr>
              <a:defRPr/>
            </a:pPr>
            <a:endParaRPr lang="es-ES"/>
          </a:p>
        </c:txPr>
        <c:crossAx val="73744384"/>
        <c:crosses val="autoZero"/>
        <c:auto val="1"/>
        <c:lblAlgn val="ctr"/>
        <c:lblOffset val="100"/>
        <c:noMultiLvlLbl val="0"/>
      </c:catAx>
      <c:valAx>
        <c:axId val="73744384"/>
        <c:scaling>
          <c:orientation val="minMax"/>
          <c:max val="71"/>
          <c:min val="30"/>
        </c:scaling>
        <c:delete val="0"/>
        <c:axPos val="l"/>
        <c:title>
          <c:tx>
            <c:rich>
              <a:bodyPr/>
              <a:lstStyle/>
              <a:p>
                <a:pPr>
                  <a:defRPr/>
                </a:pPr>
                <a:r>
                  <a:rPr lang="es-GT"/>
                  <a:t>Precio</a:t>
                </a:r>
                <a:r>
                  <a:rPr lang="es-GT" baseline="0"/>
                  <a:t> US$ por Barril</a:t>
                </a:r>
                <a:endParaRPr lang="es-GT"/>
              </a:p>
            </c:rich>
          </c:tx>
          <c:overlay val="0"/>
        </c:title>
        <c:numFmt formatCode="#,##0.0" sourceLinked="0"/>
        <c:majorTickMark val="none"/>
        <c:minorTickMark val="none"/>
        <c:tickLblPos val="nextTo"/>
        <c:spPr>
          <a:ln w="9525">
            <a:noFill/>
          </a:ln>
        </c:spPr>
        <c:crossAx val="73722112"/>
        <c:crosses val="autoZero"/>
        <c:crossBetween val="between"/>
      </c:valAx>
      <c:valAx>
        <c:axId val="73746304"/>
        <c:scaling>
          <c:orientation val="minMax"/>
        </c:scaling>
        <c:delete val="0"/>
        <c:axPos val="r"/>
        <c:title>
          <c:tx>
            <c:rich>
              <a:bodyPr rot="5400000" vert="horz"/>
              <a:lstStyle/>
              <a:p>
                <a:pPr>
                  <a:defRPr/>
                </a:pPr>
                <a:r>
                  <a:rPr lang="es-GT"/>
                  <a:t>Variación</a:t>
                </a:r>
                <a:r>
                  <a:rPr lang="es-GT" baseline="0"/>
                  <a:t> promerio anual</a:t>
                </a:r>
                <a:endParaRPr lang="es-GT"/>
              </a:p>
            </c:rich>
          </c:tx>
          <c:overlay val="0"/>
        </c:title>
        <c:numFmt formatCode="0%" sourceLinked="1"/>
        <c:majorTickMark val="out"/>
        <c:minorTickMark val="none"/>
        <c:tickLblPos val="nextTo"/>
        <c:crossAx val="73748480"/>
        <c:crosses val="max"/>
        <c:crossBetween val="between"/>
      </c:valAx>
      <c:catAx>
        <c:axId val="73748480"/>
        <c:scaling>
          <c:orientation val="minMax"/>
        </c:scaling>
        <c:delete val="1"/>
        <c:axPos val="b"/>
        <c:numFmt formatCode="General" sourceLinked="1"/>
        <c:majorTickMark val="out"/>
        <c:minorTickMark val="none"/>
        <c:tickLblPos val="nextTo"/>
        <c:crossAx val="73746304"/>
        <c:crosses val="autoZero"/>
        <c:auto val="1"/>
        <c:lblAlgn val="ctr"/>
        <c:lblOffset val="100"/>
        <c:noMultiLvlLbl val="0"/>
      </c:catAx>
      <c:spPr>
        <a:ln w="19050"/>
      </c:spPr>
    </c:plotArea>
    <c:legend>
      <c:legendPos val="b"/>
      <c:layout>
        <c:manualLayout>
          <c:xMode val="edge"/>
          <c:yMode val="edge"/>
          <c:x val="0.20193657911966303"/>
          <c:y val="0.87026681017390817"/>
          <c:w val="0.64819710439420875"/>
          <c:h val="6.0051178153946567E-2"/>
        </c:manualLayout>
      </c:layout>
      <c:overlay val="0"/>
    </c:legend>
    <c:plotVisOnly val="1"/>
    <c:dispBlanksAs val="gap"/>
    <c:showDLblsOverMax val="0"/>
  </c:chart>
  <c:spPr>
    <a:ln>
      <a:solidFill>
        <a:schemeClr val="bg1"/>
      </a:solidFill>
    </a:ln>
  </c:spPr>
  <c:txPr>
    <a:bodyPr/>
    <a:lstStyle/>
    <a:p>
      <a:pPr>
        <a:defRPr sz="800" b="0">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GT" sz="1100"/>
              <a:t>Tasa de variación acumulada de las Exportaciones</a:t>
            </a:r>
          </a:p>
        </c:rich>
      </c:tx>
      <c:layout>
        <c:manualLayout>
          <c:xMode val="edge"/>
          <c:yMode val="edge"/>
          <c:x val="0.2025573900036689"/>
          <c:y val="0"/>
        </c:manualLayout>
      </c:layout>
      <c:overlay val="0"/>
    </c:title>
    <c:autoTitleDeleted val="0"/>
    <c:plotArea>
      <c:layout>
        <c:manualLayout>
          <c:layoutTarget val="inner"/>
          <c:xMode val="edge"/>
          <c:yMode val="edge"/>
          <c:x val="0.15326799977340963"/>
          <c:y val="0.16140803699176592"/>
          <c:w val="0.78829849506221794"/>
          <c:h val="0.55291243140062041"/>
        </c:manualLayout>
      </c:layout>
      <c:lineChart>
        <c:grouping val="standard"/>
        <c:varyColors val="0"/>
        <c:ser>
          <c:idx val="0"/>
          <c:order val="0"/>
          <c:tx>
            <c:strRef>
              <c:f>exp.d!$B$3</c:f>
              <c:strCache>
                <c:ptCount val="1"/>
                <c:pt idx="0">
                  <c:v>Articulos de vestuario</c:v>
                </c:pt>
              </c:strCache>
            </c:strRef>
          </c:tx>
          <c:spPr>
            <a:ln>
              <a:prstDash val="dash"/>
            </a:ln>
            <a:effectLst>
              <a:outerShdw blurRad="127000" dist="25400" dir="5400000" algn="ctr" rotWithShape="0">
                <a:srgbClr val="000000">
                  <a:alpha val="50000"/>
                </a:srgbClr>
              </a:outerShdw>
            </a:effectLst>
          </c:spPr>
          <c:marker>
            <c:symbol val="none"/>
          </c:marker>
          <c:cat>
            <c:strRef>
              <c:f>imp.d!$A$32:$A$46</c:f>
              <c:strCache>
                <c:ptCount val="15"/>
                <c:pt idx="0">
                  <c:v>I 2016</c:v>
                </c:pt>
                <c:pt idx="1">
                  <c:v>II 2016</c:v>
                </c:pt>
                <c:pt idx="2">
                  <c:v>III 2016</c:v>
                </c:pt>
                <c:pt idx="3">
                  <c:v>IV 2016</c:v>
                </c:pt>
                <c:pt idx="4">
                  <c:v>I 2017</c:v>
                </c:pt>
                <c:pt idx="5">
                  <c:v>II 2017</c:v>
                </c:pt>
                <c:pt idx="6">
                  <c:v>III 2017</c:v>
                </c:pt>
                <c:pt idx="7">
                  <c:v>IV 2017</c:v>
                </c:pt>
                <c:pt idx="8">
                  <c:v>I 2018</c:v>
                </c:pt>
                <c:pt idx="9">
                  <c:v>II 2018</c:v>
                </c:pt>
                <c:pt idx="10">
                  <c:v>III 2018</c:v>
                </c:pt>
                <c:pt idx="11">
                  <c:v>IV 2018</c:v>
                </c:pt>
                <c:pt idx="12">
                  <c:v>I 2019</c:v>
                </c:pt>
                <c:pt idx="13">
                  <c:v>II 2019</c:v>
                </c:pt>
                <c:pt idx="14">
                  <c:v>III 2019</c:v>
                </c:pt>
              </c:strCache>
            </c:strRef>
          </c:cat>
          <c:val>
            <c:numRef>
              <c:f>exp.d!$B$82:$B$96</c:f>
              <c:numCache>
                <c:formatCode>0.0%</c:formatCode>
                <c:ptCount val="15"/>
                <c:pt idx="0">
                  <c:v>3.8236022954088122E-2</c:v>
                </c:pt>
                <c:pt idx="1">
                  <c:v>3.3898893197692237E-2</c:v>
                </c:pt>
                <c:pt idx="2">
                  <c:v>-1.7867808408188579E-2</c:v>
                </c:pt>
                <c:pt idx="3">
                  <c:v>-4.2357770274183526E-2</c:v>
                </c:pt>
                <c:pt idx="4">
                  <c:v>-2.5401027910890384E-2</c:v>
                </c:pt>
                <c:pt idx="5">
                  <c:v>-2.6618085312576478E-2</c:v>
                </c:pt>
                <c:pt idx="6">
                  <c:v>1.978196845572544E-2</c:v>
                </c:pt>
                <c:pt idx="7">
                  <c:v>5.5937960352115956E-2</c:v>
                </c:pt>
                <c:pt idx="8">
                  <c:v>3.5519918751445223E-2</c:v>
                </c:pt>
                <c:pt idx="9">
                  <c:v>4.5759376186672807E-2</c:v>
                </c:pt>
                <c:pt idx="10">
                  <c:v>7.2198237784222075E-2</c:v>
                </c:pt>
                <c:pt idx="11">
                  <c:v>8.1980593806317614E-2</c:v>
                </c:pt>
                <c:pt idx="12">
                  <c:v>8.8916487465401817E-2</c:v>
                </c:pt>
                <c:pt idx="13">
                  <c:v>7.9252609306307287E-2</c:v>
                </c:pt>
                <c:pt idx="14">
                  <c:v>5.9417322826498253E-3</c:v>
                </c:pt>
              </c:numCache>
            </c:numRef>
          </c:val>
          <c:smooth val="0"/>
          <c:extLst xmlns:c16r2="http://schemas.microsoft.com/office/drawing/2015/06/chart">
            <c:ext xmlns:c16="http://schemas.microsoft.com/office/drawing/2014/chart" uri="{C3380CC4-5D6E-409C-BE32-E72D297353CC}">
              <c16:uniqueId val="{00000000-896F-4BA3-9959-CBD596A94334}"/>
            </c:ext>
          </c:extLst>
        </c:ser>
        <c:ser>
          <c:idx val="1"/>
          <c:order val="1"/>
          <c:tx>
            <c:strRef>
              <c:f>exp.d!$C$3</c:f>
              <c:strCache>
                <c:ptCount val="1"/>
                <c:pt idx="0">
                  <c:v>Azucar</c:v>
                </c:pt>
              </c:strCache>
            </c:strRef>
          </c:tx>
          <c:spPr>
            <a:ln>
              <a:prstDash val="sysDash"/>
            </a:ln>
            <a:effectLst>
              <a:outerShdw blurRad="127000" dist="25400" dir="5400000" algn="ctr" rotWithShape="0">
                <a:srgbClr val="000000">
                  <a:alpha val="50000"/>
                </a:srgbClr>
              </a:outerShdw>
            </a:effectLst>
          </c:spPr>
          <c:marker>
            <c:symbol val="none"/>
          </c:marker>
          <c:cat>
            <c:strRef>
              <c:f>imp.d!$A$32:$A$46</c:f>
              <c:strCache>
                <c:ptCount val="15"/>
                <c:pt idx="0">
                  <c:v>I 2016</c:v>
                </c:pt>
                <c:pt idx="1">
                  <c:v>II 2016</c:v>
                </c:pt>
                <c:pt idx="2">
                  <c:v>III 2016</c:v>
                </c:pt>
                <c:pt idx="3">
                  <c:v>IV 2016</c:v>
                </c:pt>
                <c:pt idx="4">
                  <c:v>I 2017</c:v>
                </c:pt>
                <c:pt idx="5">
                  <c:v>II 2017</c:v>
                </c:pt>
                <c:pt idx="6">
                  <c:v>III 2017</c:v>
                </c:pt>
                <c:pt idx="7">
                  <c:v>IV 2017</c:v>
                </c:pt>
                <c:pt idx="8">
                  <c:v>I 2018</c:v>
                </c:pt>
                <c:pt idx="9">
                  <c:v>II 2018</c:v>
                </c:pt>
                <c:pt idx="10">
                  <c:v>III 2018</c:v>
                </c:pt>
                <c:pt idx="11">
                  <c:v>IV 2018</c:v>
                </c:pt>
                <c:pt idx="12">
                  <c:v>I 2019</c:v>
                </c:pt>
                <c:pt idx="13">
                  <c:v>II 2019</c:v>
                </c:pt>
                <c:pt idx="14">
                  <c:v>III 2019</c:v>
                </c:pt>
              </c:strCache>
            </c:strRef>
          </c:cat>
          <c:val>
            <c:numRef>
              <c:f>exp.d!$C$82:$C$96</c:f>
              <c:numCache>
                <c:formatCode>0.0%</c:formatCode>
                <c:ptCount val="15"/>
                <c:pt idx="0">
                  <c:v>-4.5075982490010658E-2</c:v>
                </c:pt>
                <c:pt idx="1">
                  <c:v>-0.19363041872996734</c:v>
                </c:pt>
                <c:pt idx="2">
                  <c:v>-0.21061066709669785</c:v>
                </c:pt>
                <c:pt idx="3">
                  <c:v>-4.0045997270599876E-2</c:v>
                </c:pt>
                <c:pt idx="4">
                  <c:v>-2.721246974429381E-2</c:v>
                </c:pt>
                <c:pt idx="5">
                  <c:v>7.82585895124015E-2</c:v>
                </c:pt>
                <c:pt idx="6">
                  <c:v>0.12873694821747939</c:v>
                </c:pt>
                <c:pt idx="7">
                  <c:v>1.0158368451695043E-2</c:v>
                </c:pt>
                <c:pt idx="8">
                  <c:v>-8.0165584044895266E-2</c:v>
                </c:pt>
                <c:pt idx="9">
                  <c:v>-0.21425973568610679</c:v>
                </c:pt>
                <c:pt idx="10">
                  <c:v>-0.25818545017177585</c:v>
                </c:pt>
                <c:pt idx="11">
                  <c:v>-0.23288071757957174</c:v>
                </c:pt>
                <c:pt idx="12">
                  <c:v>-0.28630445683674821</c:v>
                </c:pt>
                <c:pt idx="13">
                  <c:v>-0.13732912091425242</c:v>
                </c:pt>
                <c:pt idx="14">
                  <c:v>-4.5454481839791394E-2</c:v>
                </c:pt>
              </c:numCache>
            </c:numRef>
          </c:val>
          <c:smooth val="0"/>
          <c:extLst xmlns:c16r2="http://schemas.microsoft.com/office/drawing/2015/06/chart">
            <c:ext xmlns:c16="http://schemas.microsoft.com/office/drawing/2014/chart" uri="{C3380CC4-5D6E-409C-BE32-E72D297353CC}">
              <c16:uniqueId val="{00000001-896F-4BA3-9959-CBD596A94334}"/>
            </c:ext>
          </c:extLst>
        </c:ser>
        <c:ser>
          <c:idx val="3"/>
          <c:order val="2"/>
          <c:tx>
            <c:strRef>
              <c:f>exp.d!$D$3</c:f>
              <c:strCache>
                <c:ptCount val="1"/>
                <c:pt idx="0">
                  <c:v>Grasas y aceites comestibles</c:v>
                </c:pt>
              </c:strCache>
            </c:strRef>
          </c:tx>
          <c:spPr>
            <a:ln>
              <a:solidFill>
                <a:srgbClr val="92D050"/>
              </a:solidFill>
              <a:prstDash val="sysDash"/>
            </a:ln>
            <a:effectLst>
              <a:outerShdw blurRad="127000" dist="25400" dir="5400000" algn="ctr" rotWithShape="0">
                <a:srgbClr val="000000">
                  <a:alpha val="50000"/>
                </a:srgbClr>
              </a:outerShdw>
            </a:effectLst>
          </c:spPr>
          <c:marker>
            <c:symbol val="none"/>
          </c:marker>
          <c:cat>
            <c:strRef>
              <c:f>imp.d!$A$32:$A$46</c:f>
              <c:strCache>
                <c:ptCount val="15"/>
                <c:pt idx="0">
                  <c:v>I 2016</c:v>
                </c:pt>
                <c:pt idx="1">
                  <c:v>II 2016</c:v>
                </c:pt>
                <c:pt idx="2">
                  <c:v>III 2016</c:v>
                </c:pt>
                <c:pt idx="3">
                  <c:v>IV 2016</c:v>
                </c:pt>
                <c:pt idx="4">
                  <c:v>I 2017</c:v>
                </c:pt>
                <c:pt idx="5">
                  <c:v>II 2017</c:v>
                </c:pt>
                <c:pt idx="6">
                  <c:v>III 2017</c:v>
                </c:pt>
                <c:pt idx="7">
                  <c:v>IV 2017</c:v>
                </c:pt>
                <c:pt idx="8">
                  <c:v>I 2018</c:v>
                </c:pt>
                <c:pt idx="9">
                  <c:v>II 2018</c:v>
                </c:pt>
                <c:pt idx="10">
                  <c:v>III 2018</c:v>
                </c:pt>
                <c:pt idx="11">
                  <c:v>IV 2018</c:v>
                </c:pt>
                <c:pt idx="12">
                  <c:v>I 2019</c:v>
                </c:pt>
                <c:pt idx="13">
                  <c:v>II 2019</c:v>
                </c:pt>
                <c:pt idx="14">
                  <c:v>III 2019</c:v>
                </c:pt>
              </c:strCache>
            </c:strRef>
          </c:cat>
          <c:val>
            <c:numRef>
              <c:f>exp.d!$E$82:$E$96</c:f>
              <c:numCache>
                <c:formatCode>0.0%</c:formatCode>
                <c:ptCount val="15"/>
                <c:pt idx="0">
                  <c:v>3.9815918495988756E-2</c:v>
                </c:pt>
                <c:pt idx="1">
                  <c:v>4.0237057892657635E-2</c:v>
                </c:pt>
                <c:pt idx="2">
                  <c:v>2.9215869796190175E-2</c:v>
                </c:pt>
                <c:pt idx="3">
                  <c:v>2.6733926691884236E-3</c:v>
                </c:pt>
                <c:pt idx="4">
                  <c:v>-3.1548455893535277E-3</c:v>
                </c:pt>
                <c:pt idx="5">
                  <c:v>-1.1429909764737456E-3</c:v>
                </c:pt>
                <c:pt idx="6">
                  <c:v>1.2223881156310457E-2</c:v>
                </c:pt>
                <c:pt idx="7">
                  <c:v>2.083558687635656E-2</c:v>
                </c:pt>
                <c:pt idx="8">
                  <c:v>5.4416946686183021E-2</c:v>
                </c:pt>
                <c:pt idx="9">
                  <c:v>7.2283342342048362E-2</c:v>
                </c:pt>
                <c:pt idx="10">
                  <c:v>7.147627547543367E-2</c:v>
                </c:pt>
                <c:pt idx="11">
                  <c:v>6.0874618613687259E-2</c:v>
                </c:pt>
                <c:pt idx="12">
                  <c:v>3.2988143589804508E-2</c:v>
                </c:pt>
                <c:pt idx="13">
                  <c:v>1.1005101712580068E-3</c:v>
                </c:pt>
                <c:pt idx="14">
                  <c:v>-2.5970870629913323E-3</c:v>
                </c:pt>
              </c:numCache>
            </c:numRef>
          </c:val>
          <c:smooth val="0"/>
          <c:extLst xmlns:c16r2="http://schemas.microsoft.com/office/drawing/2015/06/chart">
            <c:ext xmlns:c16="http://schemas.microsoft.com/office/drawing/2014/chart" uri="{C3380CC4-5D6E-409C-BE32-E72D297353CC}">
              <c16:uniqueId val="{00000002-896F-4BA3-9959-CBD596A94334}"/>
            </c:ext>
          </c:extLst>
        </c:ser>
        <c:dLbls>
          <c:showLegendKey val="0"/>
          <c:showVal val="0"/>
          <c:showCatName val="0"/>
          <c:showSerName val="0"/>
          <c:showPercent val="0"/>
          <c:showBubbleSize val="0"/>
        </c:dLbls>
        <c:marker val="1"/>
        <c:smooth val="0"/>
        <c:axId val="73792512"/>
        <c:axId val="73794304"/>
      </c:lineChart>
      <c:catAx>
        <c:axId val="73792512"/>
        <c:scaling>
          <c:orientation val="minMax"/>
        </c:scaling>
        <c:delete val="0"/>
        <c:axPos val="b"/>
        <c:numFmt formatCode="General" sourceLinked="0"/>
        <c:majorTickMark val="cross"/>
        <c:minorTickMark val="none"/>
        <c:tickLblPos val="low"/>
        <c:spPr>
          <a:ln>
            <a:prstDash val="lgDash"/>
          </a:ln>
        </c:spPr>
        <c:txPr>
          <a:bodyPr/>
          <a:lstStyle/>
          <a:p>
            <a:pPr>
              <a:defRPr sz="700" b="1"/>
            </a:pPr>
            <a:endParaRPr lang="es-ES"/>
          </a:p>
        </c:txPr>
        <c:crossAx val="73794304"/>
        <c:crosses val="autoZero"/>
        <c:auto val="0"/>
        <c:lblAlgn val="ctr"/>
        <c:lblOffset val="100"/>
        <c:noMultiLvlLbl val="0"/>
      </c:catAx>
      <c:valAx>
        <c:axId val="73794304"/>
        <c:scaling>
          <c:orientation val="minMax"/>
          <c:max val="0.15000000000000002"/>
        </c:scaling>
        <c:delete val="0"/>
        <c:axPos val="l"/>
        <c:numFmt formatCode="0.0%" sourceLinked="1"/>
        <c:majorTickMark val="out"/>
        <c:minorTickMark val="none"/>
        <c:tickLblPos val="nextTo"/>
        <c:txPr>
          <a:bodyPr/>
          <a:lstStyle/>
          <a:p>
            <a:pPr>
              <a:defRPr sz="700" b="1"/>
            </a:pPr>
            <a:endParaRPr lang="es-ES"/>
          </a:p>
        </c:txPr>
        <c:crossAx val="73792512"/>
        <c:crosses val="autoZero"/>
        <c:crossBetween val="between"/>
      </c:valAx>
    </c:plotArea>
    <c:legend>
      <c:legendPos val="b"/>
      <c:layout>
        <c:manualLayout>
          <c:xMode val="edge"/>
          <c:yMode val="edge"/>
          <c:x val="3.7710157198092183E-2"/>
          <c:y val="0.84096969696969692"/>
          <c:w val="0.89806722546778428"/>
          <c:h val="8.0039322357432607E-2"/>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100"/>
              <a:t>Tipo de cambio promedio anual (compra y venta)</a:t>
            </a:r>
          </a:p>
        </c:rich>
      </c:tx>
      <c:overlay val="0"/>
    </c:title>
    <c:autoTitleDeleted val="0"/>
    <c:plotArea>
      <c:layout>
        <c:manualLayout>
          <c:layoutTarget val="inner"/>
          <c:xMode val="edge"/>
          <c:yMode val="edge"/>
          <c:x val="0.13083459858997445"/>
          <c:y val="0.12214772122556845"/>
          <c:w val="0.73658769111260192"/>
          <c:h val="0.65764861866493496"/>
        </c:manualLayout>
      </c:layout>
      <c:lineChart>
        <c:grouping val="standard"/>
        <c:varyColors val="0"/>
        <c:ser>
          <c:idx val="0"/>
          <c:order val="0"/>
          <c:tx>
            <c:v>Tipo de cambio promedio</c:v>
          </c:tx>
          <c:spPr>
            <a:effectLst>
              <a:outerShdw blurRad="127000" dist="25400" dir="5400000" algn="ctr" rotWithShape="0">
                <a:srgbClr val="000000">
                  <a:alpha val="72000"/>
                </a:srgbClr>
              </a:outerShdw>
            </a:effectLst>
          </c:spPr>
          <c:marker>
            <c:symbol val="none"/>
          </c:marker>
          <c:dLbls>
            <c:dLbl>
              <c:idx val="0"/>
              <c:layout>
                <c:manualLayout>
                  <c:x val="-2.6666666666666666E-3"/>
                  <c:y val="2.41080038572806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FA7-4FA7-8530-176DE73744DD}"/>
                </c:ext>
              </c:extLst>
            </c:dLbl>
            <c:dLbl>
              <c:idx val="1"/>
              <c:layout>
                <c:manualLayout>
                  <c:x val="0"/>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FA7-4FA7-8530-176DE73744DD}"/>
                </c:ext>
              </c:extLst>
            </c:dLbl>
            <c:dLbl>
              <c:idx val="8"/>
              <c:layout>
                <c:manualLayout>
                  <c:x val="-3.0555555555555555E-2"/>
                  <c:y val="-5.09262904636920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FA7-4FA7-8530-176DE73744DD}"/>
                </c:ext>
              </c:extLst>
            </c:dLbl>
            <c:spPr>
              <a:noFill/>
              <a:ln>
                <a:noFill/>
              </a:ln>
              <a:effectLst/>
            </c:spPr>
            <c:txPr>
              <a:bodyPr/>
              <a:lstStyle/>
              <a:p>
                <a:pPr>
                  <a:defRPr sz="700" b="1">
                    <a:solidFill>
                      <a:schemeClr val="tx2"/>
                    </a:solidFill>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'[pim02 TIPO DE CAMBIO.xls]pim02'!$A$37:$A$45</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'[pim02 TIPO DE CAMBIO.xls]pim02'!$D$37:$D$45</c:f>
              <c:numCache>
                <c:formatCode>_ * #,##0.00_ ;_ * \-#,##0.00_ ;_ * "-"??_ ;_ @_ </c:formatCode>
                <c:ptCount val="9"/>
                <c:pt idx="0">
                  <c:v>7.783184138862385</c:v>
                </c:pt>
                <c:pt idx="1">
                  <c:v>7.8311216705242632</c:v>
                </c:pt>
                <c:pt idx="2">
                  <c:v>7.8565472483095053</c:v>
                </c:pt>
                <c:pt idx="3">
                  <c:v>7.7309474805949661</c:v>
                </c:pt>
                <c:pt idx="4">
                  <c:v>7.6542012553070862</c:v>
                </c:pt>
                <c:pt idx="5">
                  <c:v>7.5985269075640804</c:v>
                </c:pt>
                <c:pt idx="6">
                  <c:v>7.3478849999999998</c:v>
                </c:pt>
                <c:pt idx="7">
                  <c:v>7.5203950000000006</c:v>
                </c:pt>
                <c:pt idx="8">
                  <c:v>7.6961899999999996</c:v>
                </c:pt>
              </c:numCache>
            </c:numRef>
          </c:val>
          <c:smooth val="0"/>
          <c:extLst xmlns:c16r2="http://schemas.microsoft.com/office/drawing/2015/06/chart">
            <c:ext xmlns:c16="http://schemas.microsoft.com/office/drawing/2014/chart" uri="{C3380CC4-5D6E-409C-BE32-E72D297353CC}">
              <c16:uniqueId val="{00000003-DFA7-4FA7-8530-176DE73744DD}"/>
            </c:ext>
          </c:extLst>
        </c:ser>
        <c:dLbls>
          <c:showLegendKey val="0"/>
          <c:showVal val="0"/>
          <c:showCatName val="0"/>
          <c:showSerName val="0"/>
          <c:showPercent val="0"/>
          <c:showBubbleSize val="0"/>
        </c:dLbls>
        <c:marker val="1"/>
        <c:smooth val="0"/>
        <c:axId val="73827840"/>
        <c:axId val="73829376"/>
      </c:lineChart>
      <c:lineChart>
        <c:grouping val="standard"/>
        <c:varyColors val="0"/>
        <c:ser>
          <c:idx val="1"/>
          <c:order val="1"/>
          <c:tx>
            <c:v>Tasa de variación anual</c:v>
          </c:tx>
          <c:spPr>
            <a:ln>
              <a:solidFill>
                <a:schemeClr val="accent3">
                  <a:shade val="95000"/>
                  <a:satMod val="105000"/>
                </a:schemeClr>
              </a:solidFill>
              <a:prstDash val="sysDash"/>
            </a:ln>
            <a:effectLst>
              <a:outerShdw blurRad="127000" dist="25400" dir="5400000" algn="ctr" rotWithShape="0">
                <a:srgbClr val="000000">
                  <a:alpha val="66000"/>
                </a:srgbClr>
              </a:outerShdw>
            </a:effectLst>
          </c:spPr>
          <c:marker>
            <c:symbol val="none"/>
          </c:marker>
          <c:val>
            <c:numRef>
              <c:f>'[pim02 TIPO DE CAMBIO.xls]pim02'!$E$37:$E$45</c:f>
              <c:numCache>
                <c:formatCode>0.0%</c:formatCode>
                <c:ptCount val="9"/>
                <c:pt idx="0">
                  <c:v>-3.3812573795575784E-2</c:v>
                </c:pt>
                <c:pt idx="1">
                  <c:v>6.1591157046536615E-3</c:v>
                </c:pt>
                <c:pt idx="2">
                  <c:v>3.2467351236467046E-3</c:v>
                </c:pt>
                <c:pt idx="3">
                  <c:v>-1.5986636845029434E-2</c:v>
                </c:pt>
                <c:pt idx="4">
                  <c:v>-9.9271435332495273E-3</c:v>
                </c:pt>
                <c:pt idx="5">
                  <c:v>-7.2736979190877182E-3</c:v>
                </c:pt>
                <c:pt idx="6">
                  <c:v>-3.2985591893420207E-2</c:v>
                </c:pt>
                <c:pt idx="7">
                  <c:v>2.3477504070899435E-2</c:v>
                </c:pt>
                <c:pt idx="8">
                  <c:v>2.3375766831396305E-2</c:v>
                </c:pt>
              </c:numCache>
            </c:numRef>
          </c:val>
          <c:smooth val="0"/>
          <c:extLst xmlns:c16r2="http://schemas.microsoft.com/office/drawing/2015/06/chart">
            <c:ext xmlns:c16="http://schemas.microsoft.com/office/drawing/2014/chart" uri="{C3380CC4-5D6E-409C-BE32-E72D297353CC}">
              <c16:uniqueId val="{00000004-DFA7-4FA7-8530-176DE73744DD}"/>
            </c:ext>
          </c:extLst>
        </c:ser>
        <c:dLbls>
          <c:showLegendKey val="0"/>
          <c:showVal val="0"/>
          <c:showCatName val="0"/>
          <c:showSerName val="0"/>
          <c:showPercent val="0"/>
          <c:showBubbleSize val="0"/>
        </c:dLbls>
        <c:marker val="1"/>
        <c:smooth val="0"/>
        <c:axId val="73853952"/>
        <c:axId val="73852032"/>
      </c:lineChart>
      <c:catAx>
        <c:axId val="73827840"/>
        <c:scaling>
          <c:orientation val="minMax"/>
        </c:scaling>
        <c:delete val="0"/>
        <c:axPos val="b"/>
        <c:numFmt formatCode="General" sourceLinked="1"/>
        <c:majorTickMark val="out"/>
        <c:minorTickMark val="none"/>
        <c:tickLblPos val="nextTo"/>
        <c:txPr>
          <a:bodyPr/>
          <a:lstStyle/>
          <a:p>
            <a:pPr>
              <a:defRPr sz="800" b="1"/>
            </a:pPr>
            <a:endParaRPr lang="es-ES"/>
          </a:p>
        </c:txPr>
        <c:crossAx val="73829376"/>
        <c:crosses val="autoZero"/>
        <c:auto val="1"/>
        <c:lblAlgn val="ctr"/>
        <c:lblOffset val="100"/>
        <c:noMultiLvlLbl val="0"/>
      </c:catAx>
      <c:valAx>
        <c:axId val="73829376"/>
        <c:scaling>
          <c:orientation val="minMax"/>
          <c:min val="7.3"/>
        </c:scaling>
        <c:delete val="0"/>
        <c:axPos val="l"/>
        <c:title>
          <c:tx>
            <c:rich>
              <a:bodyPr/>
              <a:lstStyle/>
              <a:p>
                <a:pPr>
                  <a:defRPr/>
                </a:pPr>
                <a:r>
                  <a:rPr lang="es-GT"/>
                  <a:t>Tipo de Cambio nominal</a:t>
                </a:r>
              </a:p>
            </c:rich>
          </c:tx>
          <c:overlay val="0"/>
        </c:title>
        <c:numFmt formatCode="_ * #,##0.00_ ;_ * \-#,##0.00_ ;_ * &quot;-&quot;??_ ;_ @_ " sourceLinked="1"/>
        <c:majorTickMark val="out"/>
        <c:minorTickMark val="none"/>
        <c:tickLblPos val="nextTo"/>
        <c:txPr>
          <a:bodyPr/>
          <a:lstStyle/>
          <a:p>
            <a:pPr>
              <a:defRPr sz="800"/>
            </a:pPr>
            <a:endParaRPr lang="es-ES"/>
          </a:p>
        </c:txPr>
        <c:crossAx val="73827840"/>
        <c:crosses val="autoZero"/>
        <c:crossBetween val="between"/>
      </c:valAx>
      <c:valAx>
        <c:axId val="73852032"/>
        <c:scaling>
          <c:orientation val="minMax"/>
        </c:scaling>
        <c:delete val="0"/>
        <c:axPos val="r"/>
        <c:title>
          <c:tx>
            <c:rich>
              <a:bodyPr rot="5400000" vert="horz"/>
              <a:lstStyle/>
              <a:p>
                <a:pPr>
                  <a:defRPr/>
                </a:pPr>
                <a:r>
                  <a:rPr lang="es-GT"/>
                  <a:t>Variación</a:t>
                </a:r>
              </a:p>
            </c:rich>
          </c:tx>
          <c:overlay val="0"/>
        </c:title>
        <c:numFmt formatCode="0.0%" sourceLinked="1"/>
        <c:majorTickMark val="out"/>
        <c:minorTickMark val="none"/>
        <c:tickLblPos val="nextTo"/>
        <c:txPr>
          <a:bodyPr/>
          <a:lstStyle/>
          <a:p>
            <a:pPr>
              <a:defRPr sz="800"/>
            </a:pPr>
            <a:endParaRPr lang="es-ES"/>
          </a:p>
        </c:txPr>
        <c:crossAx val="73853952"/>
        <c:crosses val="max"/>
        <c:crossBetween val="between"/>
      </c:valAx>
      <c:catAx>
        <c:axId val="73853952"/>
        <c:scaling>
          <c:orientation val="minMax"/>
        </c:scaling>
        <c:delete val="1"/>
        <c:axPos val="b"/>
        <c:majorTickMark val="out"/>
        <c:minorTickMark val="none"/>
        <c:tickLblPos val="nextTo"/>
        <c:crossAx val="73852032"/>
        <c:crosses val="autoZero"/>
        <c:auto val="1"/>
        <c:lblAlgn val="ctr"/>
        <c:lblOffset val="100"/>
        <c:noMultiLvlLbl val="0"/>
      </c:catAx>
    </c:plotArea>
    <c:legend>
      <c:legendPos val="b"/>
      <c:layout>
        <c:manualLayout>
          <c:xMode val="edge"/>
          <c:yMode val="edge"/>
          <c:x val="1.8694725939526619E-2"/>
          <c:y val="0.8183849699199971"/>
          <c:w val="0.92463519414333295"/>
          <c:h val="0.14989449848180739"/>
        </c:manualLayout>
      </c:layout>
      <c:overlay val="0"/>
    </c:legend>
    <c:plotVisOnly val="1"/>
    <c:dispBlanksAs val="gap"/>
    <c:showDLblsOverMax val="0"/>
  </c:chart>
  <c:spPr>
    <a:ln>
      <a:solidFill>
        <a:schemeClr val="bg1"/>
      </a:solidFill>
    </a:ln>
  </c:spPr>
  <c:txPr>
    <a:bodyPr/>
    <a:lstStyle/>
    <a:p>
      <a:pPr>
        <a:defRPr sz="900">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2564887722367"/>
          <c:y val="9.409813734490213E-4"/>
          <c:w val="0.85484379556722079"/>
          <c:h val="0.92947786521419296"/>
        </c:manualLayout>
      </c:layout>
      <c:barChart>
        <c:barDir val="bar"/>
        <c:grouping val="clustered"/>
        <c:varyColors val="0"/>
        <c:ser>
          <c:idx val="0"/>
          <c:order val="0"/>
          <c:tx>
            <c:strRef>
              <c:f>Hoja1!$B$1</c:f>
              <c:strCache>
                <c:ptCount val="1"/>
                <c:pt idx="0">
                  <c:v>2019-2018</c:v>
                </c:pt>
              </c:strCache>
            </c:strRef>
          </c:tx>
          <c:invertIfNegative val="0"/>
          <c:dLbls>
            <c:spPr>
              <a:noFill/>
              <a:ln>
                <a:noFill/>
              </a:ln>
              <a:effectLst/>
            </c:spPr>
            <c:txPr>
              <a:bodyPr/>
              <a:lstStyle/>
              <a:p>
                <a:pPr>
                  <a:defRPr sz="700" b="1">
                    <a:solidFill>
                      <a:srgbClr val="0070C0"/>
                    </a:solidFill>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Hoja1!$A$2:$A$17</c:f>
              <c:strCache>
                <c:ptCount val="16"/>
                <c:pt idx="0">
                  <c:v>Regalías</c:v>
                </c:pt>
                <c:pt idx="1">
                  <c:v>Timbres</c:v>
                </c:pt>
                <c:pt idx="2">
                  <c:v>ISO</c:v>
                </c:pt>
                <c:pt idx="3">
                  <c:v>Vehículos</c:v>
                </c:pt>
                <c:pt idx="4">
                  <c:v>IPRIMA</c:v>
                </c:pt>
                <c:pt idx="5">
                  <c:v>DAI</c:v>
                </c:pt>
                <c:pt idx="6">
                  <c:v>ISR</c:v>
                </c:pt>
                <c:pt idx="7">
                  <c:v>IVA imp</c:v>
                </c:pt>
                <c:pt idx="8">
                  <c:v>Otros</c:v>
                </c:pt>
                <c:pt idx="9">
                  <c:v>Cemento</c:v>
                </c:pt>
                <c:pt idx="10">
                  <c:v>Tabacos</c:v>
                </c:pt>
                <c:pt idx="11">
                  <c:v>Salidas</c:v>
                </c:pt>
                <c:pt idx="12">
                  <c:v>Petróleo</c:v>
                </c:pt>
                <c:pt idx="13">
                  <c:v>Bebidas</c:v>
                </c:pt>
                <c:pt idx="14">
                  <c:v>IVA dom</c:v>
                </c:pt>
                <c:pt idx="15">
                  <c:v>Propiedad</c:v>
                </c:pt>
              </c:strCache>
            </c:strRef>
          </c:cat>
          <c:val>
            <c:numRef>
              <c:f>Hoja1!$B$2:$B$17</c:f>
              <c:numCache>
                <c:formatCode>0.0%</c:formatCode>
                <c:ptCount val="16"/>
                <c:pt idx="0">
                  <c:v>-0.44806630565411631</c:v>
                </c:pt>
                <c:pt idx="1">
                  <c:v>-2.48270331957825E-2</c:v>
                </c:pt>
                <c:pt idx="2">
                  <c:v>2.5850435213902179E-2</c:v>
                </c:pt>
                <c:pt idx="3">
                  <c:v>3.1965763435757966E-2</c:v>
                </c:pt>
                <c:pt idx="4">
                  <c:v>4.8407605763423733E-2</c:v>
                </c:pt>
                <c:pt idx="5">
                  <c:v>5.2680904195329337E-2</c:v>
                </c:pt>
                <c:pt idx="6">
                  <c:v>5.3107474471494553E-2</c:v>
                </c:pt>
                <c:pt idx="7">
                  <c:v>5.8038757982095568E-2</c:v>
                </c:pt>
                <c:pt idx="8">
                  <c:v>5.8380600187955878E-2</c:v>
                </c:pt>
                <c:pt idx="9">
                  <c:v>6.5835758864865035E-2</c:v>
                </c:pt>
                <c:pt idx="10">
                  <c:v>7.5321745553198705E-2</c:v>
                </c:pt>
                <c:pt idx="11">
                  <c:v>8.365443220077573E-2</c:v>
                </c:pt>
                <c:pt idx="12">
                  <c:v>9.5416694358712917E-2</c:v>
                </c:pt>
                <c:pt idx="13">
                  <c:v>0.10030849454574509</c:v>
                </c:pt>
                <c:pt idx="14">
                  <c:v>0.10161150886890002</c:v>
                </c:pt>
                <c:pt idx="15">
                  <c:v>0.50111407400938601</c:v>
                </c:pt>
              </c:numCache>
            </c:numRef>
          </c:val>
          <c:extLst xmlns:c16r2="http://schemas.microsoft.com/office/drawing/2015/06/chart">
            <c:ext xmlns:c16="http://schemas.microsoft.com/office/drawing/2014/chart" uri="{C3380CC4-5D6E-409C-BE32-E72D297353CC}">
              <c16:uniqueId val="{00000000-F4D4-4ED1-82D1-BC8A248114D6}"/>
            </c:ext>
          </c:extLst>
        </c:ser>
        <c:dLbls>
          <c:showLegendKey val="0"/>
          <c:showVal val="0"/>
          <c:showCatName val="0"/>
          <c:showSerName val="0"/>
          <c:showPercent val="0"/>
          <c:showBubbleSize val="0"/>
        </c:dLbls>
        <c:gapWidth val="28"/>
        <c:axId val="55767040"/>
        <c:axId val="55768576"/>
      </c:barChart>
      <c:catAx>
        <c:axId val="55767040"/>
        <c:scaling>
          <c:orientation val="minMax"/>
        </c:scaling>
        <c:delete val="0"/>
        <c:axPos val="l"/>
        <c:majorGridlines>
          <c:spPr>
            <a:ln>
              <a:solidFill>
                <a:schemeClr val="accent1">
                  <a:alpha val="20000"/>
                </a:schemeClr>
              </a:solidFill>
            </a:ln>
          </c:spPr>
        </c:majorGridlines>
        <c:numFmt formatCode="General" sourceLinked="0"/>
        <c:majorTickMark val="out"/>
        <c:minorTickMark val="none"/>
        <c:tickLblPos val="low"/>
        <c:txPr>
          <a:bodyPr/>
          <a:lstStyle/>
          <a:p>
            <a:pPr>
              <a:defRPr sz="800" b="1"/>
            </a:pPr>
            <a:endParaRPr lang="es-ES"/>
          </a:p>
        </c:txPr>
        <c:crossAx val="55768576"/>
        <c:crosses val="autoZero"/>
        <c:auto val="1"/>
        <c:lblAlgn val="ctr"/>
        <c:lblOffset val="100"/>
        <c:noMultiLvlLbl val="0"/>
      </c:catAx>
      <c:valAx>
        <c:axId val="55768576"/>
        <c:scaling>
          <c:orientation val="minMax"/>
        </c:scaling>
        <c:delete val="0"/>
        <c:axPos val="b"/>
        <c:majorGridlines>
          <c:spPr>
            <a:ln>
              <a:solidFill>
                <a:schemeClr val="accent1">
                  <a:alpha val="20000"/>
                </a:schemeClr>
              </a:solidFill>
            </a:ln>
          </c:spPr>
        </c:majorGridlines>
        <c:numFmt formatCode="0%" sourceLinked="0"/>
        <c:majorTickMark val="out"/>
        <c:minorTickMark val="none"/>
        <c:tickLblPos val="nextTo"/>
        <c:txPr>
          <a:bodyPr/>
          <a:lstStyle/>
          <a:p>
            <a:pPr>
              <a:defRPr sz="900" b="1"/>
            </a:pPr>
            <a:endParaRPr lang="es-ES"/>
          </a:p>
        </c:txPr>
        <c:crossAx val="55767040"/>
        <c:crosses val="autoZero"/>
        <c:crossBetween val="between"/>
      </c:valAx>
    </c:plotArea>
    <c:legend>
      <c:legendPos val="b"/>
      <c:layout>
        <c:manualLayout>
          <c:xMode val="edge"/>
          <c:yMode val="edge"/>
          <c:x val="0.13484048550618508"/>
          <c:y val="2.817746764078171E-2"/>
          <c:w val="0.29298592884222807"/>
          <c:h val="0.12282729734160114"/>
        </c:manualLayout>
      </c:layout>
      <c:overlay val="0"/>
      <c:txPr>
        <a:bodyPr/>
        <a:lstStyle/>
        <a:p>
          <a:pPr>
            <a:defRPr b="1"/>
          </a:pPr>
          <a:endParaRPr lang="es-E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s-GT" sz="900">
                <a:latin typeface="Times New Roman" panose="02020603050405020304" pitchFamily="18" charset="0"/>
                <a:cs typeface="Times New Roman" panose="02020603050405020304" pitchFamily="18" charset="0"/>
              </a:rPr>
              <a:t>Variación interanual del ISR</a:t>
            </a:r>
          </a:p>
          <a:p>
            <a:pPr>
              <a:defRPr/>
            </a:pPr>
            <a:r>
              <a:rPr lang="es-GT" sz="1000" b="0">
                <a:latin typeface="Times New Roman" panose="02020603050405020304" pitchFamily="18" charset="0"/>
                <a:cs typeface="Times New Roman" panose="02020603050405020304" pitchFamily="18" charset="0"/>
              </a:rPr>
              <a:t>En porcentajes </a:t>
            </a:r>
          </a:p>
        </c:rich>
      </c:tx>
      <c:layout>
        <c:manualLayout>
          <c:xMode val="edge"/>
          <c:yMode val="edge"/>
          <c:x val="0.31407671597332804"/>
          <c:y val="5.3248656570591109E-3"/>
        </c:manualLayout>
      </c:layout>
      <c:overlay val="0"/>
      <c:spPr>
        <a:noFill/>
        <a:ln>
          <a:noFill/>
        </a:ln>
        <a:effectLst/>
      </c:spPr>
    </c:title>
    <c:autoTitleDeleted val="0"/>
    <c:plotArea>
      <c:layout>
        <c:manualLayout>
          <c:layoutTarget val="inner"/>
          <c:xMode val="edge"/>
          <c:yMode val="edge"/>
          <c:x val="0.11922449969541775"/>
          <c:y val="0.13638472279387157"/>
          <c:w val="0.78299079268930138"/>
          <c:h val="0.54689136012370709"/>
        </c:manualLayout>
      </c:layout>
      <c:barChart>
        <c:barDir val="col"/>
        <c:grouping val="stacked"/>
        <c:varyColors val="0"/>
        <c:ser>
          <c:idx val="0"/>
          <c:order val="0"/>
          <c:tx>
            <c:strRef>
              <c:f>Hoja1!$B$1</c:f>
              <c:strCache>
                <c:ptCount val="1"/>
                <c:pt idx="0">
                  <c:v>Impuesto</c:v>
                </c:pt>
              </c:strCache>
            </c:strRef>
          </c:tx>
          <c:spPr>
            <a:solidFill>
              <a:schemeClr val="accent1"/>
            </a:solidFill>
            <a:ln>
              <a:noFill/>
            </a:ln>
            <a:effectLst/>
          </c:spPr>
          <c:invertIfNegative val="0"/>
          <c:cat>
            <c:strRef>
              <c:f>Hoja1!$A$2:$A$25</c:f>
              <c:strCache>
                <c:ptCount val="24"/>
                <c:pt idx="0">
                  <c:v>ene-18</c:v>
                </c:pt>
                <c:pt idx="1">
                  <c:v>feb-18</c:v>
                </c:pt>
                <c:pt idx="2">
                  <c:v>mar-18</c:v>
                </c:pt>
                <c:pt idx="3">
                  <c:v>abr-18</c:v>
                </c:pt>
                <c:pt idx="4">
                  <c:v>may-18</c:v>
                </c:pt>
                <c:pt idx="5">
                  <c:v>jun-18</c:v>
                </c:pt>
                <c:pt idx="6">
                  <c:v>jul-18</c:v>
                </c:pt>
                <c:pt idx="7">
                  <c:v>ago-18</c:v>
                </c:pt>
                <c:pt idx="8">
                  <c:v>sep-18</c:v>
                </c:pt>
                <c:pt idx="9">
                  <c:v>oct-18</c:v>
                </c:pt>
                <c:pt idx="10">
                  <c:v>nov-18</c:v>
                </c:pt>
                <c:pt idx="11">
                  <c:v>dic-18</c:v>
                </c:pt>
                <c:pt idx="12">
                  <c:v>ene-19</c:v>
                </c:pt>
                <c:pt idx="13">
                  <c:v>feb-19</c:v>
                </c:pt>
                <c:pt idx="14">
                  <c:v>mar-19</c:v>
                </c:pt>
                <c:pt idx="15">
                  <c:v>abr-19</c:v>
                </c:pt>
                <c:pt idx="16">
                  <c:v>may-19</c:v>
                </c:pt>
                <c:pt idx="17">
                  <c:v>jun-19</c:v>
                </c:pt>
                <c:pt idx="18">
                  <c:v>jul-19</c:v>
                </c:pt>
                <c:pt idx="19">
                  <c:v>ago-19</c:v>
                </c:pt>
                <c:pt idx="20">
                  <c:v>sep-19</c:v>
                </c:pt>
                <c:pt idx="21">
                  <c:v>oct-19</c:v>
                </c:pt>
                <c:pt idx="22">
                  <c:v>nov-19</c:v>
                </c:pt>
                <c:pt idx="23">
                  <c:v>dic-19</c:v>
                </c:pt>
              </c:strCache>
            </c:strRef>
          </c:cat>
          <c:val>
            <c:numRef>
              <c:f>Hoja1!$B$2:$B$25</c:f>
              <c:numCache>
                <c:formatCode>General</c:formatCode>
                <c:ptCount val="24"/>
                <c:pt idx="0">
                  <c:v>11.276915490219231</c:v>
                </c:pt>
                <c:pt idx="1">
                  <c:v>6.3910481230018634</c:v>
                </c:pt>
                <c:pt idx="2">
                  <c:v>3.4378566612695227</c:v>
                </c:pt>
                <c:pt idx="3">
                  <c:v>-0.44841091908781605</c:v>
                </c:pt>
                <c:pt idx="4">
                  <c:v>2.0542333581409666</c:v>
                </c:pt>
                <c:pt idx="5">
                  <c:v>-1.1479896471711659</c:v>
                </c:pt>
                <c:pt idx="6">
                  <c:v>-0.84172563635594999</c:v>
                </c:pt>
                <c:pt idx="7">
                  <c:v>-0.92890106683412021</c:v>
                </c:pt>
                <c:pt idx="8">
                  <c:v>-0.82486202938518716</c:v>
                </c:pt>
                <c:pt idx="9">
                  <c:v>-0.71762681183877852</c:v>
                </c:pt>
                <c:pt idx="10">
                  <c:v>-2.8993617925920923E-2</c:v>
                </c:pt>
                <c:pt idx="11">
                  <c:v>3.0225049950738381E-2</c:v>
                </c:pt>
                <c:pt idx="12">
                  <c:v>-5.5902369041026967</c:v>
                </c:pt>
                <c:pt idx="13">
                  <c:v>-0.59860074515222239</c:v>
                </c:pt>
                <c:pt idx="14">
                  <c:v>0.37117069581038553</c:v>
                </c:pt>
                <c:pt idx="15">
                  <c:v>1.7982152558574827</c:v>
                </c:pt>
                <c:pt idx="16">
                  <c:v>1.0407145015097541</c:v>
                </c:pt>
                <c:pt idx="17">
                  <c:v>0.5115796521997229</c:v>
                </c:pt>
                <c:pt idx="18">
                  <c:v>1.1981136575464291</c:v>
                </c:pt>
                <c:pt idx="19">
                  <c:v>1.5064436077744103</c:v>
                </c:pt>
                <c:pt idx="20">
                  <c:v>2.5249777404082074</c:v>
                </c:pt>
                <c:pt idx="21">
                  <c:v>3.857971000898841</c:v>
                </c:pt>
                <c:pt idx="22">
                  <c:v>3.285722316423656</c:v>
                </c:pt>
                <c:pt idx="23">
                  <c:v>4.8505765128284084</c:v>
                </c:pt>
              </c:numCache>
            </c:numRef>
          </c:val>
          <c:extLst xmlns:c16r2="http://schemas.microsoft.com/office/drawing/2015/06/chart">
            <c:ext xmlns:c16="http://schemas.microsoft.com/office/drawing/2014/chart" uri="{C3380CC4-5D6E-409C-BE32-E72D297353CC}">
              <c16:uniqueId val="{00000000-932B-458A-96FE-A272545510B7}"/>
            </c:ext>
          </c:extLst>
        </c:ser>
        <c:ser>
          <c:idx val="1"/>
          <c:order val="1"/>
          <c:tx>
            <c:strRef>
              <c:f>Hoja1!$C$1</c:f>
              <c:strCache>
                <c:ptCount val="1"/>
                <c:pt idx="0">
                  <c:v>Intereses</c:v>
                </c:pt>
              </c:strCache>
            </c:strRef>
          </c:tx>
          <c:spPr>
            <a:solidFill>
              <a:schemeClr val="accent2"/>
            </a:solidFill>
            <a:ln>
              <a:noFill/>
            </a:ln>
            <a:effectLst/>
          </c:spPr>
          <c:invertIfNegative val="0"/>
          <c:cat>
            <c:strRef>
              <c:f>Hoja1!$A$2:$A$25</c:f>
              <c:strCache>
                <c:ptCount val="24"/>
                <c:pt idx="0">
                  <c:v>ene-18</c:v>
                </c:pt>
                <c:pt idx="1">
                  <c:v>feb-18</c:v>
                </c:pt>
                <c:pt idx="2">
                  <c:v>mar-18</c:v>
                </c:pt>
                <c:pt idx="3">
                  <c:v>abr-18</c:v>
                </c:pt>
                <c:pt idx="4">
                  <c:v>may-18</c:v>
                </c:pt>
                <c:pt idx="5">
                  <c:v>jun-18</c:v>
                </c:pt>
                <c:pt idx="6">
                  <c:v>jul-18</c:v>
                </c:pt>
                <c:pt idx="7">
                  <c:v>ago-18</c:v>
                </c:pt>
                <c:pt idx="8">
                  <c:v>sep-18</c:v>
                </c:pt>
                <c:pt idx="9">
                  <c:v>oct-18</c:v>
                </c:pt>
                <c:pt idx="10">
                  <c:v>nov-18</c:v>
                </c:pt>
                <c:pt idx="11">
                  <c:v>dic-18</c:v>
                </c:pt>
                <c:pt idx="12">
                  <c:v>ene-19</c:v>
                </c:pt>
                <c:pt idx="13">
                  <c:v>feb-19</c:v>
                </c:pt>
                <c:pt idx="14">
                  <c:v>mar-19</c:v>
                </c:pt>
                <c:pt idx="15">
                  <c:v>abr-19</c:v>
                </c:pt>
                <c:pt idx="16">
                  <c:v>may-19</c:v>
                </c:pt>
                <c:pt idx="17">
                  <c:v>jun-19</c:v>
                </c:pt>
                <c:pt idx="18">
                  <c:v>jul-19</c:v>
                </c:pt>
                <c:pt idx="19">
                  <c:v>ago-19</c:v>
                </c:pt>
                <c:pt idx="20">
                  <c:v>sep-19</c:v>
                </c:pt>
                <c:pt idx="21">
                  <c:v>oct-19</c:v>
                </c:pt>
                <c:pt idx="22">
                  <c:v>nov-19</c:v>
                </c:pt>
                <c:pt idx="23">
                  <c:v>dic-19</c:v>
                </c:pt>
              </c:strCache>
            </c:strRef>
          </c:cat>
          <c:val>
            <c:numRef>
              <c:f>Hoja1!$C$2:$C$25</c:f>
              <c:numCache>
                <c:formatCode>General</c:formatCode>
                <c:ptCount val="24"/>
                <c:pt idx="0">
                  <c:v>-56.7288320870543</c:v>
                </c:pt>
                <c:pt idx="1">
                  <c:v>-62.617948001964031</c:v>
                </c:pt>
                <c:pt idx="2">
                  <c:v>-65.412217505060653</c:v>
                </c:pt>
                <c:pt idx="3">
                  <c:v>-65.171711157904042</c:v>
                </c:pt>
                <c:pt idx="4">
                  <c:v>-70.389659717782763</c:v>
                </c:pt>
                <c:pt idx="5">
                  <c:v>-66.336943488554439</c:v>
                </c:pt>
                <c:pt idx="6">
                  <c:v>-63.719553577190815</c:v>
                </c:pt>
                <c:pt idx="7">
                  <c:v>-61.803210811858179</c:v>
                </c:pt>
                <c:pt idx="8">
                  <c:v>-58.684987330186821</c:v>
                </c:pt>
                <c:pt idx="9">
                  <c:v>-54.689873447213387</c:v>
                </c:pt>
                <c:pt idx="10">
                  <c:v>-52.37172125648064</c:v>
                </c:pt>
                <c:pt idx="11">
                  <c:v>-50.225335597449153</c:v>
                </c:pt>
                <c:pt idx="12">
                  <c:v>-60.346458763935317</c:v>
                </c:pt>
                <c:pt idx="13">
                  <c:v>-48.212755788936235</c:v>
                </c:pt>
                <c:pt idx="14">
                  <c:v>-28.513553153496428</c:v>
                </c:pt>
                <c:pt idx="15">
                  <c:v>-25.71040153292703</c:v>
                </c:pt>
                <c:pt idx="16">
                  <c:v>35.449418841999837</c:v>
                </c:pt>
                <c:pt idx="17">
                  <c:v>51.769090126972706</c:v>
                </c:pt>
                <c:pt idx="18">
                  <c:v>67.443908428631858</c:v>
                </c:pt>
                <c:pt idx="19">
                  <c:v>169.37223899836118</c:v>
                </c:pt>
                <c:pt idx="20">
                  <c:v>175.82217133884782</c:v>
                </c:pt>
                <c:pt idx="21">
                  <c:v>156.23353474811731</c:v>
                </c:pt>
                <c:pt idx="22">
                  <c:v>151.31080648836388</c:v>
                </c:pt>
                <c:pt idx="23">
                  <c:v>146.14906599734238</c:v>
                </c:pt>
              </c:numCache>
            </c:numRef>
          </c:val>
          <c:extLst xmlns:c16r2="http://schemas.microsoft.com/office/drawing/2015/06/chart">
            <c:ext xmlns:c16="http://schemas.microsoft.com/office/drawing/2014/chart" uri="{C3380CC4-5D6E-409C-BE32-E72D297353CC}">
              <c16:uniqueId val="{00000001-932B-458A-96FE-A272545510B7}"/>
            </c:ext>
          </c:extLst>
        </c:ser>
        <c:ser>
          <c:idx val="2"/>
          <c:order val="2"/>
          <c:tx>
            <c:strRef>
              <c:f>Hoja1!$D$1</c:f>
              <c:strCache>
                <c:ptCount val="1"/>
                <c:pt idx="0">
                  <c:v>Mora</c:v>
                </c:pt>
              </c:strCache>
            </c:strRef>
          </c:tx>
          <c:spPr>
            <a:solidFill>
              <a:schemeClr val="accent3"/>
            </a:solidFill>
            <a:ln>
              <a:noFill/>
            </a:ln>
            <a:effectLst/>
          </c:spPr>
          <c:invertIfNegative val="0"/>
          <c:cat>
            <c:strRef>
              <c:f>Hoja1!$A$2:$A$25</c:f>
              <c:strCache>
                <c:ptCount val="24"/>
                <c:pt idx="0">
                  <c:v>ene-18</c:v>
                </c:pt>
                <c:pt idx="1">
                  <c:v>feb-18</c:v>
                </c:pt>
                <c:pt idx="2">
                  <c:v>mar-18</c:v>
                </c:pt>
                <c:pt idx="3">
                  <c:v>abr-18</c:v>
                </c:pt>
                <c:pt idx="4">
                  <c:v>may-18</c:v>
                </c:pt>
                <c:pt idx="5">
                  <c:v>jun-18</c:v>
                </c:pt>
                <c:pt idx="6">
                  <c:v>jul-18</c:v>
                </c:pt>
                <c:pt idx="7">
                  <c:v>ago-18</c:v>
                </c:pt>
                <c:pt idx="8">
                  <c:v>sep-18</c:v>
                </c:pt>
                <c:pt idx="9">
                  <c:v>oct-18</c:v>
                </c:pt>
                <c:pt idx="10">
                  <c:v>nov-18</c:v>
                </c:pt>
                <c:pt idx="11">
                  <c:v>dic-18</c:v>
                </c:pt>
                <c:pt idx="12">
                  <c:v>ene-19</c:v>
                </c:pt>
                <c:pt idx="13">
                  <c:v>feb-19</c:v>
                </c:pt>
                <c:pt idx="14">
                  <c:v>mar-19</c:v>
                </c:pt>
                <c:pt idx="15">
                  <c:v>abr-19</c:v>
                </c:pt>
                <c:pt idx="16">
                  <c:v>may-19</c:v>
                </c:pt>
                <c:pt idx="17">
                  <c:v>jun-19</c:v>
                </c:pt>
                <c:pt idx="18">
                  <c:v>jul-19</c:v>
                </c:pt>
                <c:pt idx="19">
                  <c:v>ago-19</c:v>
                </c:pt>
                <c:pt idx="20">
                  <c:v>sep-19</c:v>
                </c:pt>
                <c:pt idx="21">
                  <c:v>oct-19</c:v>
                </c:pt>
                <c:pt idx="22">
                  <c:v>nov-19</c:v>
                </c:pt>
                <c:pt idx="23">
                  <c:v>dic-19</c:v>
                </c:pt>
              </c:strCache>
            </c:strRef>
          </c:cat>
          <c:val>
            <c:numRef>
              <c:f>Hoja1!$D$2:$D$25</c:f>
              <c:numCache>
                <c:formatCode>General</c:formatCode>
                <c:ptCount val="24"/>
                <c:pt idx="0">
                  <c:v>61.59779673433605</c:v>
                </c:pt>
                <c:pt idx="1">
                  <c:v>-16.017961068900632</c:v>
                </c:pt>
                <c:pt idx="2">
                  <c:v>-13.460354882929304</c:v>
                </c:pt>
                <c:pt idx="3">
                  <c:v>-7.9500703043207661</c:v>
                </c:pt>
                <c:pt idx="4">
                  <c:v>0.53037612388746602</c:v>
                </c:pt>
                <c:pt idx="5">
                  <c:v>16.844830876246753</c:v>
                </c:pt>
                <c:pt idx="6">
                  <c:v>16.55357015913399</c:v>
                </c:pt>
                <c:pt idx="7">
                  <c:v>7.9977947875467414</c:v>
                </c:pt>
                <c:pt idx="8">
                  <c:v>0.68673286395894984</c:v>
                </c:pt>
                <c:pt idx="9">
                  <c:v>6.8766031303101771</c:v>
                </c:pt>
                <c:pt idx="10">
                  <c:v>8.7527081928229222</c:v>
                </c:pt>
                <c:pt idx="11">
                  <c:v>12.556896598238909</c:v>
                </c:pt>
                <c:pt idx="12">
                  <c:v>-2.8793978339265669</c:v>
                </c:pt>
                <c:pt idx="13">
                  <c:v>6.7743317047893381</c:v>
                </c:pt>
                <c:pt idx="14">
                  <c:v>-4.834999474858293</c:v>
                </c:pt>
                <c:pt idx="15">
                  <c:v>-4.8829648353188588</c:v>
                </c:pt>
                <c:pt idx="16">
                  <c:v>2.4984437020018735</c:v>
                </c:pt>
                <c:pt idx="17">
                  <c:v>14.772157063601066</c:v>
                </c:pt>
                <c:pt idx="18">
                  <c:v>10.374101653568468</c:v>
                </c:pt>
                <c:pt idx="19">
                  <c:v>5.5122483098687836</c:v>
                </c:pt>
                <c:pt idx="20">
                  <c:v>5.7505648780750818</c:v>
                </c:pt>
                <c:pt idx="21">
                  <c:v>3.81931428687039</c:v>
                </c:pt>
                <c:pt idx="22">
                  <c:v>2.3755474666885323</c:v>
                </c:pt>
                <c:pt idx="23">
                  <c:v>1.3079620777209922</c:v>
                </c:pt>
              </c:numCache>
            </c:numRef>
          </c:val>
          <c:extLst xmlns:c16r2="http://schemas.microsoft.com/office/drawing/2015/06/chart">
            <c:ext xmlns:c16="http://schemas.microsoft.com/office/drawing/2014/chart" uri="{C3380CC4-5D6E-409C-BE32-E72D297353CC}">
              <c16:uniqueId val="{00000002-932B-458A-96FE-A272545510B7}"/>
            </c:ext>
          </c:extLst>
        </c:ser>
        <c:ser>
          <c:idx val="3"/>
          <c:order val="3"/>
          <c:tx>
            <c:strRef>
              <c:f>Hoja1!$E$1</c:f>
              <c:strCache>
                <c:ptCount val="1"/>
                <c:pt idx="0">
                  <c:v>Multa</c:v>
                </c:pt>
              </c:strCache>
            </c:strRef>
          </c:tx>
          <c:spPr>
            <a:solidFill>
              <a:schemeClr val="accent4"/>
            </a:solidFill>
            <a:ln>
              <a:noFill/>
            </a:ln>
            <a:effectLst/>
          </c:spPr>
          <c:invertIfNegative val="0"/>
          <c:cat>
            <c:strRef>
              <c:f>Hoja1!$A$2:$A$25</c:f>
              <c:strCache>
                <c:ptCount val="24"/>
                <c:pt idx="0">
                  <c:v>ene-18</c:v>
                </c:pt>
                <c:pt idx="1">
                  <c:v>feb-18</c:v>
                </c:pt>
                <c:pt idx="2">
                  <c:v>mar-18</c:v>
                </c:pt>
                <c:pt idx="3">
                  <c:v>abr-18</c:v>
                </c:pt>
                <c:pt idx="4">
                  <c:v>may-18</c:v>
                </c:pt>
                <c:pt idx="5">
                  <c:v>jun-18</c:v>
                </c:pt>
                <c:pt idx="6">
                  <c:v>jul-18</c:v>
                </c:pt>
                <c:pt idx="7">
                  <c:v>ago-18</c:v>
                </c:pt>
                <c:pt idx="8">
                  <c:v>sep-18</c:v>
                </c:pt>
                <c:pt idx="9">
                  <c:v>oct-18</c:v>
                </c:pt>
                <c:pt idx="10">
                  <c:v>nov-18</c:v>
                </c:pt>
                <c:pt idx="11">
                  <c:v>dic-18</c:v>
                </c:pt>
                <c:pt idx="12">
                  <c:v>ene-19</c:v>
                </c:pt>
                <c:pt idx="13">
                  <c:v>feb-19</c:v>
                </c:pt>
                <c:pt idx="14">
                  <c:v>mar-19</c:v>
                </c:pt>
                <c:pt idx="15">
                  <c:v>abr-19</c:v>
                </c:pt>
                <c:pt idx="16">
                  <c:v>may-19</c:v>
                </c:pt>
                <c:pt idx="17">
                  <c:v>jun-19</c:v>
                </c:pt>
                <c:pt idx="18">
                  <c:v>jul-19</c:v>
                </c:pt>
                <c:pt idx="19">
                  <c:v>ago-19</c:v>
                </c:pt>
                <c:pt idx="20">
                  <c:v>sep-19</c:v>
                </c:pt>
                <c:pt idx="21">
                  <c:v>oct-19</c:v>
                </c:pt>
                <c:pt idx="22">
                  <c:v>nov-19</c:v>
                </c:pt>
                <c:pt idx="23">
                  <c:v>dic-19</c:v>
                </c:pt>
              </c:strCache>
            </c:strRef>
          </c:cat>
          <c:val>
            <c:numRef>
              <c:f>Hoja1!$E$2:$E$25</c:f>
              <c:numCache>
                <c:formatCode>General</c:formatCode>
                <c:ptCount val="24"/>
                <c:pt idx="0">
                  <c:v>-66.915115713406578</c:v>
                </c:pt>
                <c:pt idx="1">
                  <c:v>-67.593599566650411</c:v>
                </c:pt>
                <c:pt idx="2">
                  <c:v>-69.115507784986889</c:v>
                </c:pt>
                <c:pt idx="3">
                  <c:v>-62.956264348947542</c:v>
                </c:pt>
                <c:pt idx="4">
                  <c:v>-57.167469857700389</c:v>
                </c:pt>
                <c:pt idx="5">
                  <c:v>-51.971756369537239</c:v>
                </c:pt>
                <c:pt idx="6">
                  <c:v>-48.620773265055384</c:v>
                </c:pt>
                <c:pt idx="7">
                  <c:v>-46.107931481732344</c:v>
                </c:pt>
                <c:pt idx="8">
                  <c:v>-42.264873138871231</c:v>
                </c:pt>
                <c:pt idx="9">
                  <c:v>-39.436563844591163</c:v>
                </c:pt>
                <c:pt idx="10">
                  <c:v>-37.588732421518223</c:v>
                </c:pt>
                <c:pt idx="11">
                  <c:v>-36.207767555140236</c:v>
                </c:pt>
                <c:pt idx="12">
                  <c:v>-29.929038607870606</c:v>
                </c:pt>
                <c:pt idx="13">
                  <c:v>-23.989357953521306</c:v>
                </c:pt>
                <c:pt idx="14">
                  <c:v>-11.603480115831321</c:v>
                </c:pt>
                <c:pt idx="15">
                  <c:v>-16.62921491885383</c:v>
                </c:pt>
                <c:pt idx="16">
                  <c:v>1.3713084362673378</c:v>
                </c:pt>
                <c:pt idx="17">
                  <c:v>2.9055890362551962</c:v>
                </c:pt>
                <c:pt idx="18">
                  <c:v>5.072143397468265</c:v>
                </c:pt>
                <c:pt idx="19">
                  <c:v>29.052398654227041</c:v>
                </c:pt>
                <c:pt idx="20">
                  <c:v>40.659210856688198</c:v>
                </c:pt>
                <c:pt idx="21">
                  <c:v>37.935842567193511</c:v>
                </c:pt>
                <c:pt idx="22">
                  <c:v>36.541213702383168</c:v>
                </c:pt>
                <c:pt idx="23">
                  <c:v>44.34204002036919</c:v>
                </c:pt>
              </c:numCache>
            </c:numRef>
          </c:val>
          <c:extLst xmlns:c16r2="http://schemas.microsoft.com/office/drawing/2015/06/chart">
            <c:ext xmlns:c16="http://schemas.microsoft.com/office/drawing/2014/chart" uri="{C3380CC4-5D6E-409C-BE32-E72D297353CC}">
              <c16:uniqueId val="{00000003-932B-458A-96FE-A272545510B7}"/>
            </c:ext>
          </c:extLst>
        </c:ser>
        <c:dLbls>
          <c:showLegendKey val="0"/>
          <c:showVal val="0"/>
          <c:showCatName val="0"/>
          <c:showSerName val="0"/>
          <c:showPercent val="0"/>
          <c:showBubbleSize val="0"/>
        </c:dLbls>
        <c:gapWidth val="247"/>
        <c:overlap val="100"/>
        <c:axId val="55656448"/>
        <c:axId val="55657984"/>
      </c:barChart>
      <c:lineChart>
        <c:grouping val="standard"/>
        <c:varyColors val="0"/>
        <c:ser>
          <c:idx val="4"/>
          <c:order val="4"/>
          <c:tx>
            <c:strRef>
              <c:f>Hoja1!$F$1</c:f>
              <c:strCache>
                <c:ptCount val="1"/>
                <c:pt idx="0">
                  <c:v>ISR total</c:v>
                </c:pt>
              </c:strCache>
            </c:strRef>
          </c:tx>
          <c:spPr>
            <a:ln w="22225" cap="rnd">
              <a:solidFill>
                <a:schemeClr val="accent5"/>
              </a:solidFill>
              <a:round/>
            </a:ln>
            <a:effectLst/>
          </c:spPr>
          <c:marker>
            <c:symbol val="circle"/>
            <c:size val="6"/>
            <c:spPr>
              <a:solidFill>
                <a:schemeClr val="lt1"/>
              </a:solidFill>
              <a:ln w="15875">
                <a:solidFill>
                  <a:schemeClr val="accent5"/>
                </a:solidFill>
                <a:round/>
              </a:ln>
              <a:effectLst/>
            </c:spPr>
          </c:marker>
          <c:dLbls>
            <c:dLbl>
              <c:idx val="11"/>
              <c:layout>
                <c:manualLayout>
                  <c:x val="-4.6014790468364833E-2"/>
                  <c:y val="-0.10111223458038428"/>
                </c:manualLayout>
              </c:layout>
              <c:numFmt formatCode="#,##0.0" sourceLinked="0"/>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2B-458A-96FE-A272545510B7}"/>
                </c:ext>
              </c:extLst>
            </c:dLbl>
            <c:dLbl>
              <c:idx val="23"/>
              <c:layout>
                <c:manualLayout>
                  <c:x val="-4.9301561216105176E-2"/>
                  <c:y val="-0.14155712841253792"/>
                </c:manualLayout>
              </c:layout>
              <c:numFmt formatCode="#,##0.0" sourceLinked="0"/>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32B-458A-96FE-A272545510B7}"/>
                </c:ext>
              </c:extLst>
            </c:dLbl>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Hoja1!$A$2:$A$25</c:f>
              <c:strCache>
                <c:ptCount val="24"/>
                <c:pt idx="0">
                  <c:v>ene-18</c:v>
                </c:pt>
                <c:pt idx="1">
                  <c:v>feb-18</c:v>
                </c:pt>
                <c:pt idx="2">
                  <c:v>mar-18</c:v>
                </c:pt>
                <c:pt idx="3">
                  <c:v>abr-18</c:v>
                </c:pt>
                <c:pt idx="4">
                  <c:v>may-18</c:v>
                </c:pt>
                <c:pt idx="5">
                  <c:v>jun-18</c:v>
                </c:pt>
                <c:pt idx="6">
                  <c:v>jul-18</c:v>
                </c:pt>
                <c:pt idx="7">
                  <c:v>ago-18</c:v>
                </c:pt>
                <c:pt idx="8">
                  <c:v>sep-18</c:v>
                </c:pt>
                <c:pt idx="9">
                  <c:v>oct-18</c:v>
                </c:pt>
                <c:pt idx="10">
                  <c:v>nov-18</c:v>
                </c:pt>
                <c:pt idx="11">
                  <c:v>dic-18</c:v>
                </c:pt>
                <c:pt idx="12">
                  <c:v>ene-19</c:v>
                </c:pt>
                <c:pt idx="13">
                  <c:v>feb-19</c:v>
                </c:pt>
                <c:pt idx="14">
                  <c:v>mar-19</c:v>
                </c:pt>
                <c:pt idx="15">
                  <c:v>abr-19</c:v>
                </c:pt>
                <c:pt idx="16">
                  <c:v>may-19</c:v>
                </c:pt>
                <c:pt idx="17">
                  <c:v>jun-19</c:v>
                </c:pt>
                <c:pt idx="18">
                  <c:v>jul-19</c:v>
                </c:pt>
                <c:pt idx="19">
                  <c:v>ago-19</c:v>
                </c:pt>
                <c:pt idx="20">
                  <c:v>sep-19</c:v>
                </c:pt>
                <c:pt idx="21">
                  <c:v>oct-19</c:v>
                </c:pt>
                <c:pt idx="22">
                  <c:v>nov-19</c:v>
                </c:pt>
                <c:pt idx="23">
                  <c:v>dic-19</c:v>
                </c:pt>
              </c:strCache>
            </c:strRef>
          </c:cat>
          <c:val>
            <c:numRef>
              <c:f>Hoja1!$F$2:$F$25</c:f>
              <c:numCache>
                <c:formatCode>General</c:formatCode>
                <c:ptCount val="24"/>
                <c:pt idx="0">
                  <c:v>9.1581623425145864</c:v>
                </c:pt>
                <c:pt idx="1">
                  <c:v>4.4109333439949605</c:v>
                </c:pt>
                <c:pt idx="2">
                  <c:v>1.9105733322062335</c:v>
                </c:pt>
                <c:pt idx="3">
                  <c:v>-1.5669184359058952</c:v>
                </c:pt>
                <c:pt idx="4">
                  <c:v>0.91334794209272374</c:v>
                </c:pt>
                <c:pt idx="5">
                  <c:v>-2.0261024054136656</c:v>
                </c:pt>
                <c:pt idx="6">
                  <c:v>-1.5566674121856416</c:v>
                </c:pt>
                <c:pt idx="7">
                  <c:v>-1.6352032860382337</c:v>
                </c:pt>
                <c:pt idx="8">
                  <c:v>-1.469831952836409</c:v>
                </c:pt>
                <c:pt idx="9">
                  <c:v>-1.2438148776197755</c:v>
                </c:pt>
                <c:pt idx="10">
                  <c:v>-0.5243824140200859</c:v>
                </c:pt>
                <c:pt idx="11">
                  <c:v>-0.43280230979003687</c:v>
                </c:pt>
                <c:pt idx="12">
                  <c:v>-5.9309593201613779</c:v>
                </c:pt>
                <c:pt idx="13">
                  <c:v>-0.87108141234133463</c:v>
                </c:pt>
                <c:pt idx="14">
                  <c:v>0.2538915675068365</c:v>
                </c:pt>
                <c:pt idx="15">
                  <c:v>1.6592532054582554</c:v>
                </c:pt>
                <c:pt idx="16">
                  <c:v>1.1070588881344046</c:v>
                </c:pt>
                <c:pt idx="17">
                  <c:v>0.62352790111039891</c:v>
                </c:pt>
                <c:pt idx="18">
                  <c:v>1.3298048912974147</c:v>
                </c:pt>
                <c:pt idx="19">
                  <c:v>1.9597101244962056</c:v>
                </c:pt>
                <c:pt idx="20">
                  <c:v>3.0699309836167199</c:v>
                </c:pt>
                <c:pt idx="21">
                  <c:v>4.3100099580762219</c:v>
                </c:pt>
                <c:pt idx="22">
                  <c:v>3.7262812286434244</c:v>
                </c:pt>
                <c:pt idx="23">
                  <c:v>5.3095226889256804</c:v>
                </c:pt>
              </c:numCache>
            </c:numRef>
          </c:val>
          <c:smooth val="0"/>
          <c:extLst xmlns:c16r2="http://schemas.microsoft.com/office/drawing/2015/06/chart">
            <c:ext xmlns:c16="http://schemas.microsoft.com/office/drawing/2014/chart" uri="{C3380CC4-5D6E-409C-BE32-E72D297353CC}">
              <c16:uniqueId val="{00000006-932B-458A-96FE-A272545510B7}"/>
            </c:ext>
          </c:extLst>
        </c:ser>
        <c:dLbls>
          <c:showLegendKey val="0"/>
          <c:showVal val="0"/>
          <c:showCatName val="0"/>
          <c:showSerName val="0"/>
          <c:showPercent val="0"/>
          <c:showBubbleSize val="0"/>
        </c:dLbls>
        <c:marker val="1"/>
        <c:smooth val="0"/>
        <c:axId val="55662080"/>
        <c:axId val="55659904"/>
      </c:lineChart>
      <c:catAx>
        <c:axId val="55656448"/>
        <c:scaling>
          <c:orientation val="minMax"/>
        </c:scaling>
        <c:delete val="0"/>
        <c:axPos val="b"/>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vert="horz"/>
          <a:lstStyle/>
          <a:p>
            <a:pPr>
              <a:defRPr>
                <a:latin typeface="Times New Roman" panose="02020603050405020304" pitchFamily="18" charset="0"/>
                <a:cs typeface="Times New Roman" panose="02020603050405020304" pitchFamily="18" charset="0"/>
              </a:defRPr>
            </a:pPr>
            <a:endParaRPr lang="es-ES"/>
          </a:p>
        </c:txPr>
        <c:crossAx val="55657984"/>
        <c:crosses val="autoZero"/>
        <c:auto val="1"/>
        <c:lblAlgn val="ctr"/>
        <c:lblOffset val="100"/>
        <c:noMultiLvlLbl val="0"/>
      </c:catAx>
      <c:valAx>
        <c:axId val="55657984"/>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s-GT">
                    <a:latin typeface="Times New Roman" panose="02020603050405020304" pitchFamily="18" charset="0"/>
                    <a:cs typeface="Times New Roman" panose="02020603050405020304" pitchFamily="18" charset="0"/>
                  </a:rPr>
                  <a:t>Millones de quetzales</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latin typeface="Times New Roman" panose="02020603050405020304" pitchFamily="18" charset="0"/>
                <a:cs typeface="Times New Roman" panose="02020603050405020304" pitchFamily="18" charset="0"/>
              </a:defRPr>
            </a:pPr>
            <a:endParaRPr lang="es-ES"/>
          </a:p>
        </c:txPr>
        <c:crossAx val="55656448"/>
        <c:crosses val="autoZero"/>
        <c:crossBetween val="between"/>
      </c:valAx>
      <c:valAx>
        <c:axId val="55659904"/>
        <c:scaling>
          <c:orientation val="minMax"/>
        </c:scaling>
        <c:delete val="0"/>
        <c:axPos val="r"/>
        <c:title>
          <c:tx>
            <c:rich>
              <a:bodyPr rot="5400000"/>
              <a:lstStyle/>
              <a:p>
                <a:pPr>
                  <a:defRPr>
                    <a:latin typeface="Times New Roman" panose="02020603050405020304" pitchFamily="18" charset="0"/>
                    <a:cs typeface="Times New Roman" panose="02020603050405020304" pitchFamily="18" charset="0"/>
                  </a:defRPr>
                </a:pPr>
                <a:r>
                  <a:rPr lang="es-GT">
                    <a:latin typeface="Times New Roman" panose="02020603050405020304" pitchFamily="18" charset="0"/>
                    <a:cs typeface="Times New Roman" panose="02020603050405020304" pitchFamily="18" charset="0"/>
                  </a:rPr>
                  <a:t>Porcentajes</a:t>
                </a:r>
              </a:p>
            </c:rich>
          </c:tx>
          <c:layout>
            <c:manualLayout>
              <c:xMode val="edge"/>
              <c:yMode val="edge"/>
              <c:x val="0.95400465744167973"/>
              <c:y val="0.31951501909843094"/>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latin typeface="Times New Roman" panose="02020603050405020304" pitchFamily="18" charset="0"/>
                <a:cs typeface="Times New Roman" panose="02020603050405020304" pitchFamily="18" charset="0"/>
              </a:defRPr>
            </a:pPr>
            <a:endParaRPr lang="es-ES"/>
          </a:p>
        </c:txPr>
        <c:crossAx val="55662080"/>
        <c:crosses val="max"/>
        <c:crossBetween val="between"/>
      </c:valAx>
      <c:catAx>
        <c:axId val="55662080"/>
        <c:scaling>
          <c:orientation val="minMax"/>
        </c:scaling>
        <c:delete val="1"/>
        <c:axPos val="b"/>
        <c:numFmt formatCode="General" sourceLinked="1"/>
        <c:majorTickMark val="out"/>
        <c:minorTickMark val="none"/>
        <c:tickLblPos val="nextTo"/>
        <c:crossAx val="55659904"/>
        <c:crosses val="autoZero"/>
        <c:auto val="1"/>
        <c:lblAlgn val="ctr"/>
        <c:lblOffset val="100"/>
        <c:noMultiLvlLbl val="0"/>
      </c:catAx>
      <c:spPr>
        <a:pattFill prst="ltDnDiag">
          <a:fgClr>
            <a:srgbClr val="000000">
              <a:alpha val="0"/>
            </a:srgbClr>
          </a:fgClr>
          <a:bgClr>
            <a:srgbClr val="FFFFFF"/>
          </a:bgClr>
        </a:pattFill>
        <a:ln w="25400">
          <a:noFill/>
        </a:ln>
        <a:effectLst/>
      </c:spPr>
    </c:plotArea>
    <c:legend>
      <c:legendPos val="b"/>
      <c:layout>
        <c:manualLayout>
          <c:xMode val="edge"/>
          <c:yMode val="edge"/>
          <c:x val="1.9655899810592865E-2"/>
          <c:y val="0.82478575523423603"/>
          <c:w val="0.97936362438051028"/>
          <c:h val="0.10772475325568331"/>
        </c:manualLayout>
      </c:layout>
      <c:overlay val="0"/>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es-ES"/>
        </a:p>
      </c:txPr>
    </c:legend>
    <c:plotVisOnly val="1"/>
    <c:dispBlanksAs val="gap"/>
    <c:showDLblsOverMax val="0"/>
  </c:chart>
  <c:spPr>
    <a:solidFill>
      <a:schemeClr val="lt1"/>
    </a:solidFill>
    <a:ln w="9525" cap="flat" cmpd="sng" algn="ctr">
      <a:noFill/>
      <a:round/>
    </a:ln>
    <a:effectLst/>
  </c:spPr>
  <c:txPr>
    <a:bodyPr/>
    <a:lstStyle/>
    <a:p>
      <a:pPr>
        <a:defRPr sz="700"/>
      </a:pPr>
      <a:endParaRPr lang="es-E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02579014806894"/>
          <c:y val="3.6022059742532177E-2"/>
          <c:w val="0.81288627289924786"/>
          <c:h val="0.87264085739282582"/>
        </c:manualLayout>
      </c:layout>
      <c:lineChart>
        <c:grouping val="standard"/>
        <c:varyColors val="0"/>
        <c:ser>
          <c:idx val="0"/>
          <c:order val="0"/>
          <c:tx>
            <c:strRef>
              <c:f>Hoja1!$B$1</c:f>
              <c:strCache>
                <c:ptCount val="1"/>
                <c:pt idx="0">
                  <c:v>Var</c:v>
                </c:pt>
              </c:strCache>
            </c:strRef>
          </c:tx>
          <c:marker>
            <c:symbol val="circle"/>
            <c:size val="6"/>
          </c:marker>
          <c:dLbls>
            <c:dLbl>
              <c:idx val="4"/>
              <c:layout>
                <c:manualLayout>
                  <c:x val="-0.19847680590814679"/>
                  <c:y val="-1.1219780628854828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C26-4A1F-A815-BB2F59DC3AE7}"/>
                </c:ext>
              </c:extLst>
            </c:dLbl>
            <c:dLbl>
              <c:idx val="5"/>
              <c:layout>
                <c:manualLayout>
                  <c:x val="-8.7699053773367189E-2"/>
                  <c:y val="-5.5079559363525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C26-4A1F-A815-BB2F59DC3AE7}"/>
                </c:ext>
              </c:extLst>
            </c:dLbl>
            <c:dLbl>
              <c:idx val="6"/>
              <c:layout>
                <c:manualLayout>
                  <c:x val="-0.14308792984075708"/>
                  <c:y val="6.11995104039166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C26-4A1F-A815-BB2F59DC3AE7}"/>
                </c:ext>
              </c:extLst>
            </c:dLbl>
            <c:dLbl>
              <c:idx val="7"/>
              <c:layout>
                <c:manualLayout>
                  <c:x val="-1.384721901684745E-2"/>
                  <c:y val="5.5079559363524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C26-4A1F-A815-BB2F59DC3AE7}"/>
                </c:ext>
              </c:extLst>
            </c:dLbl>
            <c:dLbl>
              <c:idx val="8"/>
              <c:layout>
                <c:manualLayout>
                  <c:x val="-1.6924183288759557E-16"/>
                  <c:y val="-6.7319461444308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5A-4BCE-9F9B-2BF848E784C4}"/>
                </c:ext>
              </c:extLst>
            </c:dLbl>
            <c:spPr>
              <a:noFill/>
              <a:ln>
                <a:noFill/>
              </a:ln>
              <a:effectLst/>
            </c:spPr>
            <c:txPr>
              <a:bodyPr wrap="square" lIns="38100" tIns="19050" rIns="38100" bIns="19050" anchor="ctr">
                <a:spAutoFit/>
              </a:bodyPr>
              <a:lstStyle/>
              <a:p>
                <a:pPr>
                  <a:defRPr sz="800" b="1">
                    <a:solidFill>
                      <a:srgbClr val="0070C0"/>
                    </a:solidFill>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Hoja1!$A$2:$A$10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Hoja1!$B$2:$B$10</c:f>
              <c:numCache>
                <c:formatCode>0.0%</c:formatCode>
                <c:ptCount val="9"/>
                <c:pt idx="0">
                  <c:v>0.31954898897580053</c:v>
                </c:pt>
                <c:pt idx="1">
                  <c:v>6.014053336952041E-2</c:v>
                </c:pt>
                <c:pt idx="2">
                  <c:v>0.26435809344494077</c:v>
                </c:pt>
                <c:pt idx="3">
                  <c:v>7.7537590913840049E-2</c:v>
                </c:pt>
                <c:pt idx="4">
                  <c:v>-5.0066227563628884E-2</c:v>
                </c:pt>
                <c:pt idx="5">
                  <c:v>0.22168401302531482</c:v>
                </c:pt>
                <c:pt idx="6">
                  <c:v>-4.009850169883411E-2</c:v>
                </c:pt>
                <c:pt idx="7">
                  <c:v>-1.49031057779756E-2</c:v>
                </c:pt>
                <c:pt idx="8">
                  <c:v>4.785289970012907E-2</c:v>
                </c:pt>
              </c:numCache>
            </c:numRef>
          </c:val>
          <c:smooth val="1"/>
          <c:extLst xmlns:c16r2="http://schemas.microsoft.com/office/drawing/2015/06/chart">
            <c:ext xmlns:c16="http://schemas.microsoft.com/office/drawing/2014/chart" uri="{C3380CC4-5D6E-409C-BE32-E72D297353CC}">
              <c16:uniqueId val="{00000008-7C26-4A1F-A815-BB2F59DC3AE7}"/>
            </c:ext>
          </c:extLst>
        </c:ser>
        <c:dLbls>
          <c:showLegendKey val="0"/>
          <c:showVal val="0"/>
          <c:showCatName val="0"/>
          <c:showSerName val="0"/>
          <c:showPercent val="0"/>
          <c:showBubbleSize val="0"/>
        </c:dLbls>
        <c:marker val="1"/>
        <c:smooth val="0"/>
        <c:axId val="55065216"/>
        <c:axId val="55685504"/>
      </c:lineChart>
      <c:catAx>
        <c:axId val="55065216"/>
        <c:scaling>
          <c:orientation val="minMax"/>
        </c:scaling>
        <c:delete val="0"/>
        <c:axPos val="b"/>
        <c:numFmt formatCode="General" sourceLinked="1"/>
        <c:majorTickMark val="out"/>
        <c:minorTickMark val="none"/>
        <c:tickLblPos val="low"/>
        <c:txPr>
          <a:bodyPr/>
          <a:lstStyle/>
          <a:p>
            <a:pPr>
              <a:defRPr sz="800" b="0"/>
            </a:pPr>
            <a:endParaRPr lang="es-ES"/>
          </a:p>
        </c:txPr>
        <c:crossAx val="55685504"/>
        <c:crosses val="autoZero"/>
        <c:auto val="1"/>
        <c:lblAlgn val="ctr"/>
        <c:lblOffset val="100"/>
        <c:noMultiLvlLbl val="0"/>
      </c:catAx>
      <c:valAx>
        <c:axId val="55685504"/>
        <c:scaling>
          <c:orientation val="minMax"/>
        </c:scaling>
        <c:delete val="0"/>
        <c:axPos val="l"/>
        <c:numFmt formatCode="0%" sourceLinked="0"/>
        <c:majorTickMark val="out"/>
        <c:minorTickMark val="none"/>
        <c:tickLblPos val="nextTo"/>
        <c:txPr>
          <a:bodyPr/>
          <a:lstStyle/>
          <a:p>
            <a:pPr>
              <a:defRPr sz="800" b="1"/>
            </a:pPr>
            <a:endParaRPr lang="es-ES"/>
          </a:p>
        </c:txPr>
        <c:crossAx val="5506521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7513918026683"/>
          <c:y val="6.168066491688539E-2"/>
          <c:w val="0.85127977742685235"/>
          <c:h val="0.82004374453193363"/>
        </c:manualLayout>
      </c:layout>
      <c:lineChart>
        <c:grouping val="standard"/>
        <c:varyColors val="0"/>
        <c:ser>
          <c:idx val="0"/>
          <c:order val="0"/>
          <c:tx>
            <c:strRef>
              <c:f>Hoja1!$B$1</c:f>
              <c:strCache>
                <c:ptCount val="1"/>
                <c:pt idx="0">
                  <c:v>ISR total</c:v>
                </c:pt>
              </c:strCache>
            </c:strRef>
          </c:tx>
          <c:marker>
            <c:symbol val="circle"/>
            <c:size val="5"/>
          </c:marker>
          <c:dLbls>
            <c:dLbl>
              <c:idx val="0"/>
              <c:layout>
                <c:manualLayout>
                  <c:x val="-6.228373702422145E-2"/>
                  <c:y val="-6.44444444444444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E9E-4A76-956C-4252E58D3839}"/>
                </c:ext>
              </c:extLst>
            </c:dLbl>
            <c:dLbl>
              <c:idx val="1"/>
              <c:layout>
                <c:manualLayout>
                  <c:x val="-7.1534207013050702E-2"/>
                  <c:y val="6.888888888888888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9E-4A76-956C-4252E58D3839}"/>
                </c:ext>
              </c:extLst>
            </c:dLbl>
            <c:dLbl>
              <c:idx val="2"/>
              <c:layout>
                <c:manualLayout>
                  <c:x val="-7.1546509028859367E-2"/>
                  <c:y val="-3.1111111111111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E9E-4A76-956C-4252E58D3839}"/>
                </c:ext>
              </c:extLst>
            </c:dLbl>
            <c:dLbl>
              <c:idx val="3"/>
              <c:layout>
                <c:manualLayout>
                  <c:x val="-0.1638587583660282"/>
                  <c:y val="1.888888888888888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9E-4A76-956C-4252E58D3839}"/>
                </c:ext>
              </c:extLst>
            </c:dLbl>
            <c:dLbl>
              <c:idx val="4"/>
              <c:layout>
                <c:manualLayout>
                  <c:x val="-0.11461753872042255"/>
                  <c:y val="4.666666666666666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E9E-4A76-956C-4252E58D3839}"/>
                </c:ext>
              </c:extLst>
            </c:dLbl>
            <c:dLbl>
              <c:idx val="6"/>
              <c:layout>
                <c:manualLayout>
                  <c:x val="-0.15923538636830331"/>
                  <c:y val="2.2222222222222222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E9E-4A76-956C-4252E58D3839}"/>
                </c:ext>
              </c:extLst>
            </c:dLbl>
            <c:dLbl>
              <c:idx val="7"/>
              <c:layout>
                <c:manualLayout>
                  <c:x val="-3.8067131753926559E-3"/>
                  <c:y val="5.22222222222221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E9E-4A76-956C-4252E58D3839}"/>
                </c:ext>
              </c:extLst>
            </c:dLbl>
            <c:spPr>
              <a:noFill/>
              <a:ln>
                <a:noFill/>
              </a:ln>
              <a:effectLst/>
            </c:spPr>
            <c:txPr>
              <a:bodyPr/>
              <a:lstStyle/>
              <a:p>
                <a:pPr>
                  <a:defRPr sz="800" b="1">
                    <a:solidFill>
                      <a:srgbClr val="0070C0"/>
                    </a:solidFill>
                  </a:defRPr>
                </a:pPr>
                <a:endParaRPr lang="es-E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Hoja1!$B$2:$B$10</c:f>
              <c:numCache>
                <c:formatCode>0.0%</c:formatCode>
                <c:ptCount val="9"/>
                <c:pt idx="0">
                  <c:v>0.29957877193375126</c:v>
                </c:pt>
                <c:pt idx="1">
                  <c:v>5.2869064841115199E-2</c:v>
                </c:pt>
                <c:pt idx="2">
                  <c:v>0.20575345497836528</c:v>
                </c:pt>
                <c:pt idx="3">
                  <c:v>0.11205763550288772</c:v>
                </c:pt>
                <c:pt idx="4">
                  <c:v>-4.0801274157492462E-2</c:v>
                </c:pt>
                <c:pt idx="5">
                  <c:v>0.21074383415848796</c:v>
                </c:pt>
                <c:pt idx="6">
                  <c:v>-1.1649383645444544E-2</c:v>
                </c:pt>
                <c:pt idx="7">
                  <c:v>-4.3312050183095252E-3</c:v>
                </c:pt>
                <c:pt idx="8">
                  <c:v>5.3107474471494331E-2</c:v>
                </c:pt>
              </c:numCache>
            </c:numRef>
          </c:val>
          <c:smooth val="1"/>
          <c:extLst xmlns:c16r2="http://schemas.microsoft.com/office/drawing/2015/06/chart">
            <c:ext xmlns:c16="http://schemas.microsoft.com/office/drawing/2014/chart" uri="{C3380CC4-5D6E-409C-BE32-E72D297353CC}">
              <c16:uniqueId val="{00000007-5E9E-4A76-956C-4252E58D3839}"/>
            </c:ext>
          </c:extLst>
        </c:ser>
        <c:dLbls>
          <c:showLegendKey val="0"/>
          <c:showVal val="0"/>
          <c:showCatName val="0"/>
          <c:showSerName val="0"/>
          <c:showPercent val="0"/>
          <c:showBubbleSize val="0"/>
        </c:dLbls>
        <c:marker val="1"/>
        <c:smooth val="0"/>
        <c:axId val="72911872"/>
        <c:axId val="72917760"/>
      </c:lineChart>
      <c:catAx>
        <c:axId val="72911872"/>
        <c:scaling>
          <c:orientation val="minMax"/>
        </c:scaling>
        <c:delete val="0"/>
        <c:axPos val="b"/>
        <c:numFmt formatCode="General" sourceLinked="1"/>
        <c:majorTickMark val="out"/>
        <c:minorTickMark val="none"/>
        <c:tickLblPos val="low"/>
        <c:txPr>
          <a:bodyPr/>
          <a:lstStyle/>
          <a:p>
            <a:pPr>
              <a:defRPr sz="800" b="0"/>
            </a:pPr>
            <a:endParaRPr lang="es-ES"/>
          </a:p>
        </c:txPr>
        <c:crossAx val="72917760"/>
        <c:crosses val="autoZero"/>
        <c:auto val="1"/>
        <c:lblAlgn val="ctr"/>
        <c:lblOffset val="100"/>
        <c:noMultiLvlLbl val="0"/>
      </c:catAx>
      <c:valAx>
        <c:axId val="72917760"/>
        <c:scaling>
          <c:orientation val="minMax"/>
        </c:scaling>
        <c:delete val="0"/>
        <c:axPos val="l"/>
        <c:numFmt formatCode="0%" sourceLinked="0"/>
        <c:majorTickMark val="out"/>
        <c:minorTickMark val="none"/>
        <c:tickLblPos val="nextTo"/>
        <c:txPr>
          <a:bodyPr/>
          <a:lstStyle/>
          <a:p>
            <a:pPr>
              <a:defRPr sz="800" b="1"/>
            </a:pPr>
            <a:endParaRPr lang="es-ES"/>
          </a:p>
        </c:txPr>
        <c:crossAx val="7291187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5232439165441"/>
          <c:y val="3.082080649009783E-2"/>
          <c:w val="0.85506970950665062"/>
          <c:h val="0.88424520798536543"/>
        </c:manualLayout>
      </c:layout>
      <c:lineChart>
        <c:grouping val="standard"/>
        <c:varyColors val="0"/>
        <c:ser>
          <c:idx val="0"/>
          <c:order val="0"/>
          <c:tx>
            <c:strRef>
              <c:f>Hoja1!$B$1</c:f>
              <c:strCache>
                <c:ptCount val="1"/>
                <c:pt idx="0">
                  <c:v>Productividad IVA A junio</c:v>
                </c:pt>
              </c:strCache>
            </c:strRef>
          </c:tx>
          <c:marker>
            <c:symbol val="circle"/>
            <c:size val="7"/>
          </c:marker>
          <c:dLbls>
            <c:dLbl>
              <c:idx val="1"/>
              <c:layout>
                <c:manualLayout>
                  <c:x val="-0.12881355932203392"/>
                  <c:y val="-7.777777777777779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2C-46CE-9817-AD38263BC18F}"/>
                </c:ext>
              </c:extLst>
            </c:dLbl>
            <c:dLbl>
              <c:idx val="2"/>
              <c:layout>
                <c:manualLayout>
                  <c:x val="-2.0338983050847498E-2"/>
                  <c:y val="-1.212121212121214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2C-46CE-9817-AD38263BC18F}"/>
                </c:ext>
              </c:extLst>
            </c:dLbl>
            <c:dLbl>
              <c:idx val="3"/>
              <c:layout>
                <c:manualLayout>
                  <c:x val="-6.7796610169491523E-3"/>
                  <c:y val="-4.242424242424242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2C-46CE-9817-AD38263BC18F}"/>
                </c:ext>
              </c:extLst>
            </c:dLbl>
            <c:dLbl>
              <c:idx val="4"/>
              <c:layout>
                <c:manualLayout>
                  <c:x val="-0.21920903954802259"/>
                  <c:y val="-1.21212121212121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2C-46CE-9817-AD38263BC18F}"/>
                </c:ext>
              </c:extLst>
            </c:dLbl>
            <c:dLbl>
              <c:idx val="5"/>
              <c:layout>
                <c:manualLayout>
                  <c:x val="-0.19209039548022599"/>
                  <c:y val="8.0808080808079889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2C-46CE-9817-AD38263BC18F}"/>
                </c:ext>
              </c:extLst>
            </c:dLbl>
            <c:dLbl>
              <c:idx val="6"/>
              <c:layout>
                <c:manualLayout>
                  <c:x val="-9.7175141242937857E-2"/>
                  <c:y val="4.848484848484848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C2C-46CE-9817-AD38263BC18F}"/>
                </c:ext>
              </c:extLst>
            </c:dLbl>
            <c:dLbl>
              <c:idx val="7"/>
              <c:layout>
                <c:manualLayout>
                  <c:x val="-0.14237288135593229"/>
                  <c:y val="-6.262626262626272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C2C-46CE-9817-AD38263BC18F}"/>
                </c:ext>
              </c:extLst>
            </c:dLbl>
            <c:dLbl>
              <c:idx val="8"/>
              <c:layout>
                <c:manualLayout>
                  <c:x val="-2.4858757062146894E-2"/>
                  <c:y val="5.858585858585858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C2C-46CE-9817-AD38263BC18F}"/>
                </c:ext>
              </c:extLst>
            </c:dLbl>
            <c:dLbl>
              <c:idx val="9"/>
              <c:layout>
                <c:manualLayout>
                  <c:x val="-2.0755371680236541E-3"/>
                  <c:y val="-5.757575757575757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C2C-46CE-9817-AD38263BC18F}"/>
                </c:ext>
              </c:extLst>
            </c:dLbl>
            <c:numFmt formatCode="0.0%" sourceLinked="0"/>
            <c:spPr>
              <a:noFill/>
              <a:ln>
                <a:noFill/>
              </a:ln>
              <a:effectLst/>
            </c:spPr>
            <c:txPr>
              <a:bodyPr/>
              <a:lstStyle/>
              <a:p>
                <a:pPr>
                  <a:defRPr sz="700" b="1">
                    <a:solidFill>
                      <a:srgbClr val="0070C0"/>
                    </a:solidFill>
                  </a:defRPr>
                </a:pPr>
                <a:endParaRPr lang="es-E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Hoja1!$B$2:$B$11</c:f>
              <c:numCache>
                <c:formatCode>0.0%</c:formatCode>
                <c:ptCount val="10"/>
                <c:pt idx="0">
                  <c:v>0.60905133943109357</c:v>
                </c:pt>
                <c:pt idx="1">
                  <c:v>0.62231210590443231</c:v>
                </c:pt>
                <c:pt idx="2">
                  <c:v>0.62598514221288903</c:v>
                </c:pt>
                <c:pt idx="3">
                  <c:v>0.60606658943912728</c:v>
                </c:pt>
                <c:pt idx="4">
                  <c:v>0.58363212167586964</c:v>
                </c:pt>
                <c:pt idx="5">
                  <c:v>0.56326375572136467</c:v>
                </c:pt>
                <c:pt idx="6">
                  <c:v>0.55630074334722079</c:v>
                </c:pt>
                <c:pt idx="7">
                  <c:v>0.5699474934435057</c:v>
                </c:pt>
                <c:pt idx="8">
                  <c:v>0.57617136432708327</c:v>
                </c:pt>
                <c:pt idx="9">
                  <c:v>0.5792792000438135</c:v>
                </c:pt>
              </c:numCache>
            </c:numRef>
          </c:val>
          <c:smooth val="1"/>
          <c:extLst xmlns:c16r2="http://schemas.microsoft.com/office/drawing/2015/06/chart">
            <c:ext xmlns:c16="http://schemas.microsoft.com/office/drawing/2014/chart" uri="{C3380CC4-5D6E-409C-BE32-E72D297353CC}">
              <c16:uniqueId val="{00000009-AC2C-46CE-9817-AD38263BC18F}"/>
            </c:ext>
          </c:extLst>
        </c:ser>
        <c:dLbls>
          <c:showLegendKey val="0"/>
          <c:showVal val="0"/>
          <c:showCatName val="0"/>
          <c:showSerName val="0"/>
          <c:showPercent val="0"/>
          <c:showBubbleSize val="0"/>
        </c:dLbls>
        <c:marker val="1"/>
        <c:smooth val="0"/>
        <c:axId val="59314560"/>
        <c:axId val="59316096"/>
      </c:lineChart>
      <c:catAx>
        <c:axId val="59314560"/>
        <c:scaling>
          <c:orientation val="minMax"/>
        </c:scaling>
        <c:delete val="0"/>
        <c:axPos val="b"/>
        <c:numFmt formatCode="General" sourceLinked="1"/>
        <c:majorTickMark val="out"/>
        <c:minorTickMark val="none"/>
        <c:tickLblPos val="nextTo"/>
        <c:txPr>
          <a:bodyPr/>
          <a:lstStyle/>
          <a:p>
            <a:pPr>
              <a:defRPr sz="800" b="0"/>
            </a:pPr>
            <a:endParaRPr lang="es-ES"/>
          </a:p>
        </c:txPr>
        <c:crossAx val="59316096"/>
        <c:crosses val="autoZero"/>
        <c:auto val="1"/>
        <c:lblAlgn val="ctr"/>
        <c:lblOffset val="100"/>
        <c:noMultiLvlLbl val="0"/>
      </c:catAx>
      <c:valAx>
        <c:axId val="59316096"/>
        <c:scaling>
          <c:orientation val="minMax"/>
          <c:min val="0.54"/>
        </c:scaling>
        <c:delete val="0"/>
        <c:axPos val="l"/>
        <c:numFmt formatCode="0%" sourceLinked="0"/>
        <c:majorTickMark val="out"/>
        <c:minorTickMark val="none"/>
        <c:tickLblPos val="nextTo"/>
        <c:txPr>
          <a:bodyPr/>
          <a:lstStyle/>
          <a:p>
            <a:pPr>
              <a:defRPr sz="800"/>
            </a:pPr>
            <a:endParaRPr lang="es-ES"/>
          </a:p>
        </c:txPr>
        <c:crossAx val="5931456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6040304283999"/>
          <c:y val="3.082080649009783E-2"/>
          <c:w val="0.84281139354225021"/>
          <c:h val="0.88424520798536543"/>
        </c:manualLayout>
      </c:layout>
      <c:lineChart>
        <c:grouping val="standard"/>
        <c:varyColors val="0"/>
        <c:ser>
          <c:idx val="0"/>
          <c:order val="0"/>
          <c:tx>
            <c:strRef>
              <c:f>Hoja1!$B$1</c:f>
              <c:strCache>
                <c:ptCount val="1"/>
                <c:pt idx="0">
                  <c:v>IVA dom</c:v>
                </c:pt>
              </c:strCache>
            </c:strRef>
          </c:tx>
          <c:marker>
            <c:symbol val="circle"/>
            <c:size val="7"/>
          </c:marker>
          <c:dLbls>
            <c:spPr>
              <a:noFill/>
              <a:ln>
                <a:noFill/>
              </a:ln>
              <a:effectLst/>
            </c:spPr>
            <c:txPr>
              <a:bodyPr/>
              <a:lstStyle/>
              <a:p>
                <a:pPr>
                  <a:defRPr sz="600" b="1">
                    <a:solidFill>
                      <a:srgbClr val="0070C0"/>
                    </a:solidFill>
                  </a:defRPr>
                </a:pPr>
                <a:endParaRPr lang="es-E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Hoja1!$B$2:$B$11</c:f>
              <c:numCache>
                <c:formatCode>0.0%</c:formatCode>
                <c:ptCount val="10"/>
                <c:pt idx="0">
                  <c:v>0.16578534880842599</c:v>
                </c:pt>
                <c:pt idx="1">
                  <c:v>0.17137158206938063</c:v>
                </c:pt>
                <c:pt idx="2">
                  <c:v>0.17790142934391079</c:v>
                </c:pt>
                <c:pt idx="3">
                  <c:v>0.18545435156285522</c:v>
                </c:pt>
                <c:pt idx="4">
                  <c:v>0.18805506072319766</c:v>
                </c:pt>
                <c:pt idx="5">
                  <c:v>0.18717650255442947</c:v>
                </c:pt>
                <c:pt idx="6">
                  <c:v>0.19767497256819136</c:v>
                </c:pt>
                <c:pt idx="7">
                  <c:v>0.20557530097080115</c:v>
                </c:pt>
                <c:pt idx="8">
                  <c:v>0.20155710158501924</c:v>
                </c:pt>
                <c:pt idx="9">
                  <c:v>0.20836077208269294</c:v>
                </c:pt>
              </c:numCache>
            </c:numRef>
          </c:val>
          <c:smooth val="1"/>
          <c:extLst xmlns:c16r2="http://schemas.microsoft.com/office/drawing/2015/06/chart">
            <c:ext xmlns:c16="http://schemas.microsoft.com/office/drawing/2014/chart" uri="{C3380CC4-5D6E-409C-BE32-E72D297353CC}">
              <c16:uniqueId val="{00000000-FC32-40D8-9B9F-480B033EB922}"/>
            </c:ext>
          </c:extLst>
        </c:ser>
        <c:ser>
          <c:idx val="1"/>
          <c:order val="1"/>
          <c:tx>
            <c:strRef>
              <c:f>Hoja1!$C$1</c:f>
              <c:strCache>
                <c:ptCount val="1"/>
                <c:pt idx="0">
                  <c:v>IVA imp</c:v>
                </c:pt>
              </c:strCache>
            </c:strRef>
          </c:tx>
          <c:spPr>
            <a:ln>
              <a:solidFill>
                <a:srgbClr val="FF0000"/>
              </a:solidFill>
            </a:ln>
          </c:spPr>
          <c:marker>
            <c:symbol val="circle"/>
            <c:size val="6"/>
            <c:spPr>
              <a:solidFill>
                <a:srgbClr val="FF0000"/>
              </a:solidFill>
            </c:spPr>
          </c:marker>
          <c:dLbls>
            <c:spPr>
              <a:noFill/>
              <a:ln>
                <a:noFill/>
              </a:ln>
              <a:effectLst/>
            </c:spPr>
            <c:txPr>
              <a:bodyPr/>
              <a:lstStyle/>
              <a:p>
                <a:pPr>
                  <a:defRPr sz="600" b="1">
                    <a:solidFill>
                      <a:srgbClr val="FF0000"/>
                    </a:solidFill>
                  </a:defRPr>
                </a:pPr>
                <a:endParaRPr lang="es-E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Hoja1!$C$2:$C$11</c:f>
              <c:numCache>
                <c:formatCode>0.0%</c:formatCode>
                <c:ptCount val="10"/>
                <c:pt idx="0">
                  <c:v>0.25733484039328153</c:v>
                </c:pt>
                <c:pt idx="1">
                  <c:v>0.26797088505341005</c:v>
                </c:pt>
                <c:pt idx="2">
                  <c:v>0.2678909602899498</c:v>
                </c:pt>
                <c:pt idx="3">
                  <c:v>0.25232112053432187</c:v>
                </c:pt>
                <c:pt idx="4">
                  <c:v>0.24326534052249255</c:v>
                </c:pt>
                <c:pt idx="5">
                  <c:v>0.22021546575097523</c:v>
                </c:pt>
                <c:pt idx="6">
                  <c:v>0.2042759107499571</c:v>
                </c:pt>
                <c:pt idx="7">
                  <c:v>0.20946326729529005</c:v>
                </c:pt>
                <c:pt idx="8">
                  <c:v>0.21987873432487076</c:v>
                </c:pt>
                <c:pt idx="9">
                  <c:v>0.21831028392642848</c:v>
                </c:pt>
              </c:numCache>
            </c:numRef>
          </c:val>
          <c:smooth val="0"/>
          <c:extLst xmlns:c16r2="http://schemas.microsoft.com/office/drawing/2015/06/chart">
            <c:ext xmlns:c16="http://schemas.microsoft.com/office/drawing/2014/chart" uri="{C3380CC4-5D6E-409C-BE32-E72D297353CC}">
              <c16:uniqueId val="{00000001-FC32-40D8-9B9F-480B033EB922}"/>
            </c:ext>
          </c:extLst>
        </c:ser>
        <c:dLbls>
          <c:showLegendKey val="0"/>
          <c:showVal val="0"/>
          <c:showCatName val="0"/>
          <c:showSerName val="0"/>
          <c:showPercent val="0"/>
          <c:showBubbleSize val="0"/>
        </c:dLbls>
        <c:marker val="1"/>
        <c:smooth val="0"/>
        <c:axId val="66395520"/>
        <c:axId val="66401408"/>
      </c:lineChart>
      <c:catAx>
        <c:axId val="66395520"/>
        <c:scaling>
          <c:orientation val="minMax"/>
        </c:scaling>
        <c:delete val="0"/>
        <c:axPos val="b"/>
        <c:numFmt formatCode="General" sourceLinked="1"/>
        <c:majorTickMark val="out"/>
        <c:minorTickMark val="none"/>
        <c:tickLblPos val="nextTo"/>
        <c:txPr>
          <a:bodyPr/>
          <a:lstStyle/>
          <a:p>
            <a:pPr>
              <a:defRPr sz="800" b="0"/>
            </a:pPr>
            <a:endParaRPr lang="es-ES"/>
          </a:p>
        </c:txPr>
        <c:crossAx val="66401408"/>
        <c:crosses val="autoZero"/>
        <c:auto val="1"/>
        <c:lblAlgn val="ctr"/>
        <c:lblOffset val="100"/>
        <c:noMultiLvlLbl val="0"/>
      </c:catAx>
      <c:valAx>
        <c:axId val="66401408"/>
        <c:scaling>
          <c:orientation val="minMax"/>
          <c:min val="0.12000000000000001"/>
        </c:scaling>
        <c:delete val="0"/>
        <c:axPos val="l"/>
        <c:numFmt formatCode="0%" sourceLinked="0"/>
        <c:majorTickMark val="out"/>
        <c:minorTickMark val="none"/>
        <c:tickLblPos val="nextTo"/>
        <c:txPr>
          <a:bodyPr/>
          <a:lstStyle/>
          <a:p>
            <a:pPr>
              <a:defRPr sz="800" b="1"/>
            </a:pPr>
            <a:endParaRPr lang="es-ES"/>
          </a:p>
        </c:txPr>
        <c:crossAx val="66395520"/>
        <c:crosses val="autoZero"/>
        <c:crossBetween val="between"/>
      </c:valAx>
    </c:plotArea>
    <c:legend>
      <c:legendPos val="b"/>
      <c:layout>
        <c:manualLayout>
          <c:xMode val="edge"/>
          <c:yMode val="edge"/>
          <c:x val="0.27030732860520096"/>
          <c:y val="0.8133122564224925"/>
          <c:w val="0.65507789492415147"/>
          <c:h val="8.5677642567406342E-2"/>
        </c:manualLayout>
      </c:layout>
      <c:overlay val="0"/>
      <c:txPr>
        <a:bodyPr/>
        <a:lstStyle/>
        <a:p>
          <a:pPr>
            <a:defRPr b="1"/>
          </a:pPr>
          <a:endParaRPr lang="es-E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10213230532655E-2"/>
          <c:y val="5.542957923910305E-2"/>
          <c:w val="0.82446589792121194"/>
          <c:h val="0.76590344906073737"/>
        </c:manualLayout>
      </c:layout>
      <c:lineChart>
        <c:grouping val="standard"/>
        <c:varyColors val="0"/>
        <c:ser>
          <c:idx val="0"/>
          <c:order val="0"/>
          <c:tx>
            <c:strRef>
              <c:f>Hoja1!$B$1</c:f>
              <c:strCache>
                <c:ptCount val="1"/>
                <c:pt idx="0">
                  <c:v>Cumplimiento Meta</c:v>
                </c:pt>
              </c:strCache>
            </c:strRef>
          </c:tx>
          <c:spPr>
            <a:ln>
              <a:solidFill>
                <a:schemeClr val="tx1"/>
              </a:solidFill>
            </a:ln>
          </c:spPr>
          <c:marker>
            <c:symbol val="circle"/>
            <c:size val="5"/>
            <c:spPr>
              <a:solidFill>
                <a:schemeClr val="tx1"/>
              </a:solidFill>
            </c:spPr>
          </c:marker>
          <c:dLbls>
            <c:dLbl>
              <c:idx val="0"/>
              <c:layout>
                <c:manualLayout>
                  <c:x val="-6.0923774440351387E-2"/>
                  <c:y val="-6.26317374284854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D55-4F7F-9DBD-A163E9AC1EFE}"/>
                </c:ext>
              </c:extLst>
            </c:dLbl>
            <c:dLbl>
              <c:idx val="2"/>
              <c:layout>
                <c:manualLayout>
                  <c:x val="-5.2422782657976764E-2"/>
                  <c:y val="-6.263173742848539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55-4F7F-9DBD-A163E9AC1EFE}"/>
                </c:ext>
              </c:extLst>
            </c:dLbl>
            <c:dLbl>
              <c:idx val="3"/>
              <c:layout>
                <c:manualLayout>
                  <c:x val="-5.8090110512893173E-2"/>
                  <c:y val="3.97470641373080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D55-4F7F-9DBD-A163E9AC1EFE}"/>
                </c:ext>
              </c:extLst>
            </c:dLbl>
            <c:dLbl>
              <c:idx val="4"/>
              <c:layout>
                <c:manualLayout>
                  <c:x val="-4.3921790875602156E-2"/>
                  <c:y val="8.792532369768142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55-4F7F-9DBD-A163E9AC1EFE}"/>
                </c:ext>
              </c:extLst>
            </c:dLbl>
            <c:dLbl>
              <c:idx val="5"/>
              <c:layout>
                <c:manualLayout>
                  <c:x val="-3.8254463020685851E-2"/>
                  <c:y val="6.383619391749467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D55-4F7F-9DBD-A163E9AC1EFE}"/>
                </c:ext>
              </c:extLst>
            </c:dLbl>
            <c:dLbl>
              <c:idx val="6"/>
              <c:layout>
                <c:manualLayout>
                  <c:x val="-5.8090110512893173E-2"/>
                  <c:y val="-3.8542607648298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D55-4F7F-9DBD-A163E9AC1EFE}"/>
                </c:ext>
              </c:extLst>
            </c:dLbl>
            <c:dLbl>
              <c:idx val="7"/>
              <c:layout>
                <c:manualLayout>
                  <c:x val="-5.5256446585434965E-2"/>
                  <c:y val="-0.1288768443239988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D55-4F7F-9DBD-A163E9AC1EFE}"/>
                </c:ext>
              </c:extLst>
            </c:dLbl>
            <c:spPr>
              <a:noFill/>
              <a:ln>
                <a:noFill/>
              </a:ln>
              <a:effectLst/>
            </c:spPr>
            <c:txPr>
              <a:bodyPr/>
              <a:lstStyle/>
              <a:p>
                <a:pPr>
                  <a:defRPr sz="800" b="1"/>
                </a:pPr>
                <a:endParaRPr lang="es-E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Hoja1!$A$2:$A$9</c:f>
              <c:numCache>
                <c:formatCode>General</c:formatCode>
                <c:ptCount val="8"/>
                <c:pt idx="0">
                  <c:v>2012</c:v>
                </c:pt>
                <c:pt idx="1">
                  <c:v>2013</c:v>
                </c:pt>
                <c:pt idx="2">
                  <c:v>2014</c:v>
                </c:pt>
                <c:pt idx="3">
                  <c:v>2015</c:v>
                </c:pt>
                <c:pt idx="4">
                  <c:v>2016</c:v>
                </c:pt>
                <c:pt idx="5">
                  <c:v>2017</c:v>
                </c:pt>
                <c:pt idx="6">
                  <c:v>2018</c:v>
                </c:pt>
                <c:pt idx="7">
                  <c:v>2019</c:v>
                </c:pt>
              </c:numCache>
            </c:numRef>
          </c:cat>
          <c:val>
            <c:numRef>
              <c:f>Hoja1!$B$2:$B$9</c:f>
              <c:numCache>
                <c:formatCode>0.0%</c:formatCode>
                <c:ptCount val="8"/>
                <c:pt idx="0">
                  <c:v>1.0174653998217884</c:v>
                </c:pt>
                <c:pt idx="1">
                  <c:v>0.94746850892831502</c:v>
                </c:pt>
                <c:pt idx="2">
                  <c:v>1.0039327737727965</c:v>
                </c:pt>
                <c:pt idx="3">
                  <c:v>0.94982109706004814</c:v>
                </c:pt>
                <c:pt idx="4">
                  <c:v>1.0198603618704853</c:v>
                </c:pt>
                <c:pt idx="5">
                  <c:v>1.0344790678193916</c:v>
                </c:pt>
                <c:pt idx="6">
                  <c:v>1.0737440773540572</c:v>
                </c:pt>
                <c:pt idx="7">
                  <c:v>0.99469006269655502</c:v>
                </c:pt>
              </c:numCache>
            </c:numRef>
          </c:val>
          <c:smooth val="0"/>
          <c:extLst xmlns:c16r2="http://schemas.microsoft.com/office/drawing/2015/06/chart">
            <c:ext xmlns:c16="http://schemas.microsoft.com/office/drawing/2014/chart" uri="{C3380CC4-5D6E-409C-BE32-E72D297353CC}">
              <c16:uniqueId val="{00000007-AD55-4F7F-9DBD-A163E9AC1EFE}"/>
            </c:ext>
          </c:extLst>
        </c:ser>
        <c:dLbls>
          <c:showLegendKey val="0"/>
          <c:showVal val="0"/>
          <c:showCatName val="0"/>
          <c:showSerName val="0"/>
          <c:showPercent val="0"/>
          <c:showBubbleSize val="0"/>
        </c:dLbls>
        <c:marker val="1"/>
        <c:smooth val="0"/>
        <c:axId val="66433408"/>
        <c:axId val="66434944"/>
      </c:lineChart>
      <c:lineChart>
        <c:grouping val="standard"/>
        <c:varyColors val="0"/>
        <c:ser>
          <c:idx val="1"/>
          <c:order val="1"/>
          <c:tx>
            <c:strRef>
              <c:f>Hoja1!$C$1</c:f>
              <c:strCache>
                <c:ptCount val="1"/>
                <c:pt idx="0">
                  <c:v>Variación Interanual</c:v>
                </c:pt>
              </c:strCache>
            </c:strRef>
          </c:tx>
          <c:spPr>
            <a:ln>
              <a:solidFill>
                <a:srgbClr val="FF0000"/>
              </a:solidFill>
            </a:ln>
          </c:spPr>
          <c:marker>
            <c:symbol val="circle"/>
            <c:size val="5"/>
            <c:spPr>
              <a:solidFill>
                <a:schemeClr val="bg1"/>
              </a:solidFill>
            </c:spPr>
          </c:marker>
          <c:dLbls>
            <c:dLbl>
              <c:idx val="2"/>
              <c:layout>
                <c:manualLayout>
                  <c:x val="8.1018518518518514E-3"/>
                  <c:y val="1.825396825396825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D55-4F7F-9DBD-A163E9AC1EFE}"/>
                </c:ext>
              </c:extLst>
            </c:dLbl>
            <c:dLbl>
              <c:idx val="4"/>
              <c:layout>
                <c:manualLayout>
                  <c:x val="-6.9085395920862783E-2"/>
                  <c:y val="-6.222961967152481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D55-4F7F-9DBD-A163E9AC1EFE}"/>
                </c:ext>
              </c:extLst>
            </c:dLbl>
            <c:spPr>
              <a:noFill/>
              <a:ln>
                <a:noFill/>
              </a:ln>
              <a:effectLst/>
            </c:spPr>
            <c:txPr>
              <a:bodyPr/>
              <a:lstStyle/>
              <a:p>
                <a:pPr>
                  <a:defRPr sz="800" b="1">
                    <a:solidFill>
                      <a:srgbClr val="FF0000"/>
                    </a:solidFill>
                  </a:defRPr>
                </a:pPr>
                <a:endParaRPr lang="es-E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Hoja1!$A$2:$A$9</c:f>
              <c:numCache>
                <c:formatCode>General</c:formatCode>
                <c:ptCount val="8"/>
                <c:pt idx="0">
                  <c:v>2012</c:v>
                </c:pt>
                <c:pt idx="1">
                  <c:v>2013</c:v>
                </c:pt>
                <c:pt idx="2">
                  <c:v>2014</c:v>
                </c:pt>
                <c:pt idx="3">
                  <c:v>2015</c:v>
                </c:pt>
                <c:pt idx="4">
                  <c:v>2016</c:v>
                </c:pt>
                <c:pt idx="5">
                  <c:v>2017</c:v>
                </c:pt>
                <c:pt idx="6">
                  <c:v>2018</c:v>
                </c:pt>
                <c:pt idx="7">
                  <c:v>2019</c:v>
                </c:pt>
              </c:numCache>
            </c:numRef>
          </c:cat>
          <c:val>
            <c:numRef>
              <c:f>Hoja1!$C$2:$C$9</c:f>
              <c:numCache>
                <c:formatCode>0.0%</c:formatCode>
                <c:ptCount val="8"/>
                <c:pt idx="0">
                  <c:v>6.2733650835901988E-2</c:v>
                </c:pt>
                <c:pt idx="1">
                  <c:v>8.2104948670144395E-2</c:v>
                </c:pt>
                <c:pt idx="2">
                  <c:v>5.9594872349212347E-2</c:v>
                </c:pt>
                <c:pt idx="3">
                  <c:v>1.2909658553930559E-2</c:v>
                </c:pt>
                <c:pt idx="4">
                  <c:v>8.8048639750623492E-2</c:v>
                </c:pt>
                <c:pt idx="5">
                  <c:v>4.7581650280832166E-2</c:v>
                </c:pt>
                <c:pt idx="6">
                  <c:v>3.7956311303073198E-2</c:v>
                </c:pt>
                <c:pt idx="7">
                  <c:v>6.3872322224255651E-2</c:v>
                </c:pt>
              </c:numCache>
            </c:numRef>
          </c:val>
          <c:smooth val="0"/>
          <c:extLst xmlns:c16r2="http://schemas.microsoft.com/office/drawing/2015/06/chart">
            <c:ext xmlns:c16="http://schemas.microsoft.com/office/drawing/2014/chart" uri="{C3380CC4-5D6E-409C-BE32-E72D297353CC}">
              <c16:uniqueId val="{0000000A-AD55-4F7F-9DBD-A163E9AC1EFE}"/>
            </c:ext>
          </c:extLst>
        </c:ser>
        <c:dLbls>
          <c:showLegendKey val="0"/>
          <c:showVal val="0"/>
          <c:showCatName val="0"/>
          <c:showSerName val="0"/>
          <c:showPercent val="0"/>
          <c:showBubbleSize val="0"/>
        </c:dLbls>
        <c:marker val="1"/>
        <c:smooth val="0"/>
        <c:axId val="66442368"/>
        <c:axId val="66436480"/>
      </c:lineChart>
      <c:catAx>
        <c:axId val="66433408"/>
        <c:scaling>
          <c:orientation val="minMax"/>
        </c:scaling>
        <c:delete val="0"/>
        <c:axPos val="b"/>
        <c:numFmt formatCode="General" sourceLinked="1"/>
        <c:majorTickMark val="out"/>
        <c:minorTickMark val="none"/>
        <c:tickLblPos val="low"/>
        <c:txPr>
          <a:bodyPr/>
          <a:lstStyle/>
          <a:p>
            <a:pPr>
              <a:defRPr sz="800"/>
            </a:pPr>
            <a:endParaRPr lang="es-ES"/>
          </a:p>
        </c:txPr>
        <c:crossAx val="66434944"/>
        <c:crosses val="autoZero"/>
        <c:auto val="1"/>
        <c:lblAlgn val="ctr"/>
        <c:lblOffset val="100"/>
        <c:noMultiLvlLbl val="0"/>
      </c:catAx>
      <c:valAx>
        <c:axId val="66434944"/>
        <c:scaling>
          <c:orientation val="minMax"/>
        </c:scaling>
        <c:delete val="0"/>
        <c:axPos val="l"/>
        <c:numFmt formatCode="0%" sourceLinked="0"/>
        <c:majorTickMark val="out"/>
        <c:minorTickMark val="none"/>
        <c:tickLblPos val="nextTo"/>
        <c:txPr>
          <a:bodyPr/>
          <a:lstStyle/>
          <a:p>
            <a:pPr>
              <a:defRPr sz="900"/>
            </a:pPr>
            <a:endParaRPr lang="es-ES"/>
          </a:p>
        </c:txPr>
        <c:crossAx val="66433408"/>
        <c:crosses val="autoZero"/>
        <c:crossBetween val="between"/>
      </c:valAx>
      <c:valAx>
        <c:axId val="66436480"/>
        <c:scaling>
          <c:orientation val="minMax"/>
        </c:scaling>
        <c:delete val="0"/>
        <c:axPos val="r"/>
        <c:numFmt formatCode="0%" sourceLinked="0"/>
        <c:majorTickMark val="out"/>
        <c:minorTickMark val="none"/>
        <c:tickLblPos val="nextTo"/>
        <c:txPr>
          <a:bodyPr/>
          <a:lstStyle/>
          <a:p>
            <a:pPr>
              <a:defRPr sz="900">
                <a:solidFill>
                  <a:srgbClr val="FF0000"/>
                </a:solidFill>
              </a:defRPr>
            </a:pPr>
            <a:endParaRPr lang="es-ES"/>
          </a:p>
        </c:txPr>
        <c:crossAx val="66442368"/>
        <c:crosses val="max"/>
        <c:crossBetween val="between"/>
      </c:valAx>
      <c:catAx>
        <c:axId val="66442368"/>
        <c:scaling>
          <c:orientation val="minMax"/>
        </c:scaling>
        <c:delete val="1"/>
        <c:axPos val="b"/>
        <c:numFmt formatCode="General" sourceLinked="1"/>
        <c:majorTickMark val="out"/>
        <c:minorTickMark val="none"/>
        <c:tickLblPos val="nextTo"/>
        <c:crossAx val="66436480"/>
        <c:crosses val="autoZero"/>
        <c:auto val="1"/>
        <c:lblAlgn val="ctr"/>
        <c:lblOffset val="100"/>
        <c:noMultiLvlLbl val="0"/>
      </c:catAx>
    </c:plotArea>
    <c:legend>
      <c:legendPos val="b"/>
      <c:layout>
        <c:manualLayout>
          <c:xMode val="edge"/>
          <c:yMode val="edge"/>
          <c:x val="0.11543200901943926"/>
          <c:y val="0.91452497009302414"/>
          <c:w val="0.7634720738109807"/>
          <c:h val="8.5474917518460147E-2"/>
        </c:manualLayout>
      </c:layout>
      <c:overlay val="0"/>
      <c:txPr>
        <a:bodyPr/>
        <a:lstStyle/>
        <a:p>
          <a:pPr>
            <a:defRPr sz="800" b="1"/>
          </a:pPr>
          <a:endParaRPr lang="es-E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0.89961</cdr:y>
    </cdr:from>
    <cdr:to>
      <cdr:x>0.98596</cdr:x>
      <cdr:y>0.98547</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0" y="2167331"/>
          <a:ext cx="3180521" cy="2068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Ministerio de Finanzas Públicas</a:t>
          </a:r>
        </a:p>
      </cdr:txBody>
    </cdr:sp>
  </cdr:relSizeAnchor>
</c:userShapes>
</file>

<file path=word/drawings/drawing10.xml><?xml version="1.0" encoding="utf-8"?>
<c:userShapes xmlns:c="http://schemas.openxmlformats.org/drawingml/2006/chart">
  <cdr:relSizeAnchor xmlns:cdr="http://schemas.openxmlformats.org/drawingml/2006/chartDrawing">
    <cdr:from>
      <cdr:x>0.00707</cdr:x>
      <cdr:y>0.91033</cdr:y>
    </cdr:from>
    <cdr:to>
      <cdr:x>0.54296</cdr:x>
      <cdr:y>1</cdr:y>
    </cdr:to>
    <cdr:sp macro="" textlink="">
      <cdr:nvSpPr>
        <cdr:cNvPr id="3" name="1 CuadroTexto"/>
        <cdr:cNvSpPr txBox="1"/>
      </cdr:nvSpPr>
      <cdr:spPr>
        <a:xfrm xmlns:a="http://schemas.openxmlformats.org/drawingml/2006/main">
          <a:off x="31784" y="2410508"/>
          <a:ext cx="2409265" cy="2374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GT" sz="800">
              <a:latin typeface="Times New Roman" panose="02020603050405020304" pitchFamily="18" charset="0"/>
              <a:cs typeface="Times New Roman" panose="02020603050405020304" pitchFamily="18" charset="0"/>
            </a:rPr>
            <a:t>Fuente:</a:t>
          </a:r>
          <a:r>
            <a:rPr lang="es-GT" sz="800" baseline="0">
              <a:latin typeface="Times New Roman" panose="02020603050405020304" pitchFamily="18" charset="0"/>
              <a:cs typeface="Times New Roman" panose="02020603050405020304" pitchFamily="18" charset="0"/>
            </a:rPr>
            <a:t> Elaboración propia con datos del FMI</a:t>
          </a:r>
          <a:endParaRPr lang="es-GT" sz="800">
            <a:latin typeface="Times New Roman" panose="02020603050405020304" pitchFamily="18" charset="0"/>
            <a:cs typeface="Times New Roman" panose="02020603050405020304"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0.00645</cdr:x>
      <cdr:y>0.90576</cdr:y>
    </cdr:from>
    <cdr:to>
      <cdr:x>0.62151</cdr:x>
      <cdr:y>1</cdr:y>
    </cdr:to>
    <cdr:sp macro="" textlink="">
      <cdr:nvSpPr>
        <cdr:cNvPr id="3" name="1 CuadroTexto"/>
        <cdr:cNvSpPr txBox="1"/>
      </cdr:nvSpPr>
      <cdr:spPr>
        <a:xfrm xmlns:a="http://schemas.openxmlformats.org/drawingml/2006/main">
          <a:off x="28575" y="2372525"/>
          <a:ext cx="2724150" cy="246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GT" sz="800">
              <a:latin typeface="Times New Roman" panose="02020603050405020304" pitchFamily="18" charset="0"/>
              <a:cs typeface="Times New Roman" panose="02020603050405020304" pitchFamily="18" charset="0"/>
            </a:rPr>
            <a:t>Fuente:</a:t>
          </a:r>
          <a:r>
            <a:rPr lang="es-GT" sz="800" baseline="0">
              <a:latin typeface="Times New Roman" panose="02020603050405020304" pitchFamily="18" charset="0"/>
              <a:cs typeface="Times New Roman" panose="02020603050405020304" pitchFamily="18" charset="0"/>
            </a:rPr>
            <a:t> Elaboración propia con datos del Banguat</a:t>
          </a:r>
          <a:endParaRPr lang="es-GT" sz="800">
            <a:latin typeface="Times New Roman" panose="02020603050405020304" pitchFamily="18" charset="0"/>
            <a:cs typeface="Times New Roman" panose="02020603050405020304"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0.00673</cdr:x>
      <cdr:y>0.92976</cdr:y>
    </cdr:from>
    <cdr:to>
      <cdr:x>0.66592</cdr:x>
      <cdr:y>1</cdr:y>
    </cdr:to>
    <cdr:sp macro="" textlink="">
      <cdr:nvSpPr>
        <cdr:cNvPr id="2" name="1 Cuadro de texto"/>
        <cdr:cNvSpPr txBox="1"/>
      </cdr:nvSpPr>
      <cdr:spPr>
        <a:xfrm xmlns:a="http://schemas.openxmlformats.org/drawingml/2006/main">
          <a:off x="28575" y="2577072"/>
          <a:ext cx="2800349" cy="1947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800">
              <a:latin typeface="Times New Roman" panose="02020603050405020304" pitchFamily="18" charset="0"/>
              <a:cs typeface="Times New Roman" panose="02020603050405020304" pitchFamily="18" charset="0"/>
            </a:rPr>
            <a:t>Fuente: Elaboración propia</a:t>
          </a:r>
          <a:r>
            <a:rPr lang="es-ES" sz="800" baseline="0">
              <a:latin typeface="Times New Roman" panose="02020603050405020304" pitchFamily="18" charset="0"/>
              <a:cs typeface="Times New Roman" panose="02020603050405020304" pitchFamily="18" charset="0"/>
            </a:rPr>
            <a:t> con información del Banguat</a:t>
          </a:r>
          <a:endParaRPr lang="es-ES" sz="8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0.93</cdr:y>
    </cdr:from>
    <cdr:to>
      <cdr:x>1</cdr:x>
      <cdr:y>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0" y="2329732"/>
          <a:ext cx="3359785" cy="17534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a:lnSpc>
              <a:spcPct val="107000"/>
            </a:lnSpc>
            <a:spcBef>
              <a:spcPts val="0"/>
            </a:spcBef>
            <a:spcAft>
              <a:spcPts val="800"/>
            </a:spcAft>
          </a:pPr>
          <a:r>
            <a:rPr lang="es-GT" sz="800">
              <a:effectLst/>
              <a:latin typeface="Times New Roman" panose="02020603050405020304" pitchFamily="18" charset="0"/>
              <a:ea typeface="Times New Roman" panose="02020603050405020304" pitchFamily="18" charset="0"/>
              <a:cs typeface="Times New Roman" panose="02020603050405020304" pitchFamily="18" charset="0"/>
            </a:rPr>
            <a:t>Fuente: Ministerio de Finanzas Públicas</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0.9361</cdr:y>
    </cdr:from>
    <cdr:to>
      <cdr:x>0.49158</cdr:x>
      <cdr:y>1</cdr:y>
    </cdr:to>
    <cdr:sp macro="" textlink="">
      <cdr:nvSpPr>
        <cdr:cNvPr id="2" name="Cuadro de texto 1"/>
        <cdr:cNvSpPr txBox="1"/>
      </cdr:nvSpPr>
      <cdr:spPr>
        <a:xfrm xmlns:a="http://schemas.openxmlformats.org/drawingml/2006/main">
          <a:off x="0" y="2433570"/>
          <a:ext cx="1622261" cy="166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GT" sz="800" b="0">
              <a:latin typeface="Times New Roman" panose="02020603050405020304" pitchFamily="18" charset="0"/>
              <a:cs typeface="Times New Roman" panose="02020603050405020304" pitchFamily="18" charset="0"/>
            </a:rPr>
            <a:t>Fuente: DAPF</a:t>
          </a:r>
        </a:p>
      </cdr:txBody>
    </cdr:sp>
  </cdr:relSizeAnchor>
</c:userShapes>
</file>

<file path=word/drawings/drawing4.xml><?xml version="1.0" encoding="utf-8"?>
<c:userShapes xmlns:c="http://schemas.openxmlformats.org/drawingml/2006/chart">
  <cdr:relSizeAnchor xmlns:cdr="http://schemas.openxmlformats.org/drawingml/2006/chartDrawing">
    <cdr:from>
      <cdr:x>0.00876</cdr:x>
      <cdr:y>0.93484</cdr:y>
    </cdr:from>
    <cdr:to>
      <cdr:x>0.33276</cdr:x>
      <cdr:y>1</cdr:y>
    </cdr:to>
    <cdr:sp macro="" textlink="">
      <cdr:nvSpPr>
        <cdr:cNvPr id="2" name="Cuadro de texto 1"/>
        <cdr:cNvSpPr txBox="1"/>
      </cdr:nvSpPr>
      <cdr:spPr>
        <a:xfrm xmlns:a="http://schemas.openxmlformats.org/drawingml/2006/main">
          <a:off x="43961" y="2514600"/>
          <a:ext cx="1626577" cy="175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GT" sz="800" b="0">
              <a:latin typeface="Times New Roman" panose="02020603050405020304" pitchFamily="18" charset="0"/>
              <a:cs typeface="Times New Roman" panose="02020603050405020304" pitchFamily="18" charset="0"/>
            </a:rPr>
            <a:t>Fuente: DAPF</a:t>
          </a:r>
        </a:p>
      </cdr:txBody>
    </cdr:sp>
  </cdr:relSizeAnchor>
</c:userShapes>
</file>

<file path=word/drawings/drawing5.xml><?xml version="1.0" encoding="utf-8"?>
<c:userShapes xmlns:c="http://schemas.openxmlformats.org/drawingml/2006/chart">
  <cdr:relSizeAnchor xmlns:cdr="http://schemas.openxmlformats.org/drawingml/2006/chartDrawing">
    <cdr:from>
      <cdr:x>0.02368</cdr:x>
      <cdr:y>0.94524</cdr:y>
    </cdr:from>
    <cdr:to>
      <cdr:x>0.32016</cdr:x>
      <cdr:y>1</cdr:y>
    </cdr:to>
    <cdr:sp macro="" textlink="">
      <cdr:nvSpPr>
        <cdr:cNvPr id="2" name="Cuadro de texto 1"/>
        <cdr:cNvSpPr txBox="1"/>
      </cdr:nvSpPr>
      <cdr:spPr>
        <a:xfrm xmlns:a="http://schemas.openxmlformats.org/drawingml/2006/main">
          <a:off x="129930" y="3025140"/>
          <a:ext cx="1626577" cy="1752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GT" sz="800" b="0">
              <a:latin typeface="Times New Roman" panose="02020603050405020304" pitchFamily="18" charset="0"/>
              <a:cs typeface="Times New Roman" panose="02020603050405020304" pitchFamily="18" charset="0"/>
            </a:rPr>
            <a:t>Fuente: DAPF</a:t>
          </a:r>
        </a:p>
      </cdr:txBody>
    </cdr:sp>
  </cdr:relSizeAnchor>
</c:userShapes>
</file>

<file path=word/drawings/drawing6.xml><?xml version="1.0" encoding="utf-8"?>
<c:userShapes xmlns:c="http://schemas.openxmlformats.org/drawingml/2006/chart">
  <cdr:relSizeAnchor xmlns:cdr="http://schemas.openxmlformats.org/drawingml/2006/chartDrawing">
    <cdr:from>
      <cdr:x>0.42881</cdr:x>
      <cdr:y>0.17772</cdr:y>
    </cdr:from>
    <cdr:to>
      <cdr:x>0.73869</cdr:x>
      <cdr:y>0.22281</cdr:y>
    </cdr:to>
    <cdr:sp macro="" textlink="">
      <cdr:nvSpPr>
        <cdr:cNvPr id="2" name="Cuadro de texto 1"/>
        <cdr:cNvSpPr txBox="1"/>
      </cdr:nvSpPr>
      <cdr:spPr>
        <a:xfrm xmlns:a="http://schemas.openxmlformats.org/drawingml/2006/main">
          <a:off x="2438400" y="638175"/>
          <a:ext cx="17621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GT" sz="800" b="1">
              <a:solidFill>
                <a:schemeClr val="tx1">
                  <a:lumMod val="65000"/>
                  <a:lumOff val="35000"/>
                </a:schemeClr>
              </a:solidFill>
              <a:latin typeface="Times New Roman" panose="02020603050405020304" pitchFamily="18" charset="0"/>
              <a:cs typeface="Times New Roman" panose="02020603050405020304" pitchFamily="18" charset="0"/>
            </a:rPr>
            <a:t>% global 93.8</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0.91413</cdr:y>
    </cdr:from>
    <cdr:to>
      <cdr:x>0.58276</cdr:x>
      <cdr:y>1</cdr:y>
    </cdr:to>
    <cdr:sp macro="" textlink="">
      <cdr:nvSpPr>
        <cdr:cNvPr id="2" name="1 Cuadro de texto"/>
        <cdr:cNvSpPr txBox="1"/>
      </cdr:nvSpPr>
      <cdr:spPr>
        <a:xfrm xmlns:a="http://schemas.openxmlformats.org/drawingml/2006/main">
          <a:off x="0" y="2027582"/>
          <a:ext cx="2464905" cy="1904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800">
              <a:latin typeface="Times New Roman" panose="02020603050405020304" pitchFamily="18" charset="0"/>
              <a:cs typeface="Times New Roman" panose="02020603050405020304" pitchFamily="18" charset="0"/>
            </a:rPr>
            <a:t>Fuente:</a:t>
          </a:r>
          <a:r>
            <a:rPr lang="es-ES" sz="800" baseline="0">
              <a:latin typeface="Times New Roman" panose="02020603050405020304" pitchFamily="18" charset="0"/>
              <a:cs typeface="Times New Roman" panose="02020603050405020304" pitchFamily="18" charset="0"/>
            </a:rPr>
            <a:t> Elaboración propia con datos del Banguat</a:t>
          </a:r>
          <a:endParaRPr lang="es-ES" sz="800">
            <a:latin typeface="Times New Roman" panose="02020603050405020304" pitchFamily="18" charset="0"/>
            <a:cs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0.00363</cdr:x>
      <cdr:y>0.90311</cdr:y>
    </cdr:from>
    <cdr:to>
      <cdr:x>0.82083</cdr:x>
      <cdr:y>1</cdr:y>
    </cdr:to>
    <cdr:sp macro="" textlink="">
      <cdr:nvSpPr>
        <cdr:cNvPr id="3" name="1 CuadroTexto"/>
        <cdr:cNvSpPr txBox="1"/>
      </cdr:nvSpPr>
      <cdr:spPr>
        <a:xfrm xmlns:a="http://schemas.openxmlformats.org/drawingml/2006/main">
          <a:off x="9991" y="2047875"/>
          <a:ext cx="2247434" cy="2197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GT" sz="800">
              <a:latin typeface="Times New Roman" panose="02020603050405020304" pitchFamily="18" charset="0"/>
              <a:cs typeface="Times New Roman" panose="02020603050405020304" pitchFamily="18" charset="0"/>
            </a:rPr>
            <a:t>Fuente:</a:t>
          </a:r>
          <a:r>
            <a:rPr lang="es-GT" sz="800" baseline="0">
              <a:latin typeface="Times New Roman" panose="02020603050405020304" pitchFamily="18" charset="0"/>
              <a:cs typeface="Times New Roman" panose="02020603050405020304" pitchFamily="18" charset="0"/>
            </a:rPr>
            <a:t> Elaboración propia con datos del Banguat</a:t>
          </a:r>
          <a:endParaRPr lang="es-GT" sz="800">
            <a:latin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0.04452</cdr:x>
      <cdr:y>0.92884</cdr:y>
    </cdr:from>
    <cdr:to>
      <cdr:x>0.94979</cdr:x>
      <cdr:y>1</cdr:y>
    </cdr:to>
    <cdr:sp macro="" textlink="">
      <cdr:nvSpPr>
        <cdr:cNvPr id="2" name="1 Cuadro de texto"/>
        <cdr:cNvSpPr txBox="1"/>
      </cdr:nvSpPr>
      <cdr:spPr>
        <a:xfrm xmlns:a="http://schemas.openxmlformats.org/drawingml/2006/main">
          <a:off x="123739" y="2099146"/>
          <a:ext cx="2516094" cy="1608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800">
              <a:latin typeface="Times New Roman" panose="02020603050405020304" pitchFamily="18" charset="0"/>
              <a:cs typeface="Times New Roman" panose="02020603050405020304" pitchFamily="18" charset="0"/>
            </a:rPr>
            <a:t>Fuente: Elaboracion propia con datos del Banguat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EEFD-19BF-472A-8936-48BF6194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10004</Words>
  <Characters>55026</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DAPF</dc:creator>
  <cp:lastModifiedBy>René Augusto Castro González</cp:lastModifiedBy>
  <cp:revision>2</cp:revision>
  <cp:lastPrinted>2020-02-10T18:49:00Z</cp:lastPrinted>
  <dcterms:created xsi:type="dcterms:W3CDTF">2020-02-11T00:49:00Z</dcterms:created>
  <dcterms:modified xsi:type="dcterms:W3CDTF">2020-02-11T00:49:00Z</dcterms:modified>
</cp:coreProperties>
</file>